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2273" w14:textId="77777777" w:rsidR="00430C07" w:rsidRDefault="004F65D0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Biudžeto vykdymo ataskaitų rinkinių rengimo taisyklių</w:t>
      </w:r>
    </w:p>
    <w:p w14:paraId="205A7659" w14:textId="77777777" w:rsidR="00430C07" w:rsidRDefault="004F65D0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2 priedas</w:t>
      </w:r>
    </w:p>
    <w:p w14:paraId="66D6E017" w14:textId="77777777" w:rsidR="00430C07" w:rsidRDefault="00430C07">
      <w:pPr>
        <w:tabs>
          <w:tab w:val="left" w:pos="9540"/>
        </w:tabs>
        <w:ind w:left="5387"/>
        <w:rPr>
          <w:szCs w:val="22"/>
          <w:lang w:eastAsia="lt-LT"/>
        </w:rPr>
      </w:pPr>
    </w:p>
    <w:p w14:paraId="61154107" w14:textId="77777777" w:rsidR="00430C07" w:rsidRDefault="00430C07">
      <w:pPr>
        <w:tabs>
          <w:tab w:val="left" w:pos="9540"/>
        </w:tabs>
        <w:ind w:left="5954"/>
        <w:rPr>
          <w:b/>
          <w:bCs/>
          <w:sz w:val="22"/>
          <w:szCs w:val="22"/>
          <w:lang w:eastAsia="lt-LT"/>
        </w:rPr>
      </w:pPr>
    </w:p>
    <w:p w14:paraId="554E2ADA" w14:textId="77777777" w:rsidR="00430C07" w:rsidRDefault="00430C07">
      <w:pPr>
        <w:tabs>
          <w:tab w:val="left" w:pos="9540"/>
        </w:tabs>
        <w:ind w:left="5954"/>
        <w:rPr>
          <w:b/>
          <w:bCs/>
          <w:sz w:val="22"/>
          <w:szCs w:val="22"/>
          <w:lang w:eastAsia="lt-LT"/>
        </w:rPr>
      </w:pPr>
    </w:p>
    <w:p w14:paraId="076C93F2" w14:textId="77777777" w:rsidR="00430C07" w:rsidRDefault="004F65D0">
      <w:pPr>
        <w:jc w:val="center"/>
        <w:rPr>
          <w:lang w:eastAsia="lt-LT"/>
        </w:rPr>
      </w:pPr>
      <w:r>
        <w:rPr>
          <w:b/>
          <w:bCs/>
          <w:lang w:eastAsia="lt-LT"/>
        </w:rPr>
        <w:t>PANEVĖŽIO RAJONO TILTAGALIŲ KULTŪROS CENTRAS</w:t>
      </w:r>
    </w:p>
    <w:p w14:paraId="6B745BB1" w14:textId="77777777" w:rsidR="00430C07" w:rsidRDefault="004F65D0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(dokumento sudarytojo pavadinimas)</w:t>
      </w:r>
    </w:p>
    <w:p w14:paraId="69EE78A7" w14:textId="77777777" w:rsidR="00430C07" w:rsidRDefault="00430C07">
      <w:pPr>
        <w:jc w:val="center"/>
        <w:rPr>
          <w:b/>
          <w:bCs/>
          <w:szCs w:val="24"/>
          <w:lang w:eastAsia="lt-LT"/>
        </w:rPr>
      </w:pPr>
    </w:p>
    <w:p w14:paraId="44B8D348" w14:textId="77777777" w:rsidR="00430C07" w:rsidRDefault="00430C07">
      <w:pPr>
        <w:jc w:val="center"/>
        <w:rPr>
          <w:b/>
          <w:bCs/>
          <w:szCs w:val="24"/>
          <w:lang w:eastAsia="lt-LT"/>
        </w:rPr>
      </w:pPr>
    </w:p>
    <w:p w14:paraId="4C051D1E" w14:textId="77777777" w:rsidR="00430C07" w:rsidRDefault="00430C07">
      <w:pPr>
        <w:jc w:val="center"/>
        <w:rPr>
          <w:b/>
          <w:bCs/>
          <w:szCs w:val="24"/>
          <w:lang w:eastAsia="lt-LT"/>
        </w:rPr>
      </w:pPr>
    </w:p>
    <w:p w14:paraId="7C979979" w14:textId="77777777" w:rsidR="00430C07" w:rsidRDefault="004F65D0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2025 METŲ  BIUDŽETO VYKDYMO </w:t>
      </w:r>
    </w:p>
    <w:p w14:paraId="37ED3344" w14:textId="77777777" w:rsidR="00430C07" w:rsidRDefault="004F65D0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ATASKAITŲ RINKINIO</w:t>
      </w:r>
    </w:p>
    <w:p w14:paraId="78BE24FC" w14:textId="77777777" w:rsidR="00430C07" w:rsidRDefault="004F65D0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AIŠKINAMASIS RAŠTAS</w:t>
      </w:r>
    </w:p>
    <w:p w14:paraId="319DBF19" w14:textId="77777777" w:rsidR="00430C07" w:rsidRDefault="00430C07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77777777" w:rsidR="00430C07" w:rsidRDefault="004F65D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>
        <w:rPr>
          <w:szCs w:val="24"/>
          <w:lang w:val="en-US" w:eastAsia="lt-LT"/>
        </w:rPr>
        <w:t>6</w:t>
      </w:r>
      <w:r>
        <w:rPr>
          <w:szCs w:val="24"/>
          <w:lang w:eastAsia="lt-LT"/>
        </w:rPr>
        <w:t>-</w:t>
      </w:r>
      <w:r>
        <w:rPr>
          <w:szCs w:val="24"/>
          <w:lang w:val="en-US" w:eastAsia="lt-LT"/>
        </w:rPr>
        <w:t>01</w:t>
      </w:r>
      <w:r>
        <w:rPr>
          <w:szCs w:val="24"/>
          <w:lang w:eastAsia="lt-LT"/>
        </w:rPr>
        <w:t>-0</w:t>
      </w:r>
      <w:r>
        <w:rPr>
          <w:szCs w:val="24"/>
          <w:lang w:val="en-US" w:eastAsia="lt-LT"/>
        </w:rPr>
        <w:t>5</w:t>
      </w:r>
      <w:r>
        <w:rPr>
          <w:szCs w:val="24"/>
          <w:lang w:eastAsia="lt-LT"/>
        </w:rPr>
        <w:t xml:space="preserve"> Nr. F10-</w:t>
      </w:r>
    </w:p>
    <w:p w14:paraId="52D35C56" w14:textId="77777777" w:rsidR="00430C07" w:rsidRDefault="004F65D0">
      <w:pPr>
        <w:ind w:left="3828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(data)</w:t>
      </w:r>
    </w:p>
    <w:p w14:paraId="118A336D" w14:textId="77777777" w:rsidR="00430C07" w:rsidRDefault="00430C07">
      <w:pPr>
        <w:ind w:left="2592" w:firstLine="1296"/>
        <w:rPr>
          <w:color w:val="000000"/>
          <w:sz w:val="20"/>
          <w:lang w:eastAsia="lt-LT"/>
        </w:rPr>
      </w:pPr>
    </w:p>
    <w:p w14:paraId="42880574" w14:textId="77777777" w:rsidR="00430C07" w:rsidRDefault="00430C07">
      <w:pPr>
        <w:ind w:left="2592" w:firstLine="1296"/>
        <w:rPr>
          <w:color w:val="000000"/>
          <w:sz w:val="20"/>
          <w:lang w:eastAsia="lt-LT"/>
        </w:rPr>
      </w:pPr>
    </w:p>
    <w:p w14:paraId="14C1C2BE" w14:textId="77777777" w:rsidR="00430C07" w:rsidRDefault="00430C07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430C07" w:rsidRDefault="004F65D0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I </w:t>
      </w:r>
      <w:r>
        <w:rPr>
          <w:b/>
          <w:szCs w:val="24"/>
          <w:lang w:eastAsia="lt-LT"/>
        </w:rPr>
        <w:t>SKYRIUS</w:t>
      </w:r>
    </w:p>
    <w:p w14:paraId="1D436447" w14:textId="77777777" w:rsidR="00430C07" w:rsidRDefault="004F65D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3D6AAD11" w14:textId="77777777" w:rsidR="00430C07" w:rsidRDefault="00430C07">
      <w:pPr>
        <w:jc w:val="both"/>
        <w:rPr>
          <w:b/>
          <w:sz w:val="20"/>
          <w:lang w:eastAsia="lt-LT"/>
        </w:rPr>
      </w:pPr>
    </w:p>
    <w:p w14:paraId="283F978D" w14:textId="77777777" w:rsidR="00430C07" w:rsidRDefault="00430C07">
      <w:pPr>
        <w:tabs>
          <w:tab w:val="left" w:pos="540"/>
        </w:tabs>
        <w:ind w:firstLine="567"/>
        <w:jc w:val="both"/>
        <w:rPr>
          <w:color w:val="A6A6A6" w:themeColor="background1" w:themeShade="A6"/>
          <w:lang w:eastAsia="lt-LT"/>
        </w:rPr>
      </w:pPr>
    </w:p>
    <w:p w14:paraId="1E934891" w14:textId="77777777" w:rsidR="00430C07" w:rsidRDefault="004F65D0">
      <w:pPr>
        <w:tabs>
          <w:tab w:val="left" w:pos="540"/>
        </w:tabs>
        <w:ind w:firstLine="851"/>
        <w:jc w:val="both"/>
      </w:pPr>
      <w:bookmarkStart w:id="0" w:name="_Hlk202517057"/>
      <w:r>
        <w:t xml:space="preserve">Panevėžio rajono </w:t>
      </w:r>
      <w:bookmarkEnd w:id="0"/>
      <w:r>
        <w:t xml:space="preserve">Tiltagalių kultūros centras, įstaigos kodas – 188212872, buveinės adresas – Paežerio g. 2, Tiltagaliai, Panevėžio </w:t>
      </w:r>
      <w:r>
        <w:rPr>
          <w:color w:val="000000" w:themeColor="text1"/>
        </w:rPr>
        <w:t>r., biudžeto vykdymo ataskaitų rinkinys parengtas vadovaujantis Lietuvos Respublikos biudžeto sandaros įstatymu, Lietuvos Respublikos viešojo sektoriaus atskaitomybės įstatymu, Lietuvos Respublikos valstybės biudžeto ir savivaldybių biudžetų sudarymo ir vy</w:t>
      </w:r>
      <w:r>
        <w:rPr>
          <w:color w:val="000000" w:themeColor="text1"/>
        </w:rPr>
        <w:t xml:space="preserve">kdymo taisyklėmis, patvirtintomis Lietuvos Respublikos Vyriausybės 2001 m. </w:t>
      </w:r>
      <w:r>
        <w:t>gegužės 14 d. nutarimu Nr. 543 „Dėl Lietuvos Respublikos biudžeto sandaros įstatymo įgyvendinimo“. Biudžeto vykdymo ataskaitų rinkinių rengimo taisyklės ir formos patvirtintos Lietu</w:t>
      </w:r>
      <w:r>
        <w:t xml:space="preserve">vos Respublikos finansų ministro 2025 m. kovo 25 d. įsakymu Nr. 1K-63 „Dėl Biudžeto vykdymo ataskaitų rinkinių rengimo taisyklių patvirtinimo“, Panevėžio rajono savivaldybės tarybos 2025 m. kovo 27 d. sprendimu Nr. T-82 „Dėl Panevėžio rajono  savivaldybės </w:t>
      </w:r>
      <w:r>
        <w:t>tarybos 2024 m. lapkričio 7 d. sprendimo Nr. T-242 „Dėl Panevėžio rajono savivaldybės biudžeto sudarymo, vykdymo ir atskaitomybės tvarkos aprašo patvirtinimo“  pakeitimo ir kitais teisės aktais, reglamentuojančiais biudžeto vykdymo ataskaitų rengimą.</w:t>
      </w:r>
    </w:p>
    <w:p w14:paraId="2CC7E963" w14:textId="77777777" w:rsidR="00430C07" w:rsidRDefault="004F65D0">
      <w:pPr>
        <w:ind w:firstLine="851"/>
        <w:jc w:val="both"/>
        <w:rPr>
          <w:szCs w:val="24"/>
        </w:rPr>
      </w:pPr>
      <w:r>
        <w:rPr>
          <w:szCs w:val="24"/>
        </w:rPr>
        <w:t>Biudž</w:t>
      </w:r>
      <w:r>
        <w:rPr>
          <w:szCs w:val="24"/>
        </w:rPr>
        <w:t xml:space="preserve">eto vykdymo ataskaitų rinkinio rengimo tikslas – pateikti informaciją apie savivaldybės biudžeto asignavimų valdytojo Panevėžio rajono </w:t>
      </w:r>
      <w:r>
        <w:t>Panevėžio rajono Tiltagalių kultūros centras</w:t>
      </w:r>
      <w:r>
        <w:rPr>
          <w:szCs w:val="24"/>
        </w:rPr>
        <w:t xml:space="preserve"> pajamų ir išlaidų plano vykdymą, nepanaudojimo priežastis.</w:t>
      </w:r>
    </w:p>
    <w:p w14:paraId="0959BC3E" w14:textId="77777777" w:rsidR="00430C07" w:rsidRDefault="00430C07">
      <w:pPr>
        <w:tabs>
          <w:tab w:val="left" w:pos="426"/>
        </w:tabs>
        <w:jc w:val="center"/>
        <w:rPr>
          <w:b/>
          <w:caps/>
          <w:szCs w:val="24"/>
          <w:lang w:eastAsia="lt-LT"/>
        </w:rPr>
      </w:pPr>
    </w:p>
    <w:p w14:paraId="70BA3709" w14:textId="77777777" w:rsidR="00430C07" w:rsidRDefault="004F65D0">
      <w:pPr>
        <w:tabs>
          <w:tab w:val="left" w:pos="426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II SKYRIUS</w:t>
      </w:r>
    </w:p>
    <w:p w14:paraId="518715E3" w14:textId="77777777" w:rsidR="00430C07" w:rsidRDefault="004F65D0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Apska</w:t>
      </w:r>
      <w:r>
        <w:rPr>
          <w:b/>
          <w:caps/>
          <w:szCs w:val="24"/>
          <w:lang w:eastAsia="lt-LT"/>
        </w:rPr>
        <w:t>itos politika</w:t>
      </w:r>
    </w:p>
    <w:p w14:paraId="465F75A3" w14:textId="77777777" w:rsidR="00430C07" w:rsidRDefault="00430C07">
      <w:pPr>
        <w:jc w:val="center"/>
        <w:rPr>
          <w:b/>
          <w:szCs w:val="24"/>
          <w:lang w:eastAsia="lt-LT"/>
        </w:rPr>
      </w:pPr>
    </w:p>
    <w:p w14:paraId="15E2536E" w14:textId="77777777" w:rsidR="00430C07" w:rsidRDefault="004F65D0">
      <w:pPr>
        <w:ind w:firstLine="851"/>
        <w:jc w:val="both"/>
        <w:rPr>
          <w:szCs w:val="24"/>
        </w:rPr>
      </w:pPr>
      <w:r>
        <w:rPr>
          <w:szCs w:val="24"/>
        </w:rPr>
        <w:t>Biudžeto vykdymo ataskaitos sudaromos atsižvelgiant į piniginių įplaukų ir piniginių išlaidų laiką, jeigu kituose teisės aktuose, reglamentuojančiuose apskaitos tvarkymą, nenurodyta kitaip.</w:t>
      </w:r>
    </w:p>
    <w:p w14:paraId="57DF67BF" w14:textId="77777777" w:rsidR="00430C07" w:rsidRDefault="004F65D0">
      <w:pPr>
        <w:ind w:firstLine="851"/>
        <w:jc w:val="both"/>
        <w:rPr>
          <w:color w:val="C00000"/>
          <w:szCs w:val="24"/>
        </w:rPr>
      </w:pPr>
      <w:bookmarkStart w:id="1" w:name="part_c7b1d7c1fce6497f87d1bf5b3db0c039"/>
      <w:bookmarkEnd w:id="1"/>
      <w:r>
        <w:rPr>
          <w:szCs w:val="24"/>
        </w:rPr>
        <w:t>Sudarant biudžeto vykdymo ataskaitų rinkinį buvo va</w:t>
      </w:r>
      <w:r>
        <w:rPr>
          <w:szCs w:val="24"/>
        </w:rPr>
        <w:t xml:space="preserve">dovaujamasi šiais bendraisiais apskaitos principais: subjekto, veiklos tęstinumo, periodiškumo, pastovumo, piniginio mato, kaupimo, palyginimo, atsargumo, neutralumo, turinio viršenybės prieš formą. </w:t>
      </w:r>
    </w:p>
    <w:p w14:paraId="5FF92446" w14:textId="77777777" w:rsidR="00430C07" w:rsidRDefault="00430C07">
      <w:pPr>
        <w:ind w:firstLine="851"/>
        <w:jc w:val="both"/>
        <w:rPr>
          <w:color w:val="C00000"/>
          <w:szCs w:val="24"/>
        </w:rPr>
      </w:pPr>
    </w:p>
    <w:p w14:paraId="5CC82BC2" w14:textId="77777777" w:rsidR="00430C07" w:rsidRDefault="00430C07">
      <w:pPr>
        <w:ind w:firstLine="851"/>
        <w:jc w:val="both"/>
        <w:rPr>
          <w:szCs w:val="24"/>
        </w:rPr>
      </w:pPr>
    </w:p>
    <w:p w14:paraId="48B6C3E9" w14:textId="77777777" w:rsidR="00430C07" w:rsidRDefault="00430C07">
      <w:pPr>
        <w:ind w:firstLine="851"/>
        <w:jc w:val="both"/>
        <w:rPr>
          <w:szCs w:val="24"/>
        </w:rPr>
      </w:pPr>
    </w:p>
    <w:p w14:paraId="13E562C9" w14:textId="77777777" w:rsidR="00430C07" w:rsidRDefault="00430C07">
      <w:pPr>
        <w:ind w:firstLine="851"/>
        <w:jc w:val="both"/>
        <w:rPr>
          <w:szCs w:val="24"/>
        </w:rPr>
      </w:pPr>
    </w:p>
    <w:p w14:paraId="0A3718C8" w14:textId="77777777" w:rsidR="00430C07" w:rsidRDefault="004F65D0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III SKYRIUS</w:t>
      </w:r>
    </w:p>
    <w:p w14:paraId="7EBE6148" w14:textId="77777777" w:rsidR="00430C07" w:rsidRDefault="004F65D0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BIUDŽETINIŲ ĮSTAIGŲ PAJAMŲ PLANO VYKDYMA</w:t>
      </w:r>
      <w:r>
        <w:rPr>
          <w:b/>
          <w:szCs w:val="24"/>
          <w:lang w:eastAsia="lt-LT"/>
        </w:rPr>
        <w:t>S</w:t>
      </w:r>
    </w:p>
    <w:p w14:paraId="2AE344AC" w14:textId="77777777" w:rsidR="00430C07" w:rsidRDefault="00430C07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68A702F0" w14:textId="77777777" w:rsidR="00430C07" w:rsidRDefault="004F65D0">
      <w:pPr>
        <w:ind w:firstLine="851"/>
        <w:rPr>
          <w:b/>
          <w:sz w:val="22"/>
          <w:szCs w:val="22"/>
          <w:lang w:eastAsia="lt-LT"/>
        </w:rPr>
      </w:pPr>
      <w:r>
        <w:rPr>
          <w:color w:val="000000" w:themeColor="text1"/>
        </w:rPr>
        <w:t xml:space="preserve">Detali informacija apie įstaigos pajamas pateikta 3 priede „Informacija apie biudžetinių įstaigų pajamas pagal 2025 m. </w:t>
      </w:r>
      <w:r>
        <w:rPr>
          <w:color w:val="000000" w:themeColor="text1"/>
          <w:lang w:val="en-US"/>
        </w:rPr>
        <w:t>gruod</w:t>
      </w:r>
      <w:r>
        <w:rPr>
          <w:color w:val="000000" w:themeColor="text1"/>
        </w:rPr>
        <w:t>ž</w:t>
      </w:r>
      <w:r>
        <w:rPr>
          <w:color w:val="000000" w:themeColor="text1"/>
          <w:lang w:val="en-US"/>
        </w:rPr>
        <w:t>io 31</w:t>
      </w:r>
      <w:r>
        <w:rPr>
          <w:color w:val="000000" w:themeColor="text1"/>
        </w:rPr>
        <w:t xml:space="preserve"> d. duomenis“.</w:t>
      </w:r>
    </w:p>
    <w:p w14:paraId="310D86F3" w14:textId="77777777" w:rsidR="00430C07" w:rsidRDefault="00430C07">
      <w:pPr>
        <w:ind w:firstLine="851"/>
        <w:jc w:val="both"/>
        <w:rPr>
          <w:szCs w:val="24"/>
        </w:rPr>
      </w:pPr>
    </w:p>
    <w:p w14:paraId="30D1D88F" w14:textId="77777777" w:rsidR="00430C07" w:rsidRDefault="00430C07">
      <w:pPr>
        <w:tabs>
          <w:tab w:val="left" w:pos="540"/>
        </w:tabs>
        <w:jc w:val="both"/>
        <w:rPr>
          <w:szCs w:val="24"/>
          <w:lang w:eastAsia="lt-LT"/>
        </w:rPr>
      </w:pPr>
    </w:p>
    <w:p w14:paraId="7D6DC46E" w14:textId="77777777" w:rsidR="00430C07" w:rsidRDefault="004F65D0">
      <w:pPr>
        <w:tabs>
          <w:tab w:val="left" w:pos="426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IV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7715B209" w14:textId="77777777" w:rsidR="00430C07" w:rsidRDefault="004F65D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BIUDŽETO IŠLAIDŲ PLANO VYKDYMAS</w:t>
      </w:r>
    </w:p>
    <w:p w14:paraId="165BE9B3" w14:textId="77777777" w:rsidR="00430C07" w:rsidRDefault="00430C07">
      <w:pPr>
        <w:tabs>
          <w:tab w:val="left" w:pos="540"/>
        </w:tabs>
        <w:jc w:val="center"/>
        <w:rPr>
          <w:b/>
          <w:i/>
          <w:iCs/>
          <w:color w:val="A6A6A6"/>
          <w:szCs w:val="24"/>
          <w:lang w:eastAsia="lt-LT"/>
        </w:rPr>
      </w:pPr>
    </w:p>
    <w:p w14:paraId="13E30568" w14:textId="77777777" w:rsidR="00430C07" w:rsidRDefault="004F65D0">
      <w:pPr>
        <w:ind w:firstLine="851"/>
        <w:jc w:val="both"/>
      </w:pPr>
      <w:r>
        <w:rPr>
          <w:color w:val="222222"/>
          <w:sz w:val="22"/>
          <w:szCs w:val="22"/>
          <w:shd w:val="clear" w:color="auto" w:fill="FFFFFF"/>
        </w:rPr>
        <w:t> </w:t>
      </w:r>
      <w:r>
        <w:rPr>
          <w:color w:val="222222"/>
          <w:shd w:val="clear" w:color="auto" w:fill="FFFFFF"/>
        </w:rPr>
        <w:t xml:space="preserve">Įstaiga 2025 metais vykdo savivaldybės biudžeto programas, patvirtintas </w:t>
      </w:r>
      <w:r>
        <w:rPr>
          <w:shd w:val="clear" w:color="auto" w:fill="FFFFFF"/>
        </w:rPr>
        <w:t xml:space="preserve">2025 metų asignavimų planas </w:t>
      </w:r>
      <w:r>
        <w:t xml:space="preserve">– </w:t>
      </w:r>
      <w:r>
        <w:t>239,8</w:t>
      </w:r>
      <w:r>
        <w:t xml:space="preserve"> tūkst. eurų. Per 2025 met</w:t>
      </w:r>
      <w:r>
        <w:t>us</w:t>
      </w:r>
      <w:r>
        <w:t xml:space="preserve">  gauti asignavimai sudaro </w:t>
      </w:r>
      <w:r>
        <w:t>238,6</w:t>
      </w:r>
      <w:r>
        <w:t xml:space="preserve"> tūkst. eurų, panaudota </w:t>
      </w:r>
      <w:r>
        <w:t xml:space="preserve">238,6 </w:t>
      </w:r>
      <w:r>
        <w:t>tūkst. eurų. 2025 m.</w:t>
      </w:r>
      <w:r>
        <w:t xml:space="preserve"> </w:t>
      </w:r>
      <w:r>
        <w:t xml:space="preserve">biudžeto asignavimų plano vykdymas </w:t>
      </w:r>
      <w:r>
        <w:t>sudaro</w:t>
      </w:r>
      <w:r>
        <w:rPr>
          <w:color w:val="FF0000"/>
        </w:rPr>
        <w:t xml:space="preserve"> </w:t>
      </w:r>
      <w:r>
        <w:t>99</w:t>
      </w:r>
      <w:r>
        <w:t xml:space="preserve"> proc. suplanuotų biudžeto asignavimų</w:t>
      </w:r>
      <w:r>
        <w:rPr>
          <w:color w:val="FF0000"/>
        </w:rPr>
        <w:t xml:space="preserve">. </w:t>
      </w:r>
      <w:r>
        <w:t xml:space="preserve">Per ataskaitinį laikotarpį liko nepanaudota </w:t>
      </w:r>
      <w:r>
        <w:t>1,1</w:t>
      </w:r>
      <w:r>
        <w:t xml:space="preserve"> tūkst. eurų suplanuotų biudžeto asignavimų </w:t>
      </w:r>
      <w:r>
        <w:rPr>
          <w:color w:val="FF0000"/>
        </w:rPr>
        <w:t>-</w:t>
      </w:r>
      <w:r>
        <w:t xml:space="preserve"> </w:t>
      </w:r>
      <w:r>
        <w:t>komunalinių paslaugų įsigijimui,</w:t>
      </w:r>
      <w:r>
        <w:t xml:space="preserve"> prekėms, paslaugoms įsigyti. Iš jų: </w:t>
      </w:r>
      <w:r>
        <w:t>0,3</w:t>
      </w:r>
      <w:r>
        <w:t xml:space="preserve"> tūkst. </w:t>
      </w:r>
      <w:r>
        <w:t>e</w:t>
      </w:r>
      <w:r>
        <w:t xml:space="preserve">urų </w:t>
      </w:r>
      <w:r>
        <w:t>komunalinių paslaugų įsigijimu</w:t>
      </w:r>
      <w:r>
        <w:t>i</w:t>
      </w:r>
      <w:r>
        <w:t xml:space="preserve">  nepanaudoti dėl </w:t>
      </w:r>
      <w:r>
        <w:t xml:space="preserve">mažesnių šildymo sąnaudų; 0,4 </w:t>
      </w:r>
      <w:r>
        <w:t xml:space="preserve"> </w:t>
      </w:r>
      <w:r>
        <w:t xml:space="preserve"> </w:t>
      </w:r>
      <w:r>
        <w:t>tūkst. eurų asignavimai prekėms ir paslaugoms</w:t>
      </w:r>
      <w:r>
        <w:t xml:space="preserve"> </w:t>
      </w:r>
      <w:r>
        <w:t>dėl pasikeitusių renginių paslaugų sąmatų; 0,</w:t>
      </w:r>
      <w:r>
        <w:t>3</w:t>
      </w:r>
      <w:r>
        <w:t xml:space="preserve"> tūkst. Eur  </w:t>
      </w:r>
      <w:r>
        <w:t>remonto paslaugų</w:t>
      </w:r>
      <w:r>
        <w:t xml:space="preserve">  dėl neįvykusių pirkimų</w:t>
      </w:r>
      <w:r>
        <w:t xml:space="preserve">; 0,1 </w:t>
      </w:r>
      <w:r>
        <w:t xml:space="preserve"> tūkst.</w:t>
      </w:r>
      <w:r>
        <w:t xml:space="preserve"> kvalifikacijos kėlimui.</w:t>
      </w:r>
    </w:p>
    <w:p w14:paraId="311B0564" w14:textId="77777777" w:rsidR="00430C07" w:rsidRDefault="00430C07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458642AB" w14:textId="77777777" w:rsidR="00430C07" w:rsidRDefault="004F65D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 SKYRIUS</w:t>
      </w:r>
    </w:p>
    <w:p w14:paraId="480670AA" w14:textId="77777777" w:rsidR="00430C07" w:rsidRDefault="004F65D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KITA INFORM</w:t>
      </w:r>
      <w:r>
        <w:rPr>
          <w:b/>
          <w:bCs/>
          <w:szCs w:val="24"/>
          <w:lang w:eastAsia="lt-LT"/>
        </w:rPr>
        <w:t>ACIJA</w:t>
      </w:r>
    </w:p>
    <w:p w14:paraId="53CE295E" w14:textId="77777777" w:rsidR="00430C07" w:rsidRDefault="00430C07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4EFEFA41" w14:textId="77777777" w:rsidR="00430C07" w:rsidRDefault="004F65D0">
      <w:pPr>
        <w:numPr>
          <w:ilvl w:val="0"/>
          <w:numId w:val="1"/>
        </w:numPr>
        <w:ind w:left="0" w:firstLine="851"/>
        <w:jc w:val="both"/>
        <w:rPr>
          <w:color w:val="C0504D" w:themeColor="accent2"/>
        </w:rPr>
      </w:pPr>
      <w:r>
        <w:t>Ataskaitinio laikotarpio pabaigoje mokėtinų sumų, kurių išmokėjimo terminas būtų suėjęs, nėra</w:t>
      </w:r>
      <w:r>
        <w:rPr>
          <w:color w:val="C0504D" w:themeColor="accent2"/>
        </w:rPr>
        <w:t xml:space="preserve">. </w:t>
      </w:r>
    </w:p>
    <w:p w14:paraId="26D36DBA" w14:textId="77777777" w:rsidR="00430C07" w:rsidRDefault="004F65D0">
      <w:pPr>
        <w:numPr>
          <w:ilvl w:val="0"/>
          <w:numId w:val="1"/>
        </w:numPr>
        <w:ind w:left="0" w:firstLine="851"/>
        <w:jc w:val="both"/>
      </w:pPr>
      <w:r>
        <w:t>Papildomos reikšmingos informacijos nėra.</w:t>
      </w:r>
    </w:p>
    <w:p w14:paraId="18253172" w14:textId="77777777" w:rsidR="00430C07" w:rsidRDefault="004F65D0">
      <w:pPr>
        <w:numPr>
          <w:ilvl w:val="0"/>
          <w:numId w:val="1"/>
        </w:numPr>
        <w:ind w:left="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Informacija apie lėšų likučius biudžetinių lėšų sąskaitose: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547"/>
        <w:gridCol w:w="2273"/>
        <w:gridCol w:w="2635"/>
      </w:tblGrid>
      <w:tr w:rsidR="00430C07" w14:paraId="5D095D60" w14:textId="77777777">
        <w:tc>
          <w:tcPr>
            <w:tcW w:w="2065" w:type="dxa"/>
            <w:vAlign w:val="center"/>
          </w:tcPr>
          <w:p w14:paraId="65E690B8" w14:textId="77777777" w:rsidR="00430C07" w:rsidRDefault="004F65D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Lėšų šaltinis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94AC66C" w14:textId="77777777" w:rsidR="00430C07" w:rsidRDefault="004F65D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Paskutinė praėjusio ataskaitinio laik</w:t>
            </w:r>
            <w:r>
              <w:rPr>
                <w:shd w:val="clear" w:color="auto" w:fill="FFFFFF"/>
              </w:rPr>
              <w:t xml:space="preserve">otarpio diena 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E5FFCE5" w14:textId="77777777" w:rsidR="00430C07" w:rsidRDefault="004F65D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Paskutinė ataskaitinio laikotarpio diena</w:t>
            </w:r>
          </w:p>
          <w:p w14:paraId="24AB0670" w14:textId="77777777" w:rsidR="00430C07" w:rsidRDefault="00430C0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635" w:type="dxa"/>
            <w:vAlign w:val="center"/>
          </w:tcPr>
          <w:p w14:paraId="5022AB10" w14:textId="77777777" w:rsidR="00430C07" w:rsidRDefault="004F65D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Likučio susidarymo priežastys</w:t>
            </w:r>
          </w:p>
        </w:tc>
      </w:tr>
      <w:tr w:rsidR="00430C07" w14:paraId="4E42C833" w14:textId="77777777">
        <w:tc>
          <w:tcPr>
            <w:tcW w:w="2065" w:type="dxa"/>
          </w:tcPr>
          <w:p w14:paraId="4B50208A" w14:textId="77777777" w:rsidR="00430C07" w:rsidRDefault="004F65D0">
            <w:pPr>
              <w:ind w:firstLine="567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5SB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BFD20DA" w14:textId="77777777" w:rsidR="00430C07" w:rsidRDefault="004F65D0">
            <w:pPr>
              <w:ind w:firstLine="56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0,00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8E2396B" w14:textId="77777777" w:rsidR="00430C07" w:rsidRDefault="004F65D0">
            <w:pPr>
              <w:ind w:firstLine="56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0,00</w:t>
            </w:r>
          </w:p>
        </w:tc>
        <w:tc>
          <w:tcPr>
            <w:tcW w:w="2635" w:type="dxa"/>
          </w:tcPr>
          <w:p w14:paraId="39C178C4" w14:textId="77777777" w:rsidR="00430C07" w:rsidRDefault="00430C07">
            <w:pPr>
              <w:jc w:val="both"/>
              <w:rPr>
                <w:color w:val="C0504D" w:themeColor="accent2"/>
                <w:shd w:val="clear" w:color="auto" w:fill="FFFFFF"/>
              </w:rPr>
            </w:pPr>
          </w:p>
        </w:tc>
      </w:tr>
      <w:tr w:rsidR="00430C07" w14:paraId="39224ABA" w14:textId="77777777">
        <w:tc>
          <w:tcPr>
            <w:tcW w:w="2065" w:type="dxa"/>
          </w:tcPr>
          <w:p w14:paraId="0DE370FC" w14:textId="77777777" w:rsidR="00430C07" w:rsidRDefault="00430C07">
            <w:pPr>
              <w:ind w:firstLine="567"/>
              <w:jc w:val="both"/>
              <w:rPr>
                <w:shd w:val="clear" w:color="auto" w:fill="FFFFFF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697220F4" w14:textId="77777777" w:rsidR="00430C07" w:rsidRDefault="00430C07">
            <w:pPr>
              <w:ind w:firstLine="567"/>
              <w:jc w:val="center"/>
              <w:rPr>
                <w:shd w:val="clear" w:color="auto" w:fill="FFFFFF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5A672454" w14:textId="77777777" w:rsidR="00430C07" w:rsidRDefault="00430C07">
            <w:pPr>
              <w:ind w:firstLine="567"/>
              <w:jc w:val="center"/>
              <w:rPr>
                <w:shd w:val="clear" w:color="auto" w:fill="FFFFFF"/>
              </w:rPr>
            </w:pPr>
          </w:p>
        </w:tc>
        <w:tc>
          <w:tcPr>
            <w:tcW w:w="2635" w:type="dxa"/>
          </w:tcPr>
          <w:p w14:paraId="41E995BD" w14:textId="77777777" w:rsidR="00430C07" w:rsidRDefault="00430C07">
            <w:pPr>
              <w:jc w:val="both"/>
              <w:rPr>
                <w:color w:val="C0504D" w:themeColor="accent2"/>
                <w:shd w:val="clear" w:color="auto" w:fill="FFFFFF"/>
              </w:rPr>
            </w:pPr>
          </w:p>
        </w:tc>
      </w:tr>
      <w:tr w:rsidR="00430C07" w14:paraId="379D9E96" w14:textId="77777777">
        <w:tc>
          <w:tcPr>
            <w:tcW w:w="2065" w:type="dxa"/>
          </w:tcPr>
          <w:p w14:paraId="294008F8" w14:textId="77777777" w:rsidR="00430C07" w:rsidRDefault="00430C07">
            <w:pPr>
              <w:ind w:firstLine="567"/>
              <w:jc w:val="both"/>
              <w:rPr>
                <w:color w:val="C0504D" w:themeColor="accent2"/>
                <w:shd w:val="clear" w:color="auto" w:fill="FFFFFF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18A4D409" w14:textId="77777777" w:rsidR="00430C07" w:rsidRDefault="00430C07">
            <w:pPr>
              <w:ind w:firstLine="567"/>
              <w:jc w:val="center"/>
              <w:rPr>
                <w:color w:val="C0504D" w:themeColor="accent2"/>
                <w:shd w:val="clear" w:color="auto" w:fill="FFFFFF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6670AC1" w14:textId="77777777" w:rsidR="00430C07" w:rsidRDefault="00430C07">
            <w:pPr>
              <w:ind w:firstLine="567"/>
              <w:jc w:val="center"/>
              <w:rPr>
                <w:color w:val="C0504D" w:themeColor="accent2"/>
                <w:shd w:val="clear" w:color="auto" w:fill="FFFFFF"/>
              </w:rPr>
            </w:pPr>
          </w:p>
        </w:tc>
        <w:tc>
          <w:tcPr>
            <w:tcW w:w="2635" w:type="dxa"/>
          </w:tcPr>
          <w:p w14:paraId="3A144B68" w14:textId="77777777" w:rsidR="00430C07" w:rsidRDefault="00430C07">
            <w:pPr>
              <w:jc w:val="both"/>
              <w:rPr>
                <w:color w:val="C0504D" w:themeColor="accent2"/>
                <w:shd w:val="clear" w:color="auto" w:fill="FFFFFF"/>
              </w:rPr>
            </w:pPr>
          </w:p>
        </w:tc>
      </w:tr>
      <w:tr w:rsidR="00430C07" w14:paraId="583ED5FD" w14:textId="77777777">
        <w:tc>
          <w:tcPr>
            <w:tcW w:w="2065" w:type="dxa"/>
            <w:vAlign w:val="center"/>
          </w:tcPr>
          <w:p w14:paraId="5AF3943E" w14:textId="77777777" w:rsidR="00430C07" w:rsidRDefault="004F65D0">
            <w:pPr>
              <w:jc w:val="righ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Iš viso: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D8AFD44" w14:textId="77777777" w:rsidR="00430C07" w:rsidRDefault="004F65D0">
            <w:pPr>
              <w:ind w:firstLine="567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0,00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823055F" w14:textId="77777777" w:rsidR="00430C07" w:rsidRDefault="004F65D0">
            <w:pPr>
              <w:ind w:firstLine="567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0,00</w:t>
            </w:r>
          </w:p>
        </w:tc>
        <w:tc>
          <w:tcPr>
            <w:tcW w:w="2635" w:type="dxa"/>
          </w:tcPr>
          <w:p w14:paraId="22920E64" w14:textId="77777777" w:rsidR="00430C07" w:rsidRDefault="00430C07">
            <w:pPr>
              <w:ind w:firstLine="567"/>
              <w:jc w:val="both"/>
              <w:rPr>
                <w:b/>
                <w:shd w:val="clear" w:color="auto" w:fill="FFFFFF"/>
              </w:rPr>
            </w:pPr>
          </w:p>
        </w:tc>
      </w:tr>
    </w:tbl>
    <w:p w14:paraId="27A65E8D" w14:textId="77777777" w:rsidR="00430C07" w:rsidRDefault="00430C07">
      <w:pPr>
        <w:pStyle w:val="Sraopastraipa"/>
        <w:ind w:left="567"/>
        <w:jc w:val="both"/>
        <w:rPr>
          <w:b/>
          <w:shd w:val="clear" w:color="auto" w:fill="FFFFFF"/>
        </w:rPr>
      </w:pPr>
    </w:p>
    <w:p w14:paraId="0DC09230" w14:textId="3F8E2139" w:rsidR="00430C07" w:rsidRDefault="004F65D0">
      <w:pPr>
        <w:pStyle w:val="Sraopastraipa"/>
        <w:numPr>
          <w:ilvl w:val="0"/>
          <w:numId w:val="1"/>
        </w:numPr>
        <w:ind w:left="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Praėjusiais metais nepanaudotas lėšų likutis, kuris ataskaitiniais metais buvo įskaitytas kaip gauti asignavimai, sudarė </w:t>
      </w:r>
      <w:r w:rsidR="00D54D30">
        <w:rPr>
          <w:shd w:val="clear" w:color="auto" w:fill="FFFFFF"/>
        </w:rPr>
        <w:t>655,18</w:t>
      </w:r>
      <w:r>
        <w:rPr>
          <w:shd w:val="clear" w:color="auto" w:fill="FFFFFF"/>
        </w:rPr>
        <w:t xml:space="preserve"> Eur. </w:t>
      </w:r>
    </w:p>
    <w:p w14:paraId="20F7FAA1" w14:textId="1BD03E8F" w:rsidR="00430C07" w:rsidRDefault="004F65D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Pajamos už prekes ir paslaugas 5SB(SP1)LL –</w:t>
      </w:r>
      <w:r w:rsidR="00D54D30">
        <w:rPr>
          <w:shd w:val="clear" w:color="auto" w:fill="FFFFFF"/>
        </w:rPr>
        <w:t>344,00</w:t>
      </w:r>
      <w:r>
        <w:rPr>
          <w:shd w:val="clear" w:color="auto" w:fill="FFFFFF"/>
        </w:rPr>
        <w:t xml:space="preserve"> Eur.</w:t>
      </w:r>
    </w:p>
    <w:p w14:paraId="730733ED" w14:textId="12891DD7" w:rsidR="00430C07" w:rsidRDefault="004F65D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Pajamos už ilgalaikio ir trumpalaikio materialiojo turto nuoma 5SB(SP3)LL –</w:t>
      </w:r>
      <w:r w:rsidR="00D54D30">
        <w:rPr>
          <w:shd w:val="clear" w:color="auto" w:fill="FFFFFF"/>
        </w:rPr>
        <w:t xml:space="preserve">311,18 </w:t>
      </w:r>
      <w:bookmarkStart w:id="2" w:name="_GoBack"/>
      <w:bookmarkEnd w:id="2"/>
      <w:r>
        <w:rPr>
          <w:shd w:val="clear" w:color="auto" w:fill="FFFFFF"/>
        </w:rPr>
        <w:t>Eur.</w:t>
      </w:r>
    </w:p>
    <w:p w14:paraId="765FFE69" w14:textId="77777777" w:rsidR="00430C07" w:rsidRDefault="004F65D0">
      <w:pPr>
        <w:pStyle w:val="Sraopastraipa"/>
        <w:numPr>
          <w:ilvl w:val="0"/>
          <w:numId w:val="1"/>
        </w:numPr>
        <w:ind w:left="0" w:firstLine="851"/>
        <w:jc w:val="both"/>
      </w:pPr>
      <w:r>
        <w:t>Panevėžio rajono Tiltagalių kultūros centras neturi išlaidų, įgyvendinant Europos Sąjungos fondų ir kitų tarptautinių organizacijų finansinės paramos lėšomis bendra</w:t>
      </w:r>
      <w:r>
        <w:t>i finansuojamus projektus, apmokėtų iš valstybės biudžeto lėšų neplanuotoms, netinkamoms finansuoti iš ES fondų ir kitos tarptautinės finansinės paramos išlaidoms padengti.</w:t>
      </w:r>
    </w:p>
    <w:p w14:paraId="5BE81DA2" w14:textId="77777777" w:rsidR="00430C07" w:rsidRDefault="00430C07">
      <w:pPr>
        <w:tabs>
          <w:tab w:val="left" w:pos="851"/>
        </w:tabs>
        <w:rPr>
          <w:caps/>
          <w:sz w:val="22"/>
          <w:szCs w:val="22"/>
          <w:lang w:eastAsia="lt-LT"/>
        </w:rPr>
      </w:pPr>
    </w:p>
    <w:p w14:paraId="44ABEB1C" w14:textId="77777777" w:rsidR="00430C07" w:rsidRDefault="00430C07">
      <w:pPr>
        <w:tabs>
          <w:tab w:val="left" w:pos="851"/>
        </w:tabs>
        <w:rPr>
          <w:caps/>
          <w:sz w:val="22"/>
          <w:szCs w:val="22"/>
          <w:lang w:eastAsia="lt-LT"/>
        </w:rPr>
      </w:pPr>
    </w:p>
    <w:p w14:paraId="12786607" w14:textId="77777777" w:rsidR="00430C07" w:rsidRDefault="004F65D0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Panevėžio rajono </w:t>
      </w:r>
    </w:p>
    <w:p w14:paraId="2FEED0F1" w14:textId="77777777" w:rsidR="00430C07" w:rsidRDefault="004F65D0">
      <w:pPr>
        <w:tabs>
          <w:tab w:val="left" w:pos="851"/>
        </w:tabs>
        <w:jc w:val="both"/>
        <w:rPr>
          <w:caps/>
          <w:szCs w:val="24"/>
          <w:lang w:eastAsia="lt-LT"/>
        </w:rPr>
      </w:pPr>
      <w:r>
        <w:rPr>
          <w:sz w:val="22"/>
          <w:szCs w:val="22"/>
          <w:lang w:eastAsia="lt-LT"/>
        </w:rPr>
        <w:t>Tiltagalių kultūros centro direktorė</w:t>
      </w:r>
      <w:r>
        <w:rPr>
          <w:caps/>
          <w:szCs w:val="24"/>
          <w:lang w:eastAsia="lt-LT"/>
        </w:rPr>
        <w:t xml:space="preserve">             _____________</w:t>
      </w:r>
      <w:r>
        <w:rPr>
          <w:caps/>
          <w:szCs w:val="24"/>
          <w:lang w:eastAsia="lt-LT"/>
        </w:rPr>
        <w:tab/>
      </w:r>
      <w:r>
        <w:rPr>
          <w:caps/>
          <w:szCs w:val="24"/>
          <w:lang w:eastAsia="lt-LT"/>
        </w:rPr>
        <w:tab/>
        <w:t>_______________</w:t>
      </w:r>
    </w:p>
    <w:p w14:paraId="77D28271" w14:textId="77777777" w:rsidR="00430C07" w:rsidRDefault="004F65D0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  (vardas ir pavardė)</w:t>
      </w:r>
    </w:p>
    <w:p w14:paraId="61E32189" w14:textId="77777777" w:rsidR="00430C07" w:rsidRDefault="00430C07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264B7CC2" w14:textId="77777777" w:rsidR="00430C07" w:rsidRDefault="004F65D0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Cs w:val="24"/>
          <w:lang w:eastAsia="lt-LT"/>
        </w:rPr>
        <w:t xml:space="preserve">Vyr. buhalterė                                       </w:t>
      </w:r>
      <w:r>
        <w:rPr>
          <w:sz w:val="20"/>
          <w:lang w:eastAsia="lt-LT"/>
        </w:rPr>
        <w:t xml:space="preserve">      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 xml:space="preserve">                        (vardas ir pavardė)                                                                                                                                                  </w:t>
      </w:r>
    </w:p>
    <w:p w14:paraId="269AAB94" w14:textId="77777777" w:rsidR="00430C07" w:rsidRDefault="00430C07">
      <w:pPr>
        <w:tabs>
          <w:tab w:val="left" w:pos="851"/>
        </w:tabs>
        <w:rPr>
          <w:caps/>
          <w:sz w:val="22"/>
          <w:szCs w:val="22"/>
          <w:lang w:eastAsia="lt-LT"/>
        </w:rPr>
      </w:pPr>
    </w:p>
    <w:sectPr w:rsidR="00430C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B61ED" w14:textId="77777777" w:rsidR="004F65D0" w:rsidRDefault="004F65D0">
      <w:r>
        <w:separator/>
      </w:r>
    </w:p>
  </w:endnote>
  <w:endnote w:type="continuationSeparator" w:id="0">
    <w:p w14:paraId="27C17D98" w14:textId="77777777" w:rsidR="004F65D0" w:rsidRDefault="004F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4D0A4" w14:textId="77777777" w:rsidR="00430C07" w:rsidRDefault="00430C07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4B915" w14:textId="77777777" w:rsidR="00430C07" w:rsidRDefault="00430C07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EF1CC" w14:textId="77777777" w:rsidR="00430C07" w:rsidRDefault="00430C07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2D5A7" w14:textId="77777777" w:rsidR="004F65D0" w:rsidRDefault="004F65D0">
      <w:r>
        <w:separator/>
      </w:r>
    </w:p>
  </w:footnote>
  <w:footnote w:type="continuationSeparator" w:id="0">
    <w:p w14:paraId="04B2336A" w14:textId="77777777" w:rsidR="004F65D0" w:rsidRDefault="004F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9AE3D" w14:textId="77777777" w:rsidR="00430C07" w:rsidRDefault="004F65D0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430C07" w:rsidRDefault="00430C07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D89A3" w14:textId="77777777" w:rsidR="00430C07" w:rsidRDefault="004F65D0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 w:rsidR="00D54D30">
      <w:rPr>
        <w:noProof/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430C07" w:rsidRDefault="00430C07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912BF" w14:textId="77777777" w:rsidR="00430C07" w:rsidRDefault="00430C07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9724B"/>
    <w:multiLevelType w:val="multilevel"/>
    <w:tmpl w:val="5E89724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5A"/>
    <w:rsid w:val="00002FE2"/>
    <w:rsid w:val="000037F1"/>
    <w:rsid w:val="00011183"/>
    <w:rsid w:val="00031DC2"/>
    <w:rsid w:val="0005434C"/>
    <w:rsid w:val="00065909"/>
    <w:rsid w:val="0007147B"/>
    <w:rsid w:val="00076D84"/>
    <w:rsid w:val="00087342"/>
    <w:rsid w:val="000B754D"/>
    <w:rsid w:val="000D1F81"/>
    <w:rsid w:val="0010119D"/>
    <w:rsid w:val="00110A59"/>
    <w:rsid w:val="001118E8"/>
    <w:rsid w:val="00122CE1"/>
    <w:rsid w:val="00131008"/>
    <w:rsid w:val="00175B09"/>
    <w:rsid w:val="00182138"/>
    <w:rsid w:val="001867BF"/>
    <w:rsid w:val="00186D9C"/>
    <w:rsid w:val="00191FEE"/>
    <w:rsid w:val="001B0C1B"/>
    <w:rsid w:val="001D63EF"/>
    <w:rsid w:val="001D74BF"/>
    <w:rsid w:val="001E1C79"/>
    <w:rsid w:val="00237A7D"/>
    <w:rsid w:val="002475D9"/>
    <w:rsid w:val="00257F08"/>
    <w:rsid w:val="002A5ED3"/>
    <w:rsid w:val="002C2A10"/>
    <w:rsid w:val="002C386D"/>
    <w:rsid w:val="002C7C21"/>
    <w:rsid w:val="003017F3"/>
    <w:rsid w:val="00302DBA"/>
    <w:rsid w:val="00344FBC"/>
    <w:rsid w:val="00353447"/>
    <w:rsid w:val="0035400A"/>
    <w:rsid w:val="00381B55"/>
    <w:rsid w:val="003B3390"/>
    <w:rsid w:val="003B4A64"/>
    <w:rsid w:val="003C1113"/>
    <w:rsid w:val="003C230C"/>
    <w:rsid w:val="003C315E"/>
    <w:rsid w:val="00406A24"/>
    <w:rsid w:val="004107E0"/>
    <w:rsid w:val="00426DC9"/>
    <w:rsid w:val="00430C07"/>
    <w:rsid w:val="00436665"/>
    <w:rsid w:val="00441309"/>
    <w:rsid w:val="00473B2C"/>
    <w:rsid w:val="00474E1B"/>
    <w:rsid w:val="0048558B"/>
    <w:rsid w:val="0049091E"/>
    <w:rsid w:val="004A74F3"/>
    <w:rsid w:val="004C003F"/>
    <w:rsid w:val="004C50D1"/>
    <w:rsid w:val="004E56CC"/>
    <w:rsid w:val="004E7522"/>
    <w:rsid w:val="004E766F"/>
    <w:rsid w:val="004F65D0"/>
    <w:rsid w:val="004F7928"/>
    <w:rsid w:val="005127EA"/>
    <w:rsid w:val="005133C6"/>
    <w:rsid w:val="00515E2A"/>
    <w:rsid w:val="00543599"/>
    <w:rsid w:val="00544266"/>
    <w:rsid w:val="005C6357"/>
    <w:rsid w:val="005D4257"/>
    <w:rsid w:val="005F0441"/>
    <w:rsid w:val="005F6356"/>
    <w:rsid w:val="00613FDA"/>
    <w:rsid w:val="00614A66"/>
    <w:rsid w:val="00625904"/>
    <w:rsid w:val="00644377"/>
    <w:rsid w:val="00647D9A"/>
    <w:rsid w:val="0068427D"/>
    <w:rsid w:val="006A518F"/>
    <w:rsid w:val="006B1E02"/>
    <w:rsid w:val="006B3932"/>
    <w:rsid w:val="006B6C48"/>
    <w:rsid w:val="006C0D6E"/>
    <w:rsid w:val="006C5ED7"/>
    <w:rsid w:val="006C60DC"/>
    <w:rsid w:val="006D194F"/>
    <w:rsid w:val="006E2BF5"/>
    <w:rsid w:val="0070201C"/>
    <w:rsid w:val="00704443"/>
    <w:rsid w:val="00705E21"/>
    <w:rsid w:val="0070652F"/>
    <w:rsid w:val="00707591"/>
    <w:rsid w:val="00720CD7"/>
    <w:rsid w:val="007353C3"/>
    <w:rsid w:val="00737DE9"/>
    <w:rsid w:val="00764AD9"/>
    <w:rsid w:val="0076761F"/>
    <w:rsid w:val="0077308F"/>
    <w:rsid w:val="007820A4"/>
    <w:rsid w:val="007B1A2A"/>
    <w:rsid w:val="007B4408"/>
    <w:rsid w:val="007BDD63"/>
    <w:rsid w:val="007C6089"/>
    <w:rsid w:val="007D0FF4"/>
    <w:rsid w:val="007E6942"/>
    <w:rsid w:val="007F1B5F"/>
    <w:rsid w:val="007F7C87"/>
    <w:rsid w:val="008268E8"/>
    <w:rsid w:val="0084636C"/>
    <w:rsid w:val="0086785E"/>
    <w:rsid w:val="008718E0"/>
    <w:rsid w:val="00875BCF"/>
    <w:rsid w:val="00875CEB"/>
    <w:rsid w:val="008B593F"/>
    <w:rsid w:val="008C2925"/>
    <w:rsid w:val="008C6EE8"/>
    <w:rsid w:val="008C7D4B"/>
    <w:rsid w:val="008F26E1"/>
    <w:rsid w:val="008F5E03"/>
    <w:rsid w:val="008F5F34"/>
    <w:rsid w:val="00911FD2"/>
    <w:rsid w:val="00925607"/>
    <w:rsid w:val="00926432"/>
    <w:rsid w:val="00957C3F"/>
    <w:rsid w:val="009679CB"/>
    <w:rsid w:val="00985D68"/>
    <w:rsid w:val="009A5DB6"/>
    <w:rsid w:val="009B4157"/>
    <w:rsid w:val="009B45FB"/>
    <w:rsid w:val="009C172B"/>
    <w:rsid w:val="009F019B"/>
    <w:rsid w:val="009F200C"/>
    <w:rsid w:val="009F483E"/>
    <w:rsid w:val="009F4B2E"/>
    <w:rsid w:val="00A12FBE"/>
    <w:rsid w:val="00A17526"/>
    <w:rsid w:val="00A61956"/>
    <w:rsid w:val="00A71342"/>
    <w:rsid w:val="00A72933"/>
    <w:rsid w:val="00A7722F"/>
    <w:rsid w:val="00A87D8D"/>
    <w:rsid w:val="00A95CB7"/>
    <w:rsid w:val="00AA43C5"/>
    <w:rsid w:val="00AA5C12"/>
    <w:rsid w:val="00AB6825"/>
    <w:rsid w:val="00AC5B8D"/>
    <w:rsid w:val="00AD416B"/>
    <w:rsid w:val="00AD65D7"/>
    <w:rsid w:val="00AE3ED6"/>
    <w:rsid w:val="00AF6102"/>
    <w:rsid w:val="00B3565B"/>
    <w:rsid w:val="00B465E6"/>
    <w:rsid w:val="00B57B9A"/>
    <w:rsid w:val="00B70BB0"/>
    <w:rsid w:val="00B80F04"/>
    <w:rsid w:val="00B9625B"/>
    <w:rsid w:val="00B9708B"/>
    <w:rsid w:val="00BA04FF"/>
    <w:rsid w:val="00BA08BA"/>
    <w:rsid w:val="00BA1FE6"/>
    <w:rsid w:val="00BB1BEA"/>
    <w:rsid w:val="00BB48CB"/>
    <w:rsid w:val="00BC59A5"/>
    <w:rsid w:val="00BC6ABC"/>
    <w:rsid w:val="00BD4DB6"/>
    <w:rsid w:val="00BD62D7"/>
    <w:rsid w:val="00BE0000"/>
    <w:rsid w:val="00BE5D7A"/>
    <w:rsid w:val="00C26968"/>
    <w:rsid w:val="00C30B7B"/>
    <w:rsid w:val="00C44D42"/>
    <w:rsid w:val="00C640CA"/>
    <w:rsid w:val="00C6451E"/>
    <w:rsid w:val="00C6591B"/>
    <w:rsid w:val="00C65BA7"/>
    <w:rsid w:val="00C71028"/>
    <w:rsid w:val="00C72566"/>
    <w:rsid w:val="00C75ACF"/>
    <w:rsid w:val="00C77C7E"/>
    <w:rsid w:val="00C82AE2"/>
    <w:rsid w:val="00CC0C00"/>
    <w:rsid w:val="00CE6CE1"/>
    <w:rsid w:val="00CF1536"/>
    <w:rsid w:val="00D1435A"/>
    <w:rsid w:val="00D250E6"/>
    <w:rsid w:val="00D31F89"/>
    <w:rsid w:val="00D352A3"/>
    <w:rsid w:val="00D4156A"/>
    <w:rsid w:val="00D4322E"/>
    <w:rsid w:val="00D54D30"/>
    <w:rsid w:val="00D5509A"/>
    <w:rsid w:val="00D565E4"/>
    <w:rsid w:val="00D72397"/>
    <w:rsid w:val="00D93EC9"/>
    <w:rsid w:val="00DA23E2"/>
    <w:rsid w:val="00E2503E"/>
    <w:rsid w:val="00E5471A"/>
    <w:rsid w:val="00E5733A"/>
    <w:rsid w:val="00E714F3"/>
    <w:rsid w:val="00E84A20"/>
    <w:rsid w:val="00EE34BF"/>
    <w:rsid w:val="00EF7357"/>
    <w:rsid w:val="00F02875"/>
    <w:rsid w:val="00F05667"/>
    <w:rsid w:val="00F1323E"/>
    <w:rsid w:val="00F2219A"/>
    <w:rsid w:val="00F301D0"/>
    <w:rsid w:val="00F30AC9"/>
    <w:rsid w:val="00F322BD"/>
    <w:rsid w:val="00F32909"/>
    <w:rsid w:val="00F33051"/>
    <w:rsid w:val="00F350D8"/>
    <w:rsid w:val="00F4329A"/>
    <w:rsid w:val="00F45316"/>
    <w:rsid w:val="00F561F8"/>
    <w:rsid w:val="00F575AE"/>
    <w:rsid w:val="00F644F1"/>
    <w:rsid w:val="00F656B6"/>
    <w:rsid w:val="00F71217"/>
    <w:rsid w:val="00F86B23"/>
    <w:rsid w:val="00F91857"/>
    <w:rsid w:val="00F91F3C"/>
    <w:rsid w:val="00F9682C"/>
    <w:rsid w:val="00FB5DB4"/>
    <w:rsid w:val="00FC6252"/>
    <w:rsid w:val="00FD1C16"/>
    <w:rsid w:val="00FD4162"/>
    <w:rsid w:val="00FD4177"/>
    <w:rsid w:val="00FE419B"/>
    <w:rsid w:val="00FF3164"/>
    <w:rsid w:val="00FF7B3C"/>
    <w:rsid w:val="0187BBB8"/>
    <w:rsid w:val="01CAFF72"/>
    <w:rsid w:val="01D07DBB"/>
    <w:rsid w:val="01D0E54D"/>
    <w:rsid w:val="01ECA58A"/>
    <w:rsid w:val="034BE0FE"/>
    <w:rsid w:val="0394D395"/>
    <w:rsid w:val="040701EC"/>
    <w:rsid w:val="042775D7"/>
    <w:rsid w:val="0469836E"/>
    <w:rsid w:val="047AE6B9"/>
    <w:rsid w:val="0496E5D3"/>
    <w:rsid w:val="04DC321E"/>
    <w:rsid w:val="04E76148"/>
    <w:rsid w:val="0511CA66"/>
    <w:rsid w:val="058F13A9"/>
    <w:rsid w:val="05EC82BB"/>
    <w:rsid w:val="05F21A3E"/>
    <w:rsid w:val="06579700"/>
    <w:rsid w:val="0665F37D"/>
    <w:rsid w:val="07732C90"/>
    <w:rsid w:val="07983C41"/>
    <w:rsid w:val="07B77997"/>
    <w:rsid w:val="081F32DD"/>
    <w:rsid w:val="0883DCD6"/>
    <w:rsid w:val="091E7692"/>
    <w:rsid w:val="0995E105"/>
    <w:rsid w:val="09E1CCBE"/>
    <w:rsid w:val="0A425F55"/>
    <w:rsid w:val="0B23C48D"/>
    <w:rsid w:val="0C2DB120"/>
    <w:rsid w:val="0C60EA74"/>
    <w:rsid w:val="0C691531"/>
    <w:rsid w:val="0D0C8112"/>
    <w:rsid w:val="0D11B8F7"/>
    <w:rsid w:val="0D4922B1"/>
    <w:rsid w:val="0D5025E9"/>
    <w:rsid w:val="0D93D6C6"/>
    <w:rsid w:val="0DB17C29"/>
    <w:rsid w:val="0E4E8CB2"/>
    <w:rsid w:val="0E5AB820"/>
    <w:rsid w:val="0EA9EB9E"/>
    <w:rsid w:val="0EBC4FF8"/>
    <w:rsid w:val="0EC7339C"/>
    <w:rsid w:val="0EF8F30D"/>
    <w:rsid w:val="0F0FA4EC"/>
    <w:rsid w:val="0F917B34"/>
    <w:rsid w:val="0FB554DD"/>
    <w:rsid w:val="0FCD3E68"/>
    <w:rsid w:val="104346A8"/>
    <w:rsid w:val="1070C91E"/>
    <w:rsid w:val="10FFCA6B"/>
    <w:rsid w:val="11A959E8"/>
    <w:rsid w:val="125208AB"/>
    <w:rsid w:val="12B50511"/>
    <w:rsid w:val="12B73158"/>
    <w:rsid w:val="133331FC"/>
    <w:rsid w:val="136CBB65"/>
    <w:rsid w:val="137285C2"/>
    <w:rsid w:val="14024B3D"/>
    <w:rsid w:val="14130967"/>
    <w:rsid w:val="141A30F2"/>
    <w:rsid w:val="141F8AFA"/>
    <w:rsid w:val="147AE1EF"/>
    <w:rsid w:val="1480C87F"/>
    <w:rsid w:val="14838269"/>
    <w:rsid w:val="1483F34D"/>
    <w:rsid w:val="14B80E39"/>
    <w:rsid w:val="14E0BF7D"/>
    <w:rsid w:val="15DC8DD6"/>
    <w:rsid w:val="1605A0A7"/>
    <w:rsid w:val="165BA710"/>
    <w:rsid w:val="16A3808A"/>
    <w:rsid w:val="16AFAE29"/>
    <w:rsid w:val="17139253"/>
    <w:rsid w:val="1750892D"/>
    <w:rsid w:val="1758C6A5"/>
    <w:rsid w:val="17A7AD11"/>
    <w:rsid w:val="17EFB463"/>
    <w:rsid w:val="1825DFAF"/>
    <w:rsid w:val="18AF17CA"/>
    <w:rsid w:val="18F5470D"/>
    <w:rsid w:val="1967DB45"/>
    <w:rsid w:val="19C0079C"/>
    <w:rsid w:val="19E05A2E"/>
    <w:rsid w:val="19EC7075"/>
    <w:rsid w:val="1A121A78"/>
    <w:rsid w:val="1A5029F4"/>
    <w:rsid w:val="1A593C72"/>
    <w:rsid w:val="1AB3BD2D"/>
    <w:rsid w:val="1AD52DB4"/>
    <w:rsid w:val="1AEBC962"/>
    <w:rsid w:val="1B4D7C89"/>
    <w:rsid w:val="1B4F0C3A"/>
    <w:rsid w:val="1B6CEEE2"/>
    <w:rsid w:val="1B7DD638"/>
    <w:rsid w:val="1BB7CFBC"/>
    <w:rsid w:val="1BD14BE1"/>
    <w:rsid w:val="1BD6AEF7"/>
    <w:rsid w:val="1BDA5D31"/>
    <w:rsid w:val="1C50F4C1"/>
    <w:rsid w:val="1C8E93CC"/>
    <w:rsid w:val="1CBA6076"/>
    <w:rsid w:val="1CC4A4E4"/>
    <w:rsid w:val="1D1CF0A1"/>
    <w:rsid w:val="1D4F30B1"/>
    <w:rsid w:val="1DDE51FB"/>
    <w:rsid w:val="1E1C09C9"/>
    <w:rsid w:val="1E22897D"/>
    <w:rsid w:val="1E7FEB95"/>
    <w:rsid w:val="1E8B2FF1"/>
    <w:rsid w:val="1EE32EBD"/>
    <w:rsid w:val="1EE64445"/>
    <w:rsid w:val="1F146FCB"/>
    <w:rsid w:val="1F353804"/>
    <w:rsid w:val="1F36A0F2"/>
    <w:rsid w:val="1FA54855"/>
    <w:rsid w:val="1FEE5F12"/>
    <w:rsid w:val="1FFA4F9B"/>
    <w:rsid w:val="2015191F"/>
    <w:rsid w:val="208FE7D5"/>
    <w:rsid w:val="2097EF3F"/>
    <w:rsid w:val="20E8E514"/>
    <w:rsid w:val="20F7500E"/>
    <w:rsid w:val="215293BE"/>
    <w:rsid w:val="2172224A"/>
    <w:rsid w:val="21AA7FBA"/>
    <w:rsid w:val="2233840B"/>
    <w:rsid w:val="22917787"/>
    <w:rsid w:val="22F1FD7D"/>
    <w:rsid w:val="230F91DF"/>
    <w:rsid w:val="231197E8"/>
    <w:rsid w:val="2352EDFA"/>
    <w:rsid w:val="23C262FA"/>
    <w:rsid w:val="23D221EF"/>
    <w:rsid w:val="23DBA099"/>
    <w:rsid w:val="2400145A"/>
    <w:rsid w:val="240FB64C"/>
    <w:rsid w:val="2453484D"/>
    <w:rsid w:val="250DF4F5"/>
    <w:rsid w:val="253A9E90"/>
    <w:rsid w:val="256F76E1"/>
    <w:rsid w:val="25741E9C"/>
    <w:rsid w:val="25965935"/>
    <w:rsid w:val="26608792"/>
    <w:rsid w:val="26625522"/>
    <w:rsid w:val="266E9CB2"/>
    <w:rsid w:val="26AB0064"/>
    <w:rsid w:val="27283FCA"/>
    <w:rsid w:val="273AE7EC"/>
    <w:rsid w:val="27A080B5"/>
    <w:rsid w:val="27C82761"/>
    <w:rsid w:val="27DDC30F"/>
    <w:rsid w:val="27EB9DD7"/>
    <w:rsid w:val="27F94871"/>
    <w:rsid w:val="28522CFB"/>
    <w:rsid w:val="2858BBD9"/>
    <w:rsid w:val="292093DD"/>
    <w:rsid w:val="295BA73F"/>
    <w:rsid w:val="2964A4F4"/>
    <w:rsid w:val="2965F3F7"/>
    <w:rsid w:val="29837707"/>
    <w:rsid w:val="298508E3"/>
    <w:rsid w:val="2A4C143C"/>
    <w:rsid w:val="2AB31C43"/>
    <w:rsid w:val="2AD7885C"/>
    <w:rsid w:val="2B0C2D8A"/>
    <w:rsid w:val="2B258CF7"/>
    <w:rsid w:val="2B3B06F4"/>
    <w:rsid w:val="2B5537D3"/>
    <w:rsid w:val="2B763E26"/>
    <w:rsid w:val="2BAE1625"/>
    <w:rsid w:val="2BD2E241"/>
    <w:rsid w:val="2C399639"/>
    <w:rsid w:val="2CA096B3"/>
    <w:rsid w:val="2CB60B8F"/>
    <w:rsid w:val="2D080978"/>
    <w:rsid w:val="2D58E16F"/>
    <w:rsid w:val="2DABD31D"/>
    <w:rsid w:val="2DBAB38F"/>
    <w:rsid w:val="2E044770"/>
    <w:rsid w:val="2EFAFBDA"/>
    <w:rsid w:val="2F263532"/>
    <w:rsid w:val="2FD4EA63"/>
    <w:rsid w:val="30021956"/>
    <w:rsid w:val="30C71FC9"/>
    <w:rsid w:val="314D0743"/>
    <w:rsid w:val="316C87E7"/>
    <w:rsid w:val="316D289B"/>
    <w:rsid w:val="31B57F84"/>
    <w:rsid w:val="31E7C8BA"/>
    <w:rsid w:val="32155E20"/>
    <w:rsid w:val="321AC9F3"/>
    <w:rsid w:val="322BFA58"/>
    <w:rsid w:val="325FE424"/>
    <w:rsid w:val="33404E0D"/>
    <w:rsid w:val="33B5BC61"/>
    <w:rsid w:val="33D00A9A"/>
    <w:rsid w:val="33D7599C"/>
    <w:rsid w:val="341EF4F2"/>
    <w:rsid w:val="3432AC68"/>
    <w:rsid w:val="349F4308"/>
    <w:rsid w:val="3546A7DC"/>
    <w:rsid w:val="35585501"/>
    <w:rsid w:val="35B42C00"/>
    <w:rsid w:val="35BC1192"/>
    <w:rsid w:val="35EE0D02"/>
    <w:rsid w:val="362AF682"/>
    <w:rsid w:val="364A212C"/>
    <w:rsid w:val="367199B9"/>
    <w:rsid w:val="3681C78B"/>
    <w:rsid w:val="36A8B9A9"/>
    <w:rsid w:val="36EB25AE"/>
    <w:rsid w:val="36F87A73"/>
    <w:rsid w:val="3716A963"/>
    <w:rsid w:val="3730745D"/>
    <w:rsid w:val="376A056E"/>
    <w:rsid w:val="37826B3B"/>
    <w:rsid w:val="37F83A47"/>
    <w:rsid w:val="3848218A"/>
    <w:rsid w:val="38BF12FC"/>
    <w:rsid w:val="38F3FA3F"/>
    <w:rsid w:val="39924D65"/>
    <w:rsid w:val="399456CF"/>
    <w:rsid w:val="3A103196"/>
    <w:rsid w:val="3ABBAB5B"/>
    <w:rsid w:val="3AE88A06"/>
    <w:rsid w:val="3B410D04"/>
    <w:rsid w:val="3B8144BB"/>
    <w:rsid w:val="3BABF0C6"/>
    <w:rsid w:val="3BF3BB69"/>
    <w:rsid w:val="3C4791BB"/>
    <w:rsid w:val="3C47993B"/>
    <w:rsid w:val="3CA4467D"/>
    <w:rsid w:val="3CC0CF2F"/>
    <w:rsid w:val="3CDD1E77"/>
    <w:rsid w:val="3D84B9ED"/>
    <w:rsid w:val="3E184CD2"/>
    <w:rsid w:val="3E216DF5"/>
    <w:rsid w:val="3ECC7A80"/>
    <w:rsid w:val="3F02AD3D"/>
    <w:rsid w:val="3F492698"/>
    <w:rsid w:val="3F6A958D"/>
    <w:rsid w:val="3F88C04D"/>
    <w:rsid w:val="3F922AD3"/>
    <w:rsid w:val="3FB133D8"/>
    <w:rsid w:val="3FDA4982"/>
    <w:rsid w:val="40797A15"/>
    <w:rsid w:val="407B6DFD"/>
    <w:rsid w:val="409A6321"/>
    <w:rsid w:val="40F3B866"/>
    <w:rsid w:val="411316EF"/>
    <w:rsid w:val="415B9169"/>
    <w:rsid w:val="41DED00D"/>
    <w:rsid w:val="4256937B"/>
    <w:rsid w:val="42768BF4"/>
    <w:rsid w:val="42FB5465"/>
    <w:rsid w:val="42FD767E"/>
    <w:rsid w:val="435228A0"/>
    <w:rsid w:val="43A5F1E8"/>
    <w:rsid w:val="43CD5786"/>
    <w:rsid w:val="443EBF2A"/>
    <w:rsid w:val="44438574"/>
    <w:rsid w:val="44464C5F"/>
    <w:rsid w:val="446761B3"/>
    <w:rsid w:val="44D62CA8"/>
    <w:rsid w:val="45088A64"/>
    <w:rsid w:val="460BBF90"/>
    <w:rsid w:val="4631FEEB"/>
    <w:rsid w:val="46485E28"/>
    <w:rsid w:val="4653B433"/>
    <w:rsid w:val="4698727C"/>
    <w:rsid w:val="46B6D8E2"/>
    <w:rsid w:val="475BC188"/>
    <w:rsid w:val="47AA77D5"/>
    <w:rsid w:val="47F437BF"/>
    <w:rsid w:val="483B56AC"/>
    <w:rsid w:val="4867ED00"/>
    <w:rsid w:val="48897604"/>
    <w:rsid w:val="48E479AE"/>
    <w:rsid w:val="49050557"/>
    <w:rsid w:val="491F6EFC"/>
    <w:rsid w:val="49202100"/>
    <w:rsid w:val="494DD3A6"/>
    <w:rsid w:val="495F2907"/>
    <w:rsid w:val="498F577D"/>
    <w:rsid w:val="49924771"/>
    <w:rsid w:val="49950249"/>
    <w:rsid w:val="49CE0D9D"/>
    <w:rsid w:val="49EFE1F3"/>
    <w:rsid w:val="4A7F06A1"/>
    <w:rsid w:val="4AA5FC1D"/>
    <w:rsid w:val="4AD9FED1"/>
    <w:rsid w:val="4B404B4F"/>
    <w:rsid w:val="4B507CC6"/>
    <w:rsid w:val="4B876B24"/>
    <w:rsid w:val="4C825DE3"/>
    <w:rsid w:val="4C894EF3"/>
    <w:rsid w:val="4D11C67A"/>
    <w:rsid w:val="4D74212E"/>
    <w:rsid w:val="4D988929"/>
    <w:rsid w:val="4D9A32C3"/>
    <w:rsid w:val="4DC6DF42"/>
    <w:rsid w:val="4DD8A0C3"/>
    <w:rsid w:val="4DEBF6A6"/>
    <w:rsid w:val="4E7E445E"/>
    <w:rsid w:val="4E97BFA0"/>
    <w:rsid w:val="4EA9C9FE"/>
    <w:rsid w:val="4ED07664"/>
    <w:rsid w:val="4EEC33FC"/>
    <w:rsid w:val="4F94A8B5"/>
    <w:rsid w:val="4FC62AE8"/>
    <w:rsid w:val="4FFB3BA3"/>
    <w:rsid w:val="508E0BC6"/>
    <w:rsid w:val="509AA25B"/>
    <w:rsid w:val="50CE2EF5"/>
    <w:rsid w:val="51814E25"/>
    <w:rsid w:val="5181D1AE"/>
    <w:rsid w:val="5181D7CD"/>
    <w:rsid w:val="51B322F6"/>
    <w:rsid w:val="51D19086"/>
    <w:rsid w:val="5216EB17"/>
    <w:rsid w:val="5218F4F8"/>
    <w:rsid w:val="52653426"/>
    <w:rsid w:val="5341B653"/>
    <w:rsid w:val="53FF879A"/>
    <w:rsid w:val="541DBE1C"/>
    <w:rsid w:val="542E58D0"/>
    <w:rsid w:val="5485596C"/>
    <w:rsid w:val="54B3425F"/>
    <w:rsid w:val="54F8073B"/>
    <w:rsid w:val="555D3AA1"/>
    <w:rsid w:val="5596D91E"/>
    <w:rsid w:val="55DB8C53"/>
    <w:rsid w:val="55FA4674"/>
    <w:rsid w:val="55FE34EA"/>
    <w:rsid w:val="560588E4"/>
    <w:rsid w:val="56407BDA"/>
    <w:rsid w:val="5646A15C"/>
    <w:rsid w:val="56493058"/>
    <w:rsid w:val="56592B7E"/>
    <w:rsid w:val="56D40424"/>
    <w:rsid w:val="56E54921"/>
    <w:rsid w:val="5722DF09"/>
    <w:rsid w:val="572845D9"/>
    <w:rsid w:val="5764D0CC"/>
    <w:rsid w:val="57E36C2F"/>
    <w:rsid w:val="57F891F4"/>
    <w:rsid w:val="57FCE3B1"/>
    <w:rsid w:val="587C6004"/>
    <w:rsid w:val="587DB7B6"/>
    <w:rsid w:val="58DB7708"/>
    <w:rsid w:val="591A9E51"/>
    <w:rsid w:val="594C1258"/>
    <w:rsid w:val="59B9A788"/>
    <w:rsid w:val="59C41C43"/>
    <w:rsid w:val="59FE2D26"/>
    <w:rsid w:val="5A8A08C6"/>
    <w:rsid w:val="5B6FA559"/>
    <w:rsid w:val="5BF88137"/>
    <w:rsid w:val="5C57F4CB"/>
    <w:rsid w:val="5C8C8C5A"/>
    <w:rsid w:val="5CA84E7E"/>
    <w:rsid w:val="5CCC42FC"/>
    <w:rsid w:val="5CDCFCBF"/>
    <w:rsid w:val="5D1B1F19"/>
    <w:rsid w:val="5D4F04C3"/>
    <w:rsid w:val="5D79003B"/>
    <w:rsid w:val="5DA33162"/>
    <w:rsid w:val="5DE0769D"/>
    <w:rsid w:val="5DE8002C"/>
    <w:rsid w:val="5E6FD9C3"/>
    <w:rsid w:val="5E973644"/>
    <w:rsid w:val="5EA04086"/>
    <w:rsid w:val="5F130054"/>
    <w:rsid w:val="5F546967"/>
    <w:rsid w:val="5F947A2B"/>
    <w:rsid w:val="5FB7260E"/>
    <w:rsid w:val="603033DB"/>
    <w:rsid w:val="609B1426"/>
    <w:rsid w:val="611CEAE0"/>
    <w:rsid w:val="612B324D"/>
    <w:rsid w:val="6134F08F"/>
    <w:rsid w:val="614FEF9D"/>
    <w:rsid w:val="61B328D6"/>
    <w:rsid w:val="61CCF98E"/>
    <w:rsid w:val="61E4BF29"/>
    <w:rsid w:val="6270D1D0"/>
    <w:rsid w:val="629B84A8"/>
    <w:rsid w:val="62D52C2D"/>
    <w:rsid w:val="6317D21B"/>
    <w:rsid w:val="63282235"/>
    <w:rsid w:val="6351D15E"/>
    <w:rsid w:val="635EDBB0"/>
    <w:rsid w:val="637A2E85"/>
    <w:rsid w:val="638FC5F5"/>
    <w:rsid w:val="639ABEA1"/>
    <w:rsid w:val="63A31169"/>
    <w:rsid w:val="63BEFC6B"/>
    <w:rsid w:val="63D8F8AE"/>
    <w:rsid w:val="63E9F34A"/>
    <w:rsid w:val="6426A0BC"/>
    <w:rsid w:val="64870D1F"/>
    <w:rsid w:val="6546BC3D"/>
    <w:rsid w:val="65838031"/>
    <w:rsid w:val="65C2095E"/>
    <w:rsid w:val="660B4004"/>
    <w:rsid w:val="663FF720"/>
    <w:rsid w:val="66BA20D4"/>
    <w:rsid w:val="66CB5A60"/>
    <w:rsid w:val="66D57A7A"/>
    <w:rsid w:val="6750F4C6"/>
    <w:rsid w:val="67990F6D"/>
    <w:rsid w:val="67A89F18"/>
    <w:rsid w:val="67CDD667"/>
    <w:rsid w:val="67FCF942"/>
    <w:rsid w:val="680AEEB8"/>
    <w:rsid w:val="684665EA"/>
    <w:rsid w:val="689D44CD"/>
    <w:rsid w:val="6929FFB4"/>
    <w:rsid w:val="693D5890"/>
    <w:rsid w:val="6941B307"/>
    <w:rsid w:val="69BE100D"/>
    <w:rsid w:val="69FB6AB9"/>
    <w:rsid w:val="6A1CE891"/>
    <w:rsid w:val="6A3FE193"/>
    <w:rsid w:val="6A73C951"/>
    <w:rsid w:val="6AC7AB58"/>
    <w:rsid w:val="6AD9DDB9"/>
    <w:rsid w:val="6AE59E95"/>
    <w:rsid w:val="6AF69AB4"/>
    <w:rsid w:val="6B82A283"/>
    <w:rsid w:val="6BB16C42"/>
    <w:rsid w:val="6BCCAB34"/>
    <w:rsid w:val="6C51137F"/>
    <w:rsid w:val="6CB659A3"/>
    <w:rsid w:val="6CF83B58"/>
    <w:rsid w:val="6D2BDDFF"/>
    <w:rsid w:val="6DF9B5A0"/>
    <w:rsid w:val="6E1FCE88"/>
    <w:rsid w:val="6E8D768C"/>
    <w:rsid w:val="6E93DA14"/>
    <w:rsid w:val="6EC6877E"/>
    <w:rsid w:val="6F65FFD3"/>
    <w:rsid w:val="6F6AFAD2"/>
    <w:rsid w:val="6FA35651"/>
    <w:rsid w:val="6FBAADE7"/>
    <w:rsid w:val="7077C7B3"/>
    <w:rsid w:val="707C7CD1"/>
    <w:rsid w:val="7129ACEF"/>
    <w:rsid w:val="716B6839"/>
    <w:rsid w:val="7170025D"/>
    <w:rsid w:val="717498E6"/>
    <w:rsid w:val="717A88B4"/>
    <w:rsid w:val="7238313C"/>
    <w:rsid w:val="725DBF61"/>
    <w:rsid w:val="727CD095"/>
    <w:rsid w:val="72DCDA87"/>
    <w:rsid w:val="7322B50F"/>
    <w:rsid w:val="73398D5B"/>
    <w:rsid w:val="735CFE88"/>
    <w:rsid w:val="73793D4B"/>
    <w:rsid w:val="7398E65E"/>
    <w:rsid w:val="74112CC9"/>
    <w:rsid w:val="741F77A1"/>
    <w:rsid w:val="7443FA13"/>
    <w:rsid w:val="74560E0B"/>
    <w:rsid w:val="747A0944"/>
    <w:rsid w:val="74B55940"/>
    <w:rsid w:val="74BFCD9D"/>
    <w:rsid w:val="74C54344"/>
    <w:rsid w:val="752707F4"/>
    <w:rsid w:val="75831A93"/>
    <w:rsid w:val="75E1EA5A"/>
    <w:rsid w:val="76606092"/>
    <w:rsid w:val="769D140F"/>
    <w:rsid w:val="76A86506"/>
    <w:rsid w:val="76B80AAF"/>
    <w:rsid w:val="76CDC68D"/>
    <w:rsid w:val="76D1212D"/>
    <w:rsid w:val="76EEE8C8"/>
    <w:rsid w:val="775F9AE2"/>
    <w:rsid w:val="77D9AB22"/>
    <w:rsid w:val="77FF3BC2"/>
    <w:rsid w:val="788DD671"/>
    <w:rsid w:val="78950447"/>
    <w:rsid w:val="78996730"/>
    <w:rsid w:val="78D07527"/>
    <w:rsid w:val="79656DE9"/>
    <w:rsid w:val="799B830B"/>
    <w:rsid w:val="7B19A1DC"/>
    <w:rsid w:val="7B32C090"/>
    <w:rsid w:val="7B453E68"/>
    <w:rsid w:val="7B5B4EA9"/>
    <w:rsid w:val="7B6966DC"/>
    <w:rsid w:val="7BE87CE9"/>
    <w:rsid w:val="7C3D16AE"/>
    <w:rsid w:val="7C444BB0"/>
    <w:rsid w:val="7C7E658D"/>
    <w:rsid w:val="7D1679F6"/>
    <w:rsid w:val="7D486B1F"/>
    <w:rsid w:val="7D8F9E6B"/>
    <w:rsid w:val="7DAD80E6"/>
    <w:rsid w:val="7DB644C0"/>
    <w:rsid w:val="7DD1390A"/>
    <w:rsid w:val="7DEAC167"/>
    <w:rsid w:val="7E08A922"/>
    <w:rsid w:val="7E1A6B78"/>
    <w:rsid w:val="7E607995"/>
    <w:rsid w:val="7E70FB6E"/>
    <w:rsid w:val="7EA12E01"/>
    <w:rsid w:val="7EF1AE8C"/>
    <w:rsid w:val="7F09E4D7"/>
    <w:rsid w:val="7F345ABB"/>
    <w:rsid w:val="7F488F81"/>
    <w:rsid w:val="7FDF2245"/>
    <w:rsid w:val="7FF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unhideWhenUsed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semiHidden/>
    <w:unhideWhenUsed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nhideWhenUsed/>
    <w:qFormat/>
    <w:rPr>
      <w:color w:val="0000FF" w:themeColor="hyperlink"/>
      <w:u w:val="single"/>
    </w:rPr>
  </w:style>
  <w:style w:type="table" w:styleId="Lentelstinklelis">
    <w:name w:val="Table Grid"/>
    <w:basedOn w:val="prastojilentel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Betarp">
    <w:name w:val="No Spacing"/>
    <w:uiPriority w:val="1"/>
    <w:qFormat/>
    <w:rPr>
      <w:sz w:val="24"/>
      <w:lang w:eastAsia="en-US"/>
    </w:rPr>
  </w:style>
  <w:style w:type="paragraph" w:customStyle="1" w:styleId="Pataisymai1">
    <w:name w:val="Pataisymai1"/>
    <w:hidden/>
    <w:semiHidden/>
    <w:qFormat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semiHidden/>
    <w:qFormat/>
  </w:style>
  <w:style w:type="character" w:customStyle="1" w:styleId="PoratDiagrama">
    <w:name w:val="Poraštė Diagrama"/>
    <w:basedOn w:val="Numatytasispastraiposriftas"/>
    <w:link w:val="Porat"/>
    <w:semiHidden/>
    <w:qFormat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unhideWhenUsed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semiHidden/>
    <w:unhideWhenUsed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nhideWhenUsed/>
    <w:qFormat/>
    <w:rPr>
      <w:color w:val="0000FF" w:themeColor="hyperlink"/>
      <w:u w:val="single"/>
    </w:rPr>
  </w:style>
  <w:style w:type="table" w:styleId="Lentelstinklelis">
    <w:name w:val="Table Grid"/>
    <w:basedOn w:val="prastojilentel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Betarp">
    <w:name w:val="No Spacing"/>
    <w:uiPriority w:val="1"/>
    <w:qFormat/>
    <w:rPr>
      <w:sz w:val="24"/>
      <w:lang w:eastAsia="en-US"/>
    </w:rPr>
  </w:style>
  <w:style w:type="paragraph" w:customStyle="1" w:styleId="Pataisymai1">
    <w:name w:val="Pataisymai1"/>
    <w:hidden/>
    <w:semiHidden/>
    <w:qFormat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semiHidden/>
    <w:qFormat/>
  </w:style>
  <w:style w:type="character" w:customStyle="1" w:styleId="PoratDiagrama">
    <w:name w:val="Poraštė Diagrama"/>
    <w:basedOn w:val="Numatytasispastraiposriftas"/>
    <w:link w:val="Porat"/>
    <w:semiHidden/>
    <w:qFormat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1D90D-16DB-4C5C-8E83-704B6C3E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2925</Words>
  <Characters>1668</Characters>
  <Application>Microsoft Office Word</Application>
  <DocSecurity>0</DocSecurity>
  <Lines>13</Lines>
  <Paragraphs>9</Paragraphs>
  <ScaleCrop>false</ScaleCrop>
  <Company>LR FM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us</cp:lastModifiedBy>
  <cp:revision>11</cp:revision>
  <cp:lastPrinted>2025-10-02T09:37:00Z</cp:lastPrinted>
  <dcterms:created xsi:type="dcterms:W3CDTF">2025-07-07T05:30:00Z</dcterms:created>
  <dcterms:modified xsi:type="dcterms:W3CDTF">2026-01-14T12:44:00Z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6663AB5DBA844E838607DA9FF40028B4_12</vt:lpwstr>
  </property>
</Properties>
</file>