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4089" w14:textId="77777777" w:rsidR="00000000" w:rsidRDefault="00000000">
      <w:pPr>
        <w:jc w:val="center"/>
        <w:outlineLvl w:val="0"/>
        <w:rPr>
          <w:rFonts w:ascii="Times New Roman" w:hAnsi="Times New Roman"/>
          <w:szCs w:val="24"/>
        </w:rPr>
      </w:pPr>
      <w:r>
        <w:rPr>
          <w:rFonts w:ascii="Times New Roman" w:hAnsi="Times New Roman"/>
          <w:szCs w:val="24"/>
        </w:rPr>
        <w:t>Panevėžio rajono Tiltagalių kultūros centras</w:t>
      </w:r>
    </w:p>
    <w:p w14:paraId="4EE5A5F4" w14:textId="77777777" w:rsidR="00000000" w:rsidRDefault="00000000">
      <w:pPr>
        <w:jc w:val="center"/>
        <w:outlineLvl w:val="0"/>
        <w:rPr>
          <w:rFonts w:ascii="Times New Roman" w:hAnsi="Times New Roman"/>
          <w:b/>
          <w:sz w:val="24"/>
          <w:szCs w:val="24"/>
        </w:rPr>
      </w:pPr>
      <w:r>
        <w:rPr>
          <w:rFonts w:ascii="Times New Roman" w:hAnsi="Times New Roman"/>
          <w:b/>
          <w:sz w:val="24"/>
          <w:szCs w:val="24"/>
        </w:rPr>
        <w:t>METINIS FINANSINIŲ ATASKAITŲ AIŠKINAMASIS RAŠTAS</w:t>
      </w:r>
    </w:p>
    <w:p w14:paraId="5B1C67D7" w14:textId="77777777" w:rsidR="00000000" w:rsidRDefault="00000000">
      <w:pPr>
        <w:ind w:left="360"/>
        <w:jc w:val="center"/>
        <w:outlineLvl w:val="0"/>
        <w:rPr>
          <w:rFonts w:ascii="Times New Roman" w:hAnsi="Times New Roman"/>
          <w:sz w:val="24"/>
          <w:szCs w:val="24"/>
        </w:rPr>
      </w:pPr>
      <w:r>
        <w:rPr>
          <w:rFonts w:ascii="Times New Roman" w:hAnsi="Times New Roman"/>
        </w:rPr>
        <w:t>2025 m. gruodžio 31 d</w:t>
      </w:r>
      <w:r>
        <w:rPr>
          <w:rFonts w:ascii="Times New Roman" w:hAnsi="Times New Roman"/>
          <w:sz w:val="24"/>
          <w:szCs w:val="24"/>
        </w:rPr>
        <w:t>.</w:t>
      </w:r>
    </w:p>
    <w:p w14:paraId="6BC89A04" w14:textId="77777777" w:rsidR="00000000" w:rsidRDefault="00000000">
      <w:pPr>
        <w:ind w:left="1080"/>
        <w:jc w:val="both"/>
        <w:outlineLvl w:val="0"/>
        <w:rPr>
          <w:rFonts w:ascii="Times New Roman" w:hAnsi="Times New Roman"/>
          <w:b/>
          <w:sz w:val="24"/>
          <w:szCs w:val="24"/>
        </w:rPr>
      </w:pPr>
      <w:r>
        <w:rPr>
          <w:rFonts w:ascii="Times New Roman" w:hAnsi="Times New Roman"/>
          <w:b/>
          <w:sz w:val="24"/>
          <w:szCs w:val="24"/>
        </w:rPr>
        <w:t xml:space="preserve">                                     I.  BENDROJI DALIS</w:t>
      </w:r>
    </w:p>
    <w:p w14:paraId="09C96F69" w14:textId="77777777" w:rsidR="00000000" w:rsidRDefault="00000000">
      <w:pPr>
        <w:jc w:val="both"/>
        <w:rPr>
          <w:rFonts w:ascii="Times New Roman" w:hAnsi="Times New Roman"/>
          <w:sz w:val="24"/>
          <w:szCs w:val="24"/>
        </w:rPr>
      </w:pPr>
      <w:r>
        <w:rPr>
          <w:rFonts w:ascii="Times New Roman" w:hAnsi="Times New Roman"/>
          <w:sz w:val="24"/>
          <w:szCs w:val="24"/>
        </w:rPr>
        <w:t xml:space="preserve">                Viešojo  sektoriaus subjektas: Panevėžio rajono Tiltagalių kultūros centras. Įstaigos kodas 188212872;</w:t>
      </w:r>
    </w:p>
    <w:p w14:paraId="0FC3CE9D" w14:textId="77777777" w:rsidR="00000000" w:rsidRDefault="00000000">
      <w:pPr>
        <w:jc w:val="both"/>
        <w:rPr>
          <w:rFonts w:ascii="Times New Roman" w:hAnsi="Times New Roman"/>
          <w:sz w:val="24"/>
          <w:szCs w:val="24"/>
        </w:rPr>
      </w:pPr>
      <w:r>
        <w:rPr>
          <w:rFonts w:ascii="Times New Roman" w:hAnsi="Times New Roman"/>
          <w:sz w:val="24"/>
          <w:szCs w:val="24"/>
        </w:rPr>
        <w:t xml:space="preserve">     Adresas: Paežerio g. 2, Tiltagalių k., Panevėžio r.;</w:t>
      </w:r>
    </w:p>
    <w:p w14:paraId="65DA0ABD" w14:textId="77777777" w:rsidR="00000000" w:rsidRDefault="00000000">
      <w:pPr>
        <w:jc w:val="both"/>
        <w:rPr>
          <w:rFonts w:ascii="Times New Roman" w:hAnsi="Times New Roman"/>
          <w:sz w:val="24"/>
          <w:szCs w:val="24"/>
        </w:rPr>
      </w:pPr>
      <w:r>
        <w:rPr>
          <w:rFonts w:ascii="Times New Roman" w:hAnsi="Times New Roman"/>
          <w:sz w:val="24"/>
          <w:szCs w:val="24"/>
        </w:rPr>
        <w:t xml:space="preserve">     Kontroliuojantis subjektas: Panevėžio rajono savivaldybės administracijos Finansų skyrius.</w:t>
      </w:r>
    </w:p>
    <w:p w14:paraId="78DAED37" w14:textId="77777777" w:rsidR="00000000" w:rsidRDefault="00000000">
      <w:pPr>
        <w:jc w:val="both"/>
        <w:rPr>
          <w:rFonts w:ascii="Times New Roman" w:hAnsi="Times New Roman"/>
          <w:sz w:val="24"/>
          <w:szCs w:val="24"/>
        </w:rPr>
      </w:pPr>
      <w:r>
        <w:rPr>
          <w:rFonts w:ascii="Times New Roman" w:hAnsi="Times New Roman"/>
          <w:sz w:val="24"/>
          <w:szCs w:val="24"/>
        </w:rPr>
        <w:t xml:space="preserve">     Karsakiškio seniūnijos Tiltagalių kultūros centras yra biudžetinė pelno nesiekianti aktyvaus bendruomenės gyvenimo skatinimo įstaiga, sudaranti sąlygas saviveiklai ir kultūrinio gyvenimo skatinimui. Tikslas – sudaryti sąlygas bendruomenės aktyvaus kultūrinio gyvenimo skatinimui.  </w:t>
      </w:r>
    </w:p>
    <w:p w14:paraId="01CB6127" w14:textId="77777777" w:rsidR="00000000" w:rsidRDefault="00000000">
      <w:pPr>
        <w:jc w:val="both"/>
        <w:rPr>
          <w:rFonts w:ascii="Times New Roman" w:hAnsi="Times New Roman"/>
          <w:sz w:val="24"/>
          <w:szCs w:val="24"/>
        </w:rPr>
      </w:pPr>
      <w:r>
        <w:rPr>
          <w:rFonts w:ascii="Times New Roman" w:hAnsi="Times New Roman"/>
          <w:sz w:val="24"/>
          <w:szCs w:val="24"/>
        </w:rPr>
        <w:t xml:space="preserve">     Vidutinis darbuotojų skaičius – per ataskaitinį laikotarpį 12 darbuotojų.</w:t>
      </w:r>
    </w:p>
    <w:p w14:paraId="725AC68B" w14:textId="77777777" w:rsidR="00000000" w:rsidRDefault="00000000">
      <w:pPr>
        <w:jc w:val="both"/>
        <w:rPr>
          <w:rFonts w:ascii="Times New Roman" w:hAnsi="Times New Roman"/>
          <w:sz w:val="24"/>
          <w:szCs w:val="24"/>
        </w:rPr>
      </w:pPr>
      <w:r>
        <w:rPr>
          <w:rFonts w:ascii="Times New Roman" w:hAnsi="Times New Roman"/>
          <w:sz w:val="24"/>
          <w:szCs w:val="24"/>
        </w:rPr>
        <w:t xml:space="preserve">     Viešojo sektoriaus subjekto filialai ar kiti struktūriniai padaliniai buvo šie:</w:t>
      </w:r>
    </w:p>
    <w:p w14:paraId="1F7FB73D" w14:textId="77777777" w:rsidR="00000000" w:rsidRDefault="00000000">
      <w:pPr>
        <w:numPr>
          <w:ilvl w:val="0"/>
          <w:numId w:val="1"/>
        </w:numPr>
        <w:jc w:val="both"/>
        <w:rPr>
          <w:rFonts w:ascii="Times New Roman" w:hAnsi="Times New Roman"/>
          <w:sz w:val="24"/>
          <w:szCs w:val="24"/>
        </w:rPr>
      </w:pPr>
      <w:r>
        <w:rPr>
          <w:rFonts w:ascii="Times New Roman" w:hAnsi="Times New Roman"/>
          <w:sz w:val="24"/>
          <w:szCs w:val="24"/>
        </w:rPr>
        <w:t>Tiltagalių kultūros centro Karsakiškio padalinys, Lėvens g. 8, Karsakiškio k. Panevėžio r.</w:t>
      </w:r>
    </w:p>
    <w:p w14:paraId="01A56991" w14:textId="77777777" w:rsidR="00000000" w:rsidRDefault="00000000">
      <w:pPr>
        <w:numPr>
          <w:ilvl w:val="0"/>
          <w:numId w:val="1"/>
        </w:numPr>
        <w:jc w:val="both"/>
        <w:rPr>
          <w:rFonts w:ascii="Times New Roman" w:hAnsi="Times New Roman"/>
          <w:sz w:val="24"/>
          <w:szCs w:val="24"/>
        </w:rPr>
      </w:pPr>
      <w:r>
        <w:rPr>
          <w:rFonts w:ascii="Times New Roman" w:hAnsi="Times New Roman"/>
          <w:sz w:val="24"/>
          <w:szCs w:val="24"/>
        </w:rPr>
        <w:t>Tiltagalių kultūros centro Geležių padalinys, Varpo g. 16, Geležių mst., Panevėžio r.</w:t>
      </w:r>
    </w:p>
    <w:p w14:paraId="41CFA150" w14:textId="77777777" w:rsidR="00000000" w:rsidRDefault="00000000">
      <w:pPr>
        <w:jc w:val="both"/>
        <w:rPr>
          <w:rFonts w:ascii="Times New Roman" w:hAnsi="Times New Roman"/>
          <w:sz w:val="24"/>
          <w:szCs w:val="24"/>
        </w:rPr>
      </w:pPr>
      <w:r>
        <w:rPr>
          <w:rFonts w:ascii="Times New Roman" w:hAnsi="Times New Roman"/>
          <w:sz w:val="24"/>
          <w:szCs w:val="24"/>
        </w:rPr>
        <w:t xml:space="preserve">     </w:t>
      </w:r>
    </w:p>
    <w:p w14:paraId="556C5866" w14:textId="77777777" w:rsidR="00000000" w:rsidRDefault="00000000">
      <w:pPr>
        <w:keepNext/>
        <w:keepLines/>
        <w:spacing w:after="42" w:line="259" w:lineRule="auto"/>
        <w:ind w:left="10" w:right="85" w:hanging="10"/>
        <w:jc w:val="center"/>
        <w:outlineLvl w:val="0"/>
        <w:rPr>
          <w:rFonts w:ascii="Times New Roman" w:eastAsia="Times New Roman" w:hAnsi="Times New Roman"/>
          <w:b/>
          <w:color w:val="000000"/>
          <w:sz w:val="28"/>
          <w:lang w:eastAsia="lt-LT"/>
        </w:rPr>
      </w:pPr>
      <w:r>
        <w:rPr>
          <w:rFonts w:ascii="Times New Roman" w:eastAsia="Times New Roman" w:hAnsi="Times New Roman"/>
          <w:b/>
          <w:color w:val="000000"/>
          <w:sz w:val="28"/>
          <w:lang w:eastAsia="lt-LT"/>
        </w:rPr>
        <w:t xml:space="preserve">II. APSKAITOS POLITIKA  </w:t>
      </w:r>
    </w:p>
    <w:p w14:paraId="38881A4C" w14:textId="77777777" w:rsidR="00000000" w:rsidRDefault="00000000">
      <w:pPr>
        <w:keepNext/>
        <w:keepLines/>
        <w:spacing w:after="42" w:line="259" w:lineRule="auto"/>
        <w:ind w:left="10" w:right="85" w:hanging="10"/>
        <w:jc w:val="center"/>
        <w:outlineLvl w:val="0"/>
        <w:rPr>
          <w:rFonts w:ascii="Times New Roman" w:eastAsia="Times New Roman" w:hAnsi="Times New Roman"/>
          <w:b/>
          <w:color w:val="000000"/>
          <w:sz w:val="28"/>
          <w:lang w:eastAsia="lt-LT"/>
        </w:rPr>
      </w:pPr>
    </w:p>
    <w:p w14:paraId="586595E6" w14:textId="77777777" w:rsidR="00000000" w:rsidRDefault="00000000">
      <w:pPr>
        <w:spacing w:line="360" w:lineRule="auto"/>
        <w:jc w:val="both"/>
        <w:rPr>
          <w:rFonts w:ascii="Times New Roman" w:hAnsi="Times New Roman"/>
          <w:sz w:val="24"/>
          <w:szCs w:val="24"/>
        </w:rPr>
      </w:pPr>
      <w:r>
        <w:rPr>
          <w:rFonts w:ascii="Times New Roman" w:hAnsi="Times New Roman"/>
          <w:color w:val="000000"/>
          <w:sz w:val="24"/>
          <w:szCs w:val="24"/>
        </w:rPr>
        <w:t xml:space="preserve">              Tiltagalių kultūros centras tvarkydamas buhalterinę apskaitą ir rengdamas finansines ataskaitas, vadovaujasi </w:t>
      </w:r>
      <w:r>
        <w:rPr>
          <w:rStyle w:val="FontStyle107"/>
          <w:sz w:val="24"/>
          <w:szCs w:val="24"/>
        </w:rPr>
        <w:t>2007 m. birželio 26 d. LR viešojo sektoriaus atskaitomybės įstatymu Nr. X - 1212, nuo 2010 m. sausio 1 d. įstaiga perėjo nuo anksčiau taikytos apskaitos politikos prie viešojo sektoriaus apskaitos ir finansinės atskaitomybės standartų (toliau VSAFAS).</w:t>
      </w:r>
      <w:r>
        <w:rPr>
          <w:rFonts w:ascii="Times New Roman" w:hAnsi="Times New Roman"/>
          <w:sz w:val="24"/>
          <w:szCs w:val="24"/>
        </w:rPr>
        <w:t xml:space="preserve"> </w:t>
      </w:r>
    </w:p>
    <w:p w14:paraId="4C346C8D" w14:textId="77777777" w:rsidR="00000000" w:rsidRDefault="00000000">
      <w:pPr>
        <w:spacing w:after="3" w:line="360" w:lineRule="auto"/>
        <w:ind w:left="-15" w:right="74"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Apskaitos politika apima ūkinių operacijų ir įvykių pripažinimo, įvertinimo ir apskaitos principus, metodus ir taisykles. </w:t>
      </w:r>
    </w:p>
    <w:p w14:paraId="12352874" w14:textId="77777777" w:rsidR="00000000" w:rsidRDefault="00000000">
      <w:pPr>
        <w:spacing w:after="244" w:line="259" w:lineRule="auto"/>
        <w:ind w:left="577" w:right="74" w:hanging="1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Įstaigos finansiniai metai sutampa su kalendoriniais metais. </w:t>
      </w:r>
    </w:p>
    <w:p w14:paraId="1C5DABB5" w14:textId="77777777" w:rsidR="00000000" w:rsidRDefault="00000000">
      <w:pPr>
        <w:spacing w:after="244" w:line="259" w:lineRule="auto"/>
        <w:ind w:left="577" w:right="7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szCs w:val="24"/>
          <w:lang w:eastAsia="lt-LT"/>
        </w:rPr>
        <w:t>Visos finansinės ataskaitos yra parengtos nacionaline Lietuvos valiuta</w:t>
      </w:r>
      <w:r>
        <w:rPr>
          <w:rFonts w:ascii="Times New Roman" w:eastAsia="Times New Roman" w:hAnsi="Times New Roman"/>
          <w:color w:val="000000"/>
          <w:sz w:val="24"/>
          <w:lang w:eastAsia="lt-LT"/>
        </w:rPr>
        <w:t xml:space="preserve"> – eurais (Eur). </w:t>
      </w:r>
    </w:p>
    <w:p w14:paraId="5090EFC2" w14:textId="77777777" w:rsidR="00000000" w:rsidRDefault="00000000">
      <w:pPr>
        <w:pStyle w:val="Style27"/>
        <w:widowControl/>
        <w:spacing w:line="360" w:lineRule="auto"/>
        <w:ind w:firstLine="851"/>
      </w:pPr>
      <w:r>
        <w:rPr>
          <w:color w:val="000000"/>
        </w:rPr>
        <w:t xml:space="preserve"> </w:t>
      </w:r>
      <w:r>
        <w:rPr>
          <w:rStyle w:val="FontStyle107"/>
          <w:sz w:val="24"/>
          <w:szCs w:val="24"/>
        </w:rPr>
        <w:t>Įstaigoje buhalterinė apskaita tvarkoma kompiuterizuotai, naudojant „Labbis“ buhalterinę programą,</w:t>
      </w:r>
      <w:r>
        <w:rPr>
          <w:color w:val="000000"/>
        </w:rPr>
        <w:t xml:space="preserve"> kuri pritaikyta apskaitai tvarkyti pagal VSAFAS reikalavimus. </w:t>
      </w:r>
    </w:p>
    <w:p w14:paraId="634AB75F" w14:textId="77777777" w:rsidR="00000000" w:rsidRDefault="00000000">
      <w:pPr>
        <w:tabs>
          <w:tab w:val="center" w:pos="3501"/>
        </w:tabs>
        <w:spacing w:after="122" w:line="259" w:lineRule="auto"/>
        <w:ind w:left="-15"/>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w:t>
      </w:r>
      <w:r>
        <w:rPr>
          <w:rFonts w:ascii="Times New Roman" w:eastAsia="Times New Roman" w:hAnsi="Times New Roman"/>
          <w:color w:val="000000"/>
          <w:sz w:val="24"/>
          <w:lang w:eastAsia="lt-LT"/>
        </w:rPr>
        <w:tab/>
        <w:t xml:space="preserve">Apskaitos duomenys detalizuojami pagal šiuos požymius: </w:t>
      </w:r>
    </w:p>
    <w:p w14:paraId="4469A5CE" w14:textId="77777777" w:rsidR="00000000" w:rsidRDefault="00000000">
      <w:pPr>
        <w:numPr>
          <w:ilvl w:val="0"/>
          <w:numId w:val="2"/>
        </w:numPr>
        <w:spacing w:after="118" w:line="259" w:lineRule="auto"/>
        <w:ind w:right="74" w:hanging="36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funkciją; </w:t>
      </w:r>
    </w:p>
    <w:p w14:paraId="240AB810" w14:textId="77777777" w:rsidR="00000000" w:rsidRDefault="00000000">
      <w:pPr>
        <w:numPr>
          <w:ilvl w:val="0"/>
          <w:numId w:val="2"/>
        </w:numPr>
        <w:spacing w:after="116" w:line="259" w:lineRule="auto"/>
        <w:ind w:right="74" w:hanging="36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programą; </w:t>
      </w:r>
    </w:p>
    <w:p w14:paraId="4A440AB0" w14:textId="77777777" w:rsidR="00000000" w:rsidRDefault="00000000">
      <w:pPr>
        <w:numPr>
          <w:ilvl w:val="0"/>
          <w:numId w:val="2"/>
        </w:numPr>
        <w:spacing w:after="118" w:line="259" w:lineRule="auto"/>
        <w:ind w:right="74" w:hanging="36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lėšų šaltinį; </w:t>
      </w:r>
    </w:p>
    <w:p w14:paraId="2F5AE9B7" w14:textId="77777777" w:rsidR="00000000" w:rsidRDefault="00000000">
      <w:pPr>
        <w:numPr>
          <w:ilvl w:val="0"/>
          <w:numId w:val="2"/>
        </w:numPr>
        <w:spacing w:after="3" w:line="358" w:lineRule="auto"/>
        <w:ind w:right="74" w:hanging="36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lastRenderedPageBreak/>
        <w:t xml:space="preserve">biudžeto išlaidų ir pajamų ekonominės klasifikacijos straipsnį; </w:t>
      </w:r>
    </w:p>
    <w:p w14:paraId="4DC4DAE9" w14:textId="77777777" w:rsidR="00000000" w:rsidRDefault="00000000">
      <w:pPr>
        <w:numPr>
          <w:ilvl w:val="0"/>
          <w:numId w:val="2"/>
        </w:numPr>
        <w:spacing w:after="3" w:line="358" w:lineRule="auto"/>
        <w:ind w:right="74" w:hanging="36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priemonę. </w:t>
      </w:r>
    </w:p>
    <w:p w14:paraId="140EF6C9" w14:textId="77777777" w:rsidR="00000000" w:rsidRDefault="00000000">
      <w:pPr>
        <w:spacing w:after="3" w:line="358" w:lineRule="auto"/>
        <w:ind w:left="-15" w:right="74" w:firstLine="36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Visos operacijos ir ūkiniai įvykiai apskaitoje registruojami dvejybiniu įrašu didžiojoje knygoje. Taikomi kaupimo, subjekto, veiklos tęstinumo, periodiškumo, pastovumo, piniginio mato, palyginimo, turinio viršenybės prieš formą principai. Pateikiama informacija yra patikima, teisinga, nešališka, visais reikšmingais atvejais išsami. </w:t>
      </w:r>
    </w:p>
    <w:p w14:paraId="1D1E4434" w14:textId="77777777" w:rsidR="00000000" w:rsidRDefault="00000000">
      <w:pPr>
        <w:spacing w:after="3" w:line="358" w:lineRule="auto"/>
        <w:ind w:left="-15" w:right="74" w:firstLine="360"/>
        <w:jc w:val="both"/>
        <w:rPr>
          <w:rFonts w:ascii="Times New Roman" w:eastAsia="Times New Roman" w:hAnsi="Times New Roman"/>
          <w:color w:val="000000"/>
          <w:sz w:val="24"/>
          <w:lang w:eastAsia="lt-LT"/>
        </w:rPr>
      </w:pPr>
    </w:p>
    <w:p w14:paraId="2D2B47CC" w14:textId="77777777" w:rsidR="00000000" w:rsidRDefault="00000000">
      <w:pPr>
        <w:pStyle w:val="Sraopastraipa"/>
        <w:keepNext/>
        <w:keepLines/>
        <w:numPr>
          <w:ilvl w:val="1"/>
          <w:numId w:val="1"/>
        </w:numPr>
        <w:spacing w:after="110" w:line="259" w:lineRule="auto"/>
        <w:ind w:right="273"/>
        <w:outlineLvl w:val="1"/>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t xml:space="preserve">Nematerialusis turtas </w:t>
      </w:r>
    </w:p>
    <w:p w14:paraId="706E2CD5" w14:textId="77777777" w:rsidR="00000000" w:rsidRDefault="00000000">
      <w:pPr>
        <w:pStyle w:val="Sraopastraipa"/>
        <w:keepNext/>
        <w:keepLines/>
        <w:spacing w:after="110" w:line="259" w:lineRule="auto"/>
        <w:ind w:left="3480" w:right="273"/>
        <w:outlineLvl w:val="1"/>
        <w:rPr>
          <w:rFonts w:ascii="Times New Roman" w:eastAsia="Times New Roman" w:hAnsi="Times New Roman"/>
          <w:b/>
          <w:color w:val="000000"/>
          <w:sz w:val="24"/>
          <w:lang w:eastAsia="lt-LT"/>
        </w:rPr>
      </w:pPr>
    </w:p>
    <w:p w14:paraId="4DBACB68" w14:textId="77777777" w:rsidR="00000000" w:rsidRDefault="00000000">
      <w:pPr>
        <w:spacing w:after="3" w:line="358" w:lineRule="auto"/>
        <w:ind w:left="-5" w:right="7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Nematerialusis turtas yra pripažįstamas, jei atitinka 13-ajame VSAFAS pateiktą sąvoką ir                    nematerialiajam turtui nustatytus kriterijus. </w:t>
      </w:r>
    </w:p>
    <w:p w14:paraId="121A4181" w14:textId="77777777" w:rsidR="00000000" w:rsidRDefault="00000000">
      <w:pPr>
        <w:spacing w:after="3" w:line="358" w:lineRule="auto"/>
        <w:ind w:left="-5" w:right="182"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Nematerialusis turtas pirminio pripažinimo metu apskaitoje yra registruojamas įsigijimo savikaina. Po pirminio pripažinimo nematerialusis turtas, kurio naudingo tarnavimo laikas ribotas, finansinėse ataskaitose yra parodomas įsigijimo savikaina, atėmus sukauptą amortizaciją ir nuvertėjimą, jei jis yra.  </w:t>
      </w:r>
    </w:p>
    <w:p w14:paraId="144FBAD9" w14:textId="77777777" w:rsidR="00000000" w:rsidRDefault="00000000">
      <w:pPr>
        <w:spacing w:after="3" w:line="358" w:lineRule="auto"/>
        <w:ind w:left="-5" w:right="7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Nematerialiojo turto amortizuojamoji vertė yra nuosekliai paskirstoma per visą nustatytą turto naudingo tarnavimo laiką tiesiogiai proporcingu metodu.  </w:t>
      </w:r>
    </w:p>
    <w:p w14:paraId="51BFC729" w14:textId="77777777" w:rsidR="00000000" w:rsidRDefault="00000000">
      <w:pPr>
        <w:spacing w:after="3" w:line="358" w:lineRule="auto"/>
        <w:ind w:left="-15" w:right="74" w:firstLine="566"/>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Neatlygintinai gautas nematerialusis turtas ne iš viešojo sektoriaus subjekto registruojamas jo tikrąja verte pagal įsigijimo dienos būklę, jei tikrąją vertę įmanoma patikimai nustatyti. Jei tikrosios vertės patikimai nustatyti negalima, tuomet nematerialusis turtas registruojamas simboline vieno euro verte.  </w:t>
      </w:r>
    </w:p>
    <w:p w14:paraId="45484FCE" w14:textId="77777777" w:rsidR="00000000" w:rsidRDefault="00000000">
      <w:pPr>
        <w:spacing w:after="3" w:line="358" w:lineRule="auto"/>
        <w:ind w:left="-15" w:right="74" w:firstLine="566"/>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Neatlygintinai gautas nematerialusis turtas iš kito viešojo sektoriaus subjekto registruojamas įsigijimo savikaina, sukaupta amortizacija ir nuvertėjimas (jei jis yra). </w:t>
      </w:r>
    </w:p>
    <w:p w14:paraId="022A587F" w14:textId="77777777" w:rsidR="00000000" w:rsidRDefault="00000000">
      <w:pPr>
        <w:spacing w:after="3" w:line="358" w:lineRule="auto"/>
        <w:ind w:left="-15" w:right="74" w:firstLine="566"/>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Įsigytas nematerialusis turtas už simbolinį mokestį registruojamas tikrąja verte, jei tikrąją vertę galima patikimai nustatyti. Jei tikrosios vertės negalima patikimai nustatyti, nematerialusis turtas registruojamas simbolinio atlygio verte.  </w:t>
      </w:r>
    </w:p>
    <w:p w14:paraId="2D91BEA1" w14:textId="77777777" w:rsidR="00000000" w:rsidRDefault="00000000">
      <w:pPr>
        <w:spacing w:after="120" w:line="259" w:lineRule="auto"/>
        <w:ind w:left="900"/>
        <w:rPr>
          <w:rFonts w:ascii="Times New Roman" w:eastAsia="Times New Roman" w:hAnsi="Times New Roman"/>
          <w:color w:val="000000"/>
          <w:sz w:val="24"/>
          <w:lang w:eastAsia="lt-LT"/>
        </w:rPr>
      </w:pPr>
    </w:p>
    <w:p w14:paraId="4B4AECB3" w14:textId="77777777" w:rsidR="00000000" w:rsidRDefault="00000000">
      <w:pPr>
        <w:keepNext/>
        <w:keepLines/>
        <w:spacing w:after="110" w:line="259" w:lineRule="auto"/>
        <w:ind w:left="998" w:right="275" w:hanging="10"/>
        <w:outlineLvl w:val="1"/>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t xml:space="preserve">                           2. 2.  Ilgalaikis materialusis turtas </w:t>
      </w:r>
    </w:p>
    <w:p w14:paraId="14676114" w14:textId="77777777" w:rsidR="00000000" w:rsidRDefault="00000000">
      <w:pPr>
        <w:keepNext/>
        <w:keepLines/>
        <w:spacing w:after="110" w:line="259" w:lineRule="auto"/>
        <w:ind w:left="998" w:right="275" w:hanging="10"/>
        <w:outlineLvl w:val="1"/>
        <w:rPr>
          <w:rFonts w:ascii="Times New Roman" w:eastAsia="Times New Roman" w:hAnsi="Times New Roman"/>
          <w:b/>
          <w:color w:val="000000"/>
          <w:sz w:val="24"/>
          <w:lang w:eastAsia="lt-LT"/>
        </w:rPr>
      </w:pPr>
    </w:p>
    <w:p w14:paraId="5D03EBC5" w14:textId="77777777" w:rsidR="00000000" w:rsidRDefault="00000000">
      <w:pPr>
        <w:spacing w:after="3" w:line="358" w:lineRule="auto"/>
        <w:ind w:left="-5" w:right="181"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Ilgalaikis materialusis turtas pripažįstamas ir registruojamas apskaitoje, jei jis atitinka ilgalaikio materialiojo turto sąvoką ir 12 VSAFAS nustatytus ilgalaikio materialiojo turto pripažinimo kriterijus. </w:t>
      </w:r>
    </w:p>
    <w:p w14:paraId="7A78C48C" w14:textId="77777777" w:rsidR="00000000" w:rsidRDefault="00000000">
      <w:pPr>
        <w:spacing w:after="3" w:line="358" w:lineRule="auto"/>
        <w:ind w:left="-5" w:right="7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Ilgalaikis materialusis turtas pagal pobūdį skirstomas į pagrindines grupes, nustatytas VSAFAS. </w:t>
      </w:r>
    </w:p>
    <w:p w14:paraId="061922DA" w14:textId="77777777" w:rsidR="00000000" w:rsidRDefault="00000000">
      <w:pPr>
        <w:spacing w:after="0" w:line="359" w:lineRule="auto"/>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lastRenderedPageBreak/>
        <w:t xml:space="preserve">             Įsigytas ilgalaikis materialusis turtas pirminio pripažinimo momentu apskaitoje registruojamas įsigijimo savikaina. Po pirminio pripažinimo ilgalaikis materialusis turtas, išskyrus kultūros ir kitas vertybes, finansinėse ataskaitose rodomas įsigijimo savikaina, atėmus sukauptą nusidėvėjimą ir nuvertėjimą, jei jis yra.  </w:t>
      </w:r>
    </w:p>
    <w:p w14:paraId="0D5ABF91" w14:textId="77777777" w:rsidR="00000000" w:rsidRDefault="00000000">
      <w:pPr>
        <w:spacing w:after="3" w:line="358" w:lineRule="auto"/>
        <w:ind w:left="-5" w:right="182"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Neatlygintinai gautas ilgalaikis materialusis turtas ne iš viešojo sektoriaus subjekto registruojamas jo tikrąja verte pagal įsigijimo dienos būklę. Jei tikrosios vertės patikimai nustatyti negalima, tuomet ilgalaikis materialusis turtas registruojamas simboline vieno euro verte. </w:t>
      </w:r>
    </w:p>
    <w:p w14:paraId="6D73E441" w14:textId="77777777" w:rsidR="00000000" w:rsidRDefault="00000000">
      <w:pPr>
        <w:spacing w:after="3" w:line="358" w:lineRule="auto"/>
        <w:ind w:left="-5" w:right="182"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Neatlygintinai gautas ilgalaikis materialusis turtas iš kito viešojo sektoriaus subjekto registruojamas įsigijimo savikaina, sukauptas nusidėvėjimas bei nuvertėjimas (jei jis yra) pagal ilgalaikio materialiojo turto perdavimo dienos būklę.  </w:t>
      </w:r>
    </w:p>
    <w:p w14:paraId="120895DD" w14:textId="77777777" w:rsidR="00000000" w:rsidRDefault="00000000">
      <w:pPr>
        <w:spacing w:after="3" w:line="358" w:lineRule="auto"/>
        <w:ind w:left="-5" w:right="183"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Įsigytas ilgalaikis materialusis turtas už simbolinį mokestį registruojamas ilgalaikio materialiojo turto tikrąja verte, jei tikrąją vertę galima patikimai nustatyti ir kai tas subjektas iki turto perdavimo taikė tikrosios vertės metodą. Jei tikrosios vertės negalima patikimai nustatyti, ilgalaikis materialusis turtas registruojamas simboline vieno euro verte.  </w:t>
      </w:r>
    </w:p>
    <w:p w14:paraId="6E6A09B0" w14:textId="77777777" w:rsidR="00000000" w:rsidRDefault="00000000">
      <w:pPr>
        <w:spacing w:after="3" w:line="358" w:lineRule="auto"/>
        <w:ind w:left="-5" w:right="7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Ilgalaikio materialiojo turto nudėvimoji vertė yra nuosekliai paskirstoma per visą turto naudingo tarnavimo laiką. </w:t>
      </w:r>
    </w:p>
    <w:p w14:paraId="75028CEF" w14:textId="77777777" w:rsidR="00000000" w:rsidRDefault="00000000">
      <w:pPr>
        <w:spacing w:after="3" w:line="358" w:lineRule="auto"/>
        <w:ind w:left="-5" w:right="18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Ilgalaikio materialiojo turto nusidėvėjimas skaičiuojamas taikant tiesiogiai proporcingą (tiesinį) metodą pagal ilgalaikio turto nusidėvėjimo (amortizacijos) normatyvus.</w:t>
      </w:r>
    </w:p>
    <w:p w14:paraId="7DE5B185" w14:textId="77777777" w:rsidR="00000000" w:rsidRDefault="00000000">
      <w:pPr>
        <w:rPr>
          <w:rFonts w:ascii="Times New Roman" w:eastAsia="Times New Roman" w:hAnsi="Times New Roman"/>
          <w:color w:val="000000"/>
          <w:sz w:val="24"/>
          <w:lang w:eastAsia="lt-LT"/>
        </w:rPr>
      </w:pPr>
      <w:r>
        <w:rPr>
          <w:rFonts w:ascii="Times New Roman" w:hAnsi="Times New Roman"/>
        </w:rPr>
        <w:t xml:space="preserve">  </w:t>
      </w:r>
      <w:r>
        <w:rPr>
          <w:rFonts w:ascii="Times New Roman" w:eastAsia="Times New Roman" w:hAnsi="Times New Roman"/>
          <w:color w:val="000000"/>
          <w:sz w:val="24"/>
          <w:lang w:eastAsia="lt-LT"/>
        </w:rPr>
        <w:t xml:space="preserve"> </w:t>
      </w:r>
    </w:p>
    <w:p w14:paraId="6FD82F87" w14:textId="77777777" w:rsidR="00000000" w:rsidRDefault="00000000">
      <w:pPr>
        <w:spacing w:after="3" w:line="358" w:lineRule="auto"/>
        <w:ind w:right="2398"/>
        <w:jc w:val="center"/>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t xml:space="preserve">                             2.3. Biologinis turtas</w:t>
      </w:r>
    </w:p>
    <w:p w14:paraId="53A443C1" w14:textId="77777777" w:rsidR="00000000" w:rsidRDefault="00000000">
      <w:pPr>
        <w:spacing w:after="3" w:line="358" w:lineRule="auto"/>
        <w:ind w:right="2398"/>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Biologinio turto kultūros centras neturi. </w:t>
      </w:r>
    </w:p>
    <w:p w14:paraId="5FC82ABD" w14:textId="77777777" w:rsidR="00000000" w:rsidRDefault="00000000">
      <w:pPr>
        <w:spacing w:after="120" w:line="259" w:lineRule="auto"/>
        <w:ind w:left="900"/>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w:t>
      </w:r>
    </w:p>
    <w:p w14:paraId="1D1C7685" w14:textId="77777777" w:rsidR="00000000" w:rsidRDefault="00000000">
      <w:pPr>
        <w:keepNext/>
        <w:keepLines/>
        <w:spacing w:after="110" w:line="259" w:lineRule="auto"/>
        <w:ind w:left="998" w:right="278" w:hanging="10"/>
        <w:outlineLvl w:val="1"/>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t xml:space="preserve">                                          2. 4.  Atsargos </w:t>
      </w:r>
    </w:p>
    <w:p w14:paraId="67FB8855" w14:textId="77777777" w:rsidR="00000000" w:rsidRDefault="00000000">
      <w:pPr>
        <w:spacing w:after="3" w:line="358" w:lineRule="auto"/>
        <w:ind w:left="-5" w:right="185"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Pirminio pripažinimo metu atsargos įvertinamos įsigijimo (pasigaminimo) savikaina, o sudarant finansines ataskaitas – įsigijimo (pasigaminimo) savikaina ar grynąja realizavimo verte, atsižvelgiant į tai, kuri iš jų mažesnė. </w:t>
      </w:r>
    </w:p>
    <w:p w14:paraId="37AA11AD" w14:textId="77777777" w:rsidR="00000000" w:rsidRDefault="00000000">
      <w:pPr>
        <w:tabs>
          <w:tab w:val="center" w:pos="4799"/>
        </w:tabs>
        <w:spacing w:after="119" w:line="259" w:lineRule="auto"/>
        <w:ind w:left="-15"/>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Nemokamai gautos atsargos apskaitoje registruojamos grynąja realizavimo verte. </w:t>
      </w:r>
    </w:p>
    <w:p w14:paraId="1274E9CD" w14:textId="77777777" w:rsidR="00000000" w:rsidRDefault="00000000">
      <w:pPr>
        <w:spacing w:after="3" w:line="358" w:lineRule="auto"/>
        <w:ind w:left="-5" w:right="7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Apskaičiuodama atsargų, sunaudotų teikiant paslaugas ar parduotų atsargų savikainą, įstaiga taiko konkrečių kainų įkainojimo metodą. </w:t>
      </w:r>
    </w:p>
    <w:p w14:paraId="2A3A09AF" w14:textId="77777777" w:rsidR="00000000" w:rsidRDefault="00000000">
      <w:pPr>
        <w:spacing w:after="3" w:line="358" w:lineRule="auto"/>
        <w:ind w:left="-5" w:right="7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Atsargos, sunaudotos veikloje, nurašomos ir finansinėse ataskaitose parodomos FIFO metodu „pirmas gautas – pirmas išduotas“. </w:t>
      </w:r>
    </w:p>
    <w:p w14:paraId="0F92387F" w14:textId="77777777" w:rsidR="00000000" w:rsidRDefault="00000000">
      <w:pPr>
        <w:spacing w:after="3" w:line="358" w:lineRule="auto"/>
        <w:ind w:right="74"/>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Prie atsargų priskiriamas neatiduotas naudoti ūkinis inventorius. Naudojamo inventoriaus apskaita tvarkoma nebalansinėse sąskaitose kiekine ir vertine išraiška.  </w:t>
      </w:r>
    </w:p>
    <w:p w14:paraId="778E2345" w14:textId="77777777" w:rsidR="00000000" w:rsidRDefault="00000000">
      <w:pPr>
        <w:spacing w:after="115" w:line="259" w:lineRule="auto"/>
        <w:ind w:right="125"/>
        <w:jc w:val="center"/>
        <w:rPr>
          <w:rFonts w:ascii="Times New Roman" w:eastAsia="Times New Roman" w:hAnsi="Times New Roman"/>
          <w:color w:val="000000"/>
          <w:sz w:val="24"/>
          <w:lang w:eastAsia="lt-LT"/>
        </w:rPr>
      </w:pPr>
      <w:r>
        <w:rPr>
          <w:rFonts w:ascii="Times New Roman" w:eastAsia="Times New Roman" w:hAnsi="Times New Roman"/>
          <w:b/>
          <w:color w:val="000000"/>
          <w:sz w:val="24"/>
          <w:lang w:eastAsia="lt-LT"/>
        </w:rPr>
        <w:t xml:space="preserve"> </w:t>
      </w:r>
    </w:p>
    <w:p w14:paraId="22EC04AE" w14:textId="77777777" w:rsidR="00000000" w:rsidRDefault="00000000">
      <w:pPr>
        <w:keepNext/>
        <w:keepLines/>
        <w:spacing w:after="110" w:line="259" w:lineRule="auto"/>
        <w:ind w:left="998" w:right="1173" w:hanging="10"/>
        <w:jc w:val="center"/>
        <w:outlineLvl w:val="1"/>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lastRenderedPageBreak/>
        <w:t xml:space="preserve">2.5. Finansinis turtas </w:t>
      </w:r>
    </w:p>
    <w:p w14:paraId="537C4F5E" w14:textId="77777777" w:rsidR="00000000" w:rsidRDefault="00000000">
      <w:pPr>
        <w:keepNext/>
        <w:keepLines/>
        <w:spacing w:after="110" w:line="259" w:lineRule="auto"/>
        <w:ind w:left="998" w:right="1173" w:hanging="10"/>
        <w:jc w:val="center"/>
        <w:outlineLvl w:val="1"/>
        <w:rPr>
          <w:rFonts w:ascii="Times New Roman" w:eastAsia="Times New Roman" w:hAnsi="Times New Roman"/>
          <w:b/>
          <w:color w:val="000000"/>
          <w:sz w:val="24"/>
          <w:lang w:eastAsia="lt-LT"/>
        </w:rPr>
      </w:pPr>
    </w:p>
    <w:p w14:paraId="62FD9FEA" w14:textId="77777777" w:rsidR="00000000" w:rsidRDefault="00000000">
      <w:pPr>
        <w:spacing w:after="3" w:line="358" w:lineRule="auto"/>
        <w:ind w:left="-5" w:right="185"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Finansinis turtas apskaitoje pripažįstamas tik tada, kai yra įvykdomos visos sąlygos, nustatytos 17-ajame VSAFAS „Finansinis turtas ir finansiniai įsipareigojimai“. Pirmą kartą pripažindama finansinį turtą, įstaiga įvertina jį įsigijimo savikaina. </w:t>
      </w:r>
    </w:p>
    <w:p w14:paraId="36ECBAE3" w14:textId="77777777" w:rsidR="00000000" w:rsidRDefault="00000000">
      <w:pPr>
        <w:spacing w:after="112" w:line="259" w:lineRule="auto"/>
        <w:ind w:left="900"/>
        <w:jc w:val="both"/>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t xml:space="preserve"> </w:t>
      </w:r>
    </w:p>
    <w:p w14:paraId="32CA5901" w14:textId="77777777" w:rsidR="00000000" w:rsidRDefault="00000000">
      <w:pPr>
        <w:keepNext/>
        <w:keepLines/>
        <w:tabs>
          <w:tab w:val="center" w:pos="900"/>
          <w:tab w:val="center" w:pos="1296"/>
          <w:tab w:val="center" w:pos="2592"/>
          <w:tab w:val="center" w:pos="4884"/>
        </w:tabs>
        <w:spacing w:after="112" w:line="259" w:lineRule="auto"/>
        <w:jc w:val="both"/>
        <w:outlineLvl w:val="1"/>
        <w:rPr>
          <w:rFonts w:ascii="Times New Roman" w:eastAsia="Times New Roman" w:hAnsi="Times New Roman"/>
          <w:color w:val="000000"/>
          <w:sz w:val="24"/>
          <w:lang w:eastAsia="lt-LT"/>
        </w:rPr>
      </w:pPr>
      <w:r>
        <w:rPr>
          <w:rFonts w:cs="Calibri"/>
          <w:color w:val="000000"/>
          <w:lang w:eastAsia="lt-LT"/>
        </w:rPr>
        <w:tab/>
      </w:r>
      <w:r>
        <w:rPr>
          <w:rFonts w:ascii="Times New Roman" w:eastAsia="Times New Roman" w:hAnsi="Times New Roman"/>
          <w:b/>
          <w:color w:val="000000"/>
          <w:sz w:val="24"/>
          <w:lang w:eastAsia="lt-LT"/>
        </w:rPr>
        <w:t xml:space="preserve"> </w:t>
      </w:r>
      <w:r>
        <w:rPr>
          <w:rFonts w:ascii="Times New Roman" w:eastAsia="Times New Roman" w:hAnsi="Times New Roman"/>
          <w:b/>
          <w:color w:val="000000"/>
          <w:sz w:val="24"/>
          <w:lang w:eastAsia="lt-LT"/>
        </w:rPr>
        <w:tab/>
        <w:t xml:space="preserve"> </w:t>
      </w:r>
      <w:r>
        <w:rPr>
          <w:rFonts w:ascii="Times New Roman" w:eastAsia="Times New Roman" w:hAnsi="Times New Roman"/>
          <w:b/>
          <w:color w:val="000000"/>
          <w:sz w:val="24"/>
          <w:lang w:eastAsia="lt-LT"/>
        </w:rPr>
        <w:tab/>
        <w:t xml:space="preserve">                                   2.6 Gautinos sumos</w:t>
      </w:r>
      <w:r>
        <w:rPr>
          <w:rFonts w:ascii="Times New Roman" w:eastAsia="Times New Roman" w:hAnsi="Times New Roman"/>
          <w:color w:val="000000"/>
          <w:sz w:val="24"/>
          <w:lang w:eastAsia="lt-LT"/>
        </w:rPr>
        <w:t xml:space="preserve"> </w:t>
      </w:r>
    </w:p>
    <w:p w14:paraId="17C53A3B" w14:textId="77777777" w:rsidR="00000000" w:rsidRDefault="00000000">
      <w:pPr>
        <w:keepNext/>
        <w:keepLines/>
        <w:tabs>
          <w:tab w:val="center" w:pos="900"/>
          <w:tab w:val="center" w:pos="1296"/>
          <w:tab w:val="center" w:pos="2592"/>
          <w:tab w:val="center" w:pos="4884"/>
        </w:tabs>
        <w:spacing w:after="112" w:line="259" w:lineRule="auto"/>
        <w:jc w:val="both"/>
        <w:outlineLvl w:val="1"/>
        <w:rPr>
          <w:rFonts w:ascii="Times New Roman" w:eastAsia="Times New Roman" w:hAnsi="Times New Roman"/>
          <w:color w:val="000000"/>
          <w:sz w:val="24"/>
          <w:lang w:eastAsia="lt-LT"/>
        </w:rPr>
      </w:pPr>
    </w:p>
    <w:p w14:paraId="0457AC20" w14:textId="77777777" w:rsidR="00000000" w:rsidRDefault="00000000">
      <w:pPr>
        <w:spacing w:after="3" w:line="358" w:lineRule="auto"/>
        <w:ind w:left="-5" w:right="185"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Gautinos sumos registruojamos tada, kai įstaiga įgyja teisę gauti pinigus ar kitą finansinį turtą pagal 17-ąjį VSAFAS „Finansinis turtas ir finansiniai įsipareigojimai“. Gautinos sumos pirminio pripažinimo metu yra įvertinamos įsigijimo savikaina.  </w:t>
      </w:r>
    </w:p>
    <w:p w14:paraId="3272EE10" w14:textId="77777777" w:rsidR="00000000" w:rsidRDefault="00000000">
      <w:pPr>
        <w:spacing w:after="3" w:line="358" w:lineRule="auto"/>
        <w:ind w:left="-5" w:right="182"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Vėliau ilgalaikės gautinos sumos ataskaitose parodomos amortizuota savikaina, atėmus nuvertėjimo nuostolius, o trumpalaikės gautinos sumos ataskaitose parodomos įsigijimo savikaina, atėmus nuvertėjimo nuostolius. </w:t>
      </w:r>
    </w:p>
    <w:p w14:paraId="7E23BC9E" w14:textId="77777777" w:rsidR="00000000" w:rsidRDefault="00000000">
      <w:pPr>
        <w:keepNext/>
        <w:keepLines/>
        <w:spacing w:after="110" w:line="259" w:lineRule="auto"/>
        <w:ind w:left="998" w:right="278" w:hanging="10"/>
        <w:jc w:val="both"/>
        <w:outlineLvl w:val="1"/>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t xml:space="preserve">                                       2.7 Finansavimo sumos </w:t>
      </w:r>
    </w:p>
    <w:p w14:paraId="3C07ED50" w14:textId="77777777" w:rsidR="00000000" w:rsidRDefault="00000000">
      <w:pPr>
        <w:keepNext/>
        <w:keepLines/>
        <w:spacing w:after="110" w:line="259" w:lineRule="auto"/>
        <w:ind w:left="998" w:right="278" w:hanging="10"/>
        <w:jc w:val="both"/>
        <w:outlineLvl w:val="1"/>
        <w:rPr>
          <w:rFonts w:ascii="Times New Roman" w:eastAsia="Times New Roman" w:hAnsi="Times New Roman"/>
          <w:b/>
          <w:color w:val="000000"/>
          <w:sz w:val="24"/>
          <w:lang w:eastAsia="lt-LT"/>
        </w:rPr>
      </w:pPr>
    </w:p>
    <w:p w14:paraId="1727EFE8" w14:textId="77777777" w:rsidR="00000000" w:rsidRDefault="00000000">
      <w:pPr>
        <w:spacing w:after="116" w:line="259" w:lineRule="auto"/>
        <w:ind w:left="10" w:right="170"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Finansavimo sumos pripažįstamos, kai atitinka 20-ojo VSAFAS „Finansavimo sumos“ </w:t>
      </w:r>
    </w:p>
    <w:p w14:paraId="722B4296" w14:textId="77777777" w:rsidR="00000000" w:rsidRDefault="00000000">
      <w:pPr>
        <w:spacing w:after="115" w:line="259" w:lineRule="auto"/>
        <w:ind w:left="-5" w:right="7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nustatytus kriterijus. </w:t>
      </w:r>
    </w:p>
    <w:p w14:paraId="00A67440" w14:textId="77777777" w:rsidR="00000000" w:rsidRDefault="00000000">
      <w:pPr>
        <w:spacing w:after="3" w:line="358" w:lineRule="auto"/>
        <w:ind w:left="-5" w:right="183"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Gautos (gautinos) ir panaudotos finansavimo sumos arba jų dalis pripažįstamos finansavimo pajamomis tais laikotarpiais, kuriais patiriamos su finansavimo sumomis susijusios sąnaudos. </w:t>
      </w:r>
    </w:p>
    <w:p w14:paraId="0CC66331" w14:textId="77777777" w:rsidR="00000000" w:rsidRDefault="00000000">
      <w:pPr>
        <w:spacing w:after="3" w:line="358" w:lineRule="auto"/>
        <w:ind w:left="-5" w:right="7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Finansavimo sumos pagal paskirtį skirstomos į finansavimo sumas nepiniginiam turtui įsigyti ir finansavimo sumas kitoms išlaidoms kompensuoti. </w:t>
      </w:r>
    </w:p>
    <w:p w14:paraId="31D7FB29" w14:textId="77777777" w:rsidR="00000000" w:rsidRDefault="00000000">
      <w:pPr>
        <w:spacing w:after="3" w:line="358" w:lineRule="auto"/>
        <w:ind w:left="-5" w:right="7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Finansavimo sumos nepiniginiam turtui įsigyti apima ir nemokamai gautą arba už simbolinį atlygį įsigytą nepiniginį turtą. </w:t>
      </w:r>
    </w:p>
    <w:p w14:paraId="45CB2741" w14:textId="77777777" w:rsidR="00000000" w:rsidRDefault="00000000">
      <w:pPr>
        <w:spacing w:after="3" w:line="358" w:lineRule="auto"/>
        <w:ind w:left="-5" w:right="183"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Finansavimo sumos kitoms išlaidoms dengti yra skirtos ataskaitinio laikotarpio išlaidoms kompensuoti. Taip pat finansavimo sumomis, skirtomis kitoms išlaidoms kompensuoti yra laikomos visos likusios finansavimo sumos, kurios nepriskiriamos nepiniginiam turtui įsigyti. </w:t>
      </w:r>
    </w:p>
    <w:p w14:paraId="1DADB228" w14:textId="77777777" w:rsidR="00000000" w:rsidRDefault="00000000">
      <w:pPr>
        <w:spacing w:after="117" w:line="259" w:lineRule="auto"/>
        <w:ind w:left="540"/>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w:t>
      </w:r>
    </w:p>
    <w:p w14:paraId="2B9879E8" w14:textId="77777777" w:rsidR="00000000" w:rsidRDefault="00000000">
      <w:pPr>
        <w:keepNext/>
        <w:keepLines/>
        <w:spacing w:after="110" w:line="259" w:lineRule="auto"/>
        <w:ind w:left="998" w:right="278" w:hanging="10"/>
        <w:jc w:val="center"/>
        <w:outlineLvl w:val="1"/>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t xml:space="preserve">2.8 Finansiniai įsipareigojimai </w:t>
      </w:r>
    </w:p>
    <w:p w14:paraId="138976CD" w14:textId="77777777" w:rsidR="00000000" w:rsidRDefault="00000000">
      <w:pPr>
        <w:keepNext/>
        <w:keepLines/>
        <w:spacing w:after="110" w:line="259" w:lineRule="auto"/>
        <w:ind w:left="998" w:right="278" w:hanging="10"/>
        <w:jc w:val="center"/>
        <w:outlineLvl w:val="1"/>
        <w:rPr>
          <w:rFonts w:ascii="Times New Roman" w:eastAsia="Times New Roman" w:hAnsi="Times New Roman"/>
          <w:b/>
          <w:color w:val="000000"/>
          <w:sz w:val="24"/>
          <w:lang w:eastAsia="lt-LT"/>
        </w:rPr>
      </w:pPr>
    </w:p>
    <w:p w14:paraId="1B9F4ED2" w14:textId="77777777" w:rsidR="00000000" w:rsidRDefault="00000000">
      <w:pPr>
        <w:spacing w:after="112" w:line="259" w:lineRule="auto"/>
        <w:ind w:left="-5" w:right="7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Pirminio pripažinimo metu finansiniai įsipareigojimai įvertinami įsigijimo savikaina. </w:t>
      </w:r>
    </w:p>
    <w:p w14:paraId="499F988B" w14:textId="77777777" w:rsidR="00000000" w:rsidRDefault="00000000">
      <w:pPr>
        <w:spacing w:after="118" w:line="259" w:lineRule="auto"/>
        <w:ind w:left="-5" w:right="7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Vėliau šie įsipareigojimai įvertinami:  </w:t>
      </w:r>
    </w:p>
    <w:p w14:paraId="0AABE690" w14:textId="77777777" w:rsidR="00000000" w:rsidRDefault="00000000">
      <w:pPr>
        <w:numPr>
          <w:ilvl w:val="0"/>
          <w:numId w:val="3"/>
        </w:numPr>
        <w:spacing w:after="116" w:line="259" w:lineRule="auto"/>
        <w:ind w:right="74"/>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Ilgalaikiai finansiniai įsipareigojimai – amortizuota savikaina; </w:t>
      </w:r>
    </w:p>
    <w:p w14:paraId="7FB8E286" w14:textId="77777777" w:rsidR="00000000" w:rsidRDefault="00000000">
      <w:pPr>
        <w:numPr>
          <w:ilvl w:val="0"/>
          <w:numId w:val="3"/>
        </w:numPr>
        <w:spacing w:after="115" w:line="259" w:lineRule="auto"/>
        <w:ind w:right="74"/>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Trumpalaikiai finansiniai įsipareigojimai – įsigijimo savikaina. </w:t>
      </w:r>
    </w:p>
    <w:p w14:paraId="72D72211" w14:textId="77777777" w:rsidR="00000000" w:rsidRDefault="00000000">
      <w:pPr>
        <w:spacing w:after="117" w:line="259" w:lineRule="auto"/>
        <w:ind w:left="773"/>
        <w:jc w:val="center"/>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w:t>
      </w:r>
    </w:p>
    <w:p w14:paraId="4242DBE3" w14:textId="77777777" w:rsidR="00000000" w:rsidRDefault="00000000">
      <w:pPr>
        <w:keepNext/>
        <w:keepLines/>
        <w:spacing w:after="110" w:line="259" w:lineRule="auto"/>
        <w:ind w:left="998" w:right="276" w:hanging="10"/>
        <w:outlineLvl w:val="1"/>
        <w:rPr>
          <w:rFonts w:ascii="Times New Roman" w:eastAsia="Times New Roman" w:hAnsi="Times New Roman"/>
          <w:color w:val="000000"/>
          <w:sz w:val="24"/>
          <w:lang w:eastAsia="lt-LT"/>
        </w:rPr>
      </w:pPr>
      <w:r>
        <w:rPr>
          <w:rFonts w:ascii="Times New Roman" w:eastAsia="Times New Roman" w:hAnsi="Times New Roman"/>
          <w:b/>
          <w:color w:val="000000"/>
          <w:sz w:val="24"/>
          <w:lang w:eastAsia="lt-LT"/>
        </w:rPr>
        <w:lastRenderedPageBreak/>
        <w:t xml:space="preserve">                                            2.9 Atidėjiniai</w:t>
      </w:r>
      <w:r>
        <w:rPr>
          <w:rFonts w:ascii="Times New Roman" w:eastAsia="Times New Roman" w:hAnsi="Times New Roman"/>
          <w:color w:val="000000"/>
          <w:sz w:val="24"/>
          <w:lang w:eastAsia="lt-LT"/>
        </w:rPr>
        <w:t xml:space="preserve"> </w:t>
      </w:r>
    </w:p>
    <w:p w14:paraId="19FA7B18" w14:textId="77777777" w:rsidR="00000000" w:rsidRDefault="00000000">
      <w:pPr>
        <w:keepNext/>
        <w:keepLines/>
        <w:spacing w:after="110" w:line="259" w:lineRule="auto"/>
        <w:ind w:left="998" w:right="276" w:hanging="10"/>
        <w:outlineLvl w:val="1"/>
        <w:rPr>
          <w:rFonts w:ascii="Times New Roman" w:eastAsia="Times New Roman" w:hAnsi="Times New Roman"/>
          <w:color w:val="000000"/>
          <w:sz w:val="24"/>
          <w:lang w:eastAsia="lt-LT"/>
        </w:rPr>
      </w:pPr>
    </w:p>
    <w:p w14:paraId="39510336" w14:textId="77777777" w:rsidR="00000000" w:rsidRDefault="00000000">
      <w:pPr>
        <w:spacing w:after="3" w:line="358" w:lineRule="auto"/>
        <w:ind w:left="-5" w:right="18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Atidėjiniai pripažįstami ir registruojami apskaitoje tada ir tik tada, kai dėl įvykio praeityje įstaiga turi dabartinę teisinę prievolę ar neatšaukiamąjį pasižadėjimą ir, tikėtina, kad jam įvykdyti bus reikalingi ištekliai, o įsipareigojimo suma gali būti patikimai įvertinta. Jei patenkinamos ne visos šios sąlygos, atidėjiniai nėra pripažįstami. Įstaigoje nėra darbuotojų, pasiekusių įstatymų nustatytą senatvės pensiją dirbant šioje įstaigoje, pagal neterminuotas darbo sutartis.</w:t>
      </w:r>
    </w:p>
    <w:p w14:paraId="73F510FF" w14:textId="77777777" w:rsidR="00000000" w:rsidRDefault="00000000">
      <w:pPr>
        <w:spacing w:after="112" w:line="259" w:lineRule="auto"/>
        <w:ind w:left="773"/>
        <w:jc w:val="center"/>
        <w:rPr>
          <w:rFonts w:ascii="Times New Roman" w:eastAsia="Times New Roman" w:hAnsi="Times New Roman"/>
          <w:color w:val="000000"/>
          <w:sz w:val="24"/>
          <w:lang w:eastAsia="lt-LT"/>
        </w:rPr>
      </w:pPr>
      <w:r>
        <w:rPr>
          <w:rFonts w:ascii="Times New Roman" w:eastAsia="Times New Roman" w:hAnsi="Times New Roman"/>
          <w:b/>
          <w:color w:val="000000"/>
          <w:sz w:val="24"/>
          <w:lang w:eastAsia="lt-LT"/>
        </w:rPr>
        <w:t xml:space="preserve"> </w:t>
      </w:r>
    </w:p>
    <w:p w14:paraId="1B99F36F" w14:textId="77777777" w:rsidR="00000000" w:rsidRDefault="00000000">
      <w:pPr>
        <w:keepNext/>
        <w:keepLines/>
        <w:spacing w:after="110" w:line="259" w:lineRule="auto"/>
        <w:ind w:left="998" w:right="275" w:hanging="10"/>
        <w:outlineLvl w:val="1"/>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t xml:space="preserve">                                              2.10 Pajamos </w:t>
      </w:r>
    </w:p>
    <w:p w14:paraId="7C1CB945" w14:textId="77777777" w:rsidR="00000000" w:rsidRDefault="00000000">
      <w:pPr>
        <w:keepNext/>
        <w:keepLines/>
        <w:spacing w:after="110" w:line="259" w:lineRule="auto"/>
        <w:ind w:left="998" w:right="275" w:hanging="10"/>
        <w:outlineLvl w:val="1"/>
        <w:rPr>
          <w:rFonts w:ascii="Times New Roman" w:eastAsia="Times New Roman" w:hAnsi="Times New Roman"/>
          <w:b/>
          <w:color w:val="000000"/>
          <w:sz w:val="24"/>
          <w:lang w:eastAsia="lt-LT"/>
        </w:rPr>
      </w:pPr>
    </w:p>
    <w:p w14:paraId="74FC84FF" w14:textId="77777777" w:rsidR="00000000" w:rsidRDefault="00000000">
      <w:pPr>
        <w:tabs>
          <w:tab w:val="center" w:pos="900"/>
          <w:tab w:val="right" w:pos="9727"/>
        </w:tabs>
        <w:spacing w:after="116" w:line="360" w:lineRule="auto"/>
        <w:rPr>
          <w:rFonts w:ascii="Times New Roman" w:eastAsia="Times New Roman" w:hAnsi="Times New Roman"/>
          <w:color w:val="000000"/>
          <w:sz w:val="24"/>
          <w:lang w:eastAsia="lt-LT"/>
        </w:rPr>
      </w:pPr>
      <w:r>
        <w:rPr>
          <w:rFonts w:cs="Calibri"/>
          <w:color w:val="000000"/>
          <w:lang w:eastAsia="lt-LT"/>
        </w:rPr>
        <w:tab/>
      </w:r>
      <w:r>
        <w:rPr>
          <w:rFonts w:ascii="Times New Roman" w:eastAsia="Times New Roman" w:hAnsi="Times New Roman"/>
          <w:color w:val="000000"/>
          <w:sz w:val="24"/>
          <w:lang w:eastAsia="lt-LT"/>
        </w:rPr>
        <w:t xml:space="preserve">         Pajamų apskaitai taikomas kaupimo principas. Finansavimo pajamos pripažįstamos tuo pačiu laikotarpiu, kai yra patiriamos su šiomis pajamomis susijusios sąnaudos. </w:t>
      </w:r>
    </w:p>
    <w:p w14:paraId="16873170" w14:textId="77777777" w:rsidR="00000000" w:rsidRDefault="00000000">
      <w:pPr>
        <w:spacing w:after="3" w:line="360" w:lineRule="auto"/>
        <w:ind w:left="-5" w:right="18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Pajamos, išskyrus finansavimo pajamas, pripažįstamos, kai tikėtina, jog įstaiga gaus su sandoriu susijusią ekonominę naudą, kai galima patikimai įvertinti pajamų sumą ir kai galima patikimai įvertinti su pajamų uždirbimu susijusias sąnaudas. Pajamos registruojamos apskaitoje ir rodomos finansinėse ataskaitose tą ataskaitinį laikotarpį, kurį yra uždirbamos, t.y. kurį suteikiamos paslaugos ar parduodamas turtas ir kt., nepriklausomai nuo pinigų gavimo momento. </w:t>
      </w:r>
    </w:p>
    <w:p w14:paraId="5B804078" w14:textId="77777777" w:rsidR="00000000" w:rsidRDefault="00000000">
      <w:pPr>
        <w:spacing w:after="117" w:line="360" w:lineRule="auto"/>
        <w:ind w:left="900"/>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w:t>
      </w:r>
      <w:r>
        <w:rPr>
          <w:rFonts w:ascii="Times New Roman" w:eastAsia="Times New Roman" w:hAnsi="Times New Roman"/>
          <w:b/>
          <w:color w:val="000000"/>
          <w:sz w:val="24"/>
          <w:lang w:eastAsia="lt-LT"/>
        </w:rPr>
        <w:t xml:space="preserve"> </w:t>
      </w:r>
    </w:p>
    <w:p w14:paraId="623630EE" w14:textId="77777777" w:rsidR="00000000" w:rsidRDefault="00000000">
      <w:pPr>
        <w:keepNext/>
        <w:keepLines/>
        <w:spacing w:after="110" w:line="259" w:lineRule="auto"/>
        <w:ind w:left="998" w:right="270" w:hanging="10"/>
        <w:outlineLvl w:val="1"/>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t xml:space="preserve">                                            2.11 Sąnaudos </w:t>
      </w:r>
    </w:p>
    <w:p w14:paraId="54000588" w14:textId="77777777" w:rsidR="00000000" w:rsidRDefault="00000000">
      <w:pPr>
        <w:keepNext/>
        <w:keepLines/>
        <w:spacing w:after="110" w:line="259" w:lineRule="auto"/>
        <w:ind w:left="998" w:right="270" w:hanging="10"/>
        <w:outlineLvl w:val="1"/>
        <w:rPr>
          <w:rFonts w:ascii="Times New Roman" w:eastAsia="Times New Roman" w:hAnsi="Times New Roman"/>
          <w:b/>
          <w:color w:val="000000"/>
          <w:sz w:val="24"/>
          <w:lang w:eastAsia="lt-LT"/>
        </w:rPr>
      </w:pPr>
    </w:p>
    <w:p w14:paraId="1FE121E7" w14:textId="77777777" w:rsidR="00000000" w:rsidRDefault="00000000">
      <w:pPr>
        <w:spacing w:after="116" w:line="259" w:lineRule="auto"/>
        <w:ind w:left="10" w:right="170" w:hanging="10"/>
        <w:jc w:val="center"/>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Sąnaudos apskaitoje pripažįstamos vadovaujantis kaupimo ir palyginamumo principais </w:t>
      </w:r>
    </w:p>
    <w:p w14:paraId="1ADE5930" w14:textId="77777777" w:rsidR="00000000" w:rsidRDefault="00000000">
      <w:pPr>
        <w:spacing w:after="3" w:line="358" w:lineRule="auto"/>
        <w:ind w:left="-5" w:right="185"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buvo patirtos. </w:t>
      </w:r>
    </w:p>
    <w:p w14:paraId="5F1037BD" w14:textId="77777777" w:rsidR="00000000" w:rsidRDefault="00000000">
      <w:pPr>
        <w:spacing w:after="3" w:line="358" w:lineRule="auto"/>
        <w:ind w:left="-5" w:right="7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Apskaitoje  darbuotojams nepanaudotų kasmetinių atostogų likučių sumos  apskaičiuojamos vieną kartą per metus - gruodžio 31 d.  </w:t>
      </w:r>
    </w:p>
    <w:p w14:paraId="0C373B6F" w14:textId="77777777" w:rsidR="00000000" w:rsidRDefault="00000000">
      <w:pPr>
        <w:spacing w:after="115" w:line="259" w:lineRule="auto"/>
        <w:rPr>
          <w:rFonts w:ascii="Times New Roman" w:eastAsia="Times New Roman" w:hAnsi="Times New Roman"/>
          <w:color w:val="000000"/>
          <w:sz w:val="24"/>
          <w:lang w:eastAsia="lt-LT"/>
        </w:rPr>
      </w:pPr>
      <w:r>
        <w:rPr>
          <w:rFonts w:ascii="Times New Roman" w:eastAsia="Times New Roman" w:hAnsi="Times New Roman"/>
          <w:b/>
          <w:color w:val="000000"/>
          <w:sz w:val="24"/>
          <w:lang w:eastAsia="lt-LT"/>
        </w:rPr>
        <w:t xml:space="preserve"> </w:t>
      </w:r>
    </w:p>
    <w:p w14:paraId="3DEFC8C6" w14:textId="77777777" w:rsidR="00000000" w:rsidRDefault="00000000">
      <w:pPr>
        <w:keepNext/>
        <w:keepLines/>
        <w:spacing w:after="110" w:line="259" w:lineRule="auto"/>
        <w:ind w:left="998" w:right="275" w:hanging="10"/>
        <w:outlineLvl w:val="1"/>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t xml:space="preserve">                               2.12 Turto nuvertėjimas </w:t>
      </w:r>
    </w:p>
    <w:p w14:paraId="32F6174B" w14:textId="77777777" w:rsidR="00000000" w:rsidRDefault="00000000">
      <w:pPr>
        <w:keepNext/>
        <w:keepLines/>
        <w:spacing w:after="110" w:line="259" w:lineRule="auto"/>
        <w:ind w:left="998" w:right="275" w:hanging="10"/>
        <w:outlineLvl w:val="1"/>
        <w:rPr>
          <w:rFonts w:ascii="Times New Roman" w:eastAsia="Times New Roman" w:hAnsi="Times New Roman"/>
          <w:b/>
          <w:color w:val="000000"/>
          <w:sz w:val="24"/>
          <w:lang w:eastAsia="lt-LT"/>
        </w:rPr>
      </w:pPr>
    </w:p>
    <w:p w14:paraId="25E8570A" w14:textId="77777777" w:rsidR="00000000" w:rsidRDefault="00000000">
      <w:pPr>
        <w:spacing w:after="3" w:line="358" w:lineRule="auto"/>
        <w:ind w:left="-5" w:right="185" w:hanging="10"/>
        <w:jc w:val="both"/>
        <w:rPr>
          <w:rFonts w:ascii="Times New Roman" w:eastAsia="Times New Roman" w:hAnsi="Times New Roman"/>
          <w:color w:val="000000"/>
          <w:sz w:val="24"/>
          <w:lang w:val="en-US" w:eastAsia="lt-LT"/>
        </w:rPr>
      </w:pPr>
      <w:r>
        <w:rPr>
          <w:rFonts w:ascii="Times New Roman" w:eastAsia="Times New Roman" w:hAnsi="Times New Roman"/>
          <w:color w:val="000000"/>
          <w:sz w:val="24"/>
          <w:lang w:eastAsia="lt-LT"/>
        </w:rPr>
        <w:t xml:space="preserve">          Nuostoliai dėl turto nuvertėjimo apskaitoje pripažįstami pagal nuvertėjimo požymius. Sudarant finansinių ataskaitų rinkinį, nustatoma, ar yra turto nuvertėjimo požymių. Jeigu yra vidinių ar išorinių nuvertėjimo požymių, nustatoma turto atsiperkamoji vertė, kuri palyginama su turto balansine verte</w:t>
      </w:r>
      <w:r>
        <w:rPr>
          <w:rFonts w:ascii="Times New Roman" w:eastAsia="Times New Roman" w:hAnsi="Times New Roman"/>
          <w:color w:val="000000"/>
          <w:sz w:val="24"/>
          <w:lang w:val="en-US" w:eastAsia="lt-LT"/>
        </w:rPr>
        <w:t>.</w:t>
      </w:r>
    </w:p>
    <w:p w14:paraId="5D5FD659" w14:textId="77777777" w:rsidR="00000000" w:rsidRDefault="00000000">
      <w:pPr>
        <w:spacing w:after="3" w:line="358" w:lineRule="auto"/>
        <w:ind w:left="-5" w:right="182"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lastRenderedPageBreak/>
        <w:t xml:space="preserve">          Pripažinus ilgalaikio materialiojo ar nematerialiojo turto nuvertėjimo nuostolį, perskaičiuojamos būsimiesiems ataskaitiniams laikotarpiams tenkančios turto nusidėvėjimo (amortizacijos) sumos, kad turto nudėvimoji (amortizuojamoji) vertė po nuvertėjimo būtų tolygiai paskirstyta per visą likusį jo naudingo tarnavimo laiką, t.y. nuvertėjimo suma nudėvima per likusį naudingo tarnavimo laiką, mažinant nusidėvėjimo sąnaudas.  </w:t>
      </w:r>
    </w:p>
    <w:p w14:paraId="40AF0B9E" w14:textId="77777777" w:rsidR="00000000" w:rsidRDefault="00000000">
      <w:pPr>
        <w:spacing w:after="117" w:line="259" w:lineRule="auto"/>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w:t>
      </w:r>
    </w:p>
    <w:p w14:paraId="165D8CD6" w14:textId="77777777" w:rsidR="00000000" w:rsidRDefault="00000000">
      <w:pPr>
        <w:keepNext/>
        <w:keepLines/>
        <w:spacing w:after="110" w:line="259" w:lineRule="auto"/>
        <w:ind w:left="998" w:right="1171" w:hanging="10"/>
        <w:jc w:val="center"/>
        <w:outlineLvl w:val="1"/>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t xml:space="preserve">               2.13 Įvykiai pasibaigus ataskaitiniam laikotarpiui </w:t>
      </w:r>
    </w:p>
    <w:p w14:paraId="1DF09874" w14:textId="77777777" w:rsidR="00000000" w:rsidRDefault="00000000">
      <w:pPr>
        <w:keepNext/>
        <w:keepLines/>
        <w:spacing w:after="110" w:line="259" w:lineRule="auto"/>
        <w:ind w:left="998" w:right="1171" w:hanging="10"/>
        <w:jc w:val="center"/>
        <w:outlineLvl w:val="1"/>
        <w:rPr>
          <w:rFonts w:ascii="Times New Roman" w:eastAsia="Times New Roman" w:hAnsi="Times New Roman"/>
          <w:b/>
          <w:color w:val="000000"/>
          <w:sz w:val="24"/>
          <w:lang w:eastAsia="lt-LT"/>
        </w:rPr>
      </w:pPr>
    </w:p>
    <w:p w14:paraId="32156226" w14:textId="77777777" w:rsidR="00000000" w:rsidRDefault="00000000">
      <w:pPr>
        <w:spacing w:after="3" w:line="358" w:lineRule="auto"/>
        <w:ind w:left="-5" w:right="18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Įvykiai pasibaigus ataskaitiniam laikotarpiui, kurie suteikia papildomos informacijos apie įstaigos finansinę padėtį paskutinę ataskaitinio laikotarpio dieną (koreguojantys įvykiai), atsižvelgiant į jų įtakos reikšmę parengtoms finansinėms ataskaitoms, yra parodomi finansinės būklės, veiklos rezultatų ir pinigų srautų ataskaitose. Nekoreguojantys įvykiai, pasibaigus ataskaitiniam laikotarpiui aprašomi aiškinamajame rašte, kai jie yra reikšmingi. </w:t>
      </w:r>
    </w:p>
    <w:p w14:paraId="796314A2" w14:textId="77777777" w:rsidR="00000000" w:rsidRDefault="00000000">
      <w:pPr>
        <w:spacing w:after="120" w:line="259" w:lineRule="auto"/>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w:t>
      </w:r>
    </w:p>
    <w:p w14:paraId="691B79F8" w14:textId="77777777" w:rsidR="00000000" w:rsidRDefault="00000000">
      <w:pPr>
        <w:keepNext/>
        <w:keepLines/>
        <w:spacing w:after="112" w:line="259" w:lineRule="auto"/>
        <w:ind w:left="2456" w:hanging="10"/>
        <w:outlineLvl w:val="1"/>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t xml:space="preserve">   2.14 Tarpusavio užskaitos ir palyginamieji skaičiai </w:t>
      </w:r>
    </w:p>
    <w:p w14:paraId="5E230751" w14:textId="77777777" w:rsidR="00000000" w:rsidRDefault="00000000">
      <w:pPr>
        <w:keepNext/>
        <w:keepLines/>
        <w:spacing w:after="112" w:line="259" w:lineRule="auto"/>
        <w:ind w:left="2456" w:hanging="10"/>
        <w:outlineLvl w:val="1"/>
        <w:rPr>
          <w:rFonts w:ascii="Times New Roman" w:eastAsia="Times New Roman" w:hAnsi="Times New Roman"/>
          <w:b/>
          <w:color w:val="000000"/>
          <w:sz w:val="24"/>
          <w:lang w:eastAsia="lt-LT"/>
        </w:rPr>
      </w:pPr>
    </w:p>
    <w:p w14:paraId="00DCA1AB" w14:textId="77777777" w:rsidR="00000000" w:rsidRDefault="00000000">
      <w:pPr>
        <w:spacing w:after="3" w:line="358" w:lineRule="auto"/>
        <w:ind w:left="-5" w:right="185"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Sudarant finansinių ataskaitų rinkinį, turtas ir įsipareigojimai bei pajamos ir sąnaudos nėra užskaitomos tarpusavyje, išskyrus atvejus, kai konkretus  VSAFAS reikalauja būtent tokios užskaitos (pvz. dėl draudiminio įvykio patirtos sąnaudos yra užskaitomos su gauta draudimo išmoka). Palyginamieji skaičiai yra koreguojami, kad atitiktų ataskaitinių metų finansinius rezultatus. Apskaitos principų bei apskaitinių įverčių pasikeitimai, sudarant ataskaitinio laikotarpio finansinių ataskaitų rinkinį, pateikiami aiškinamajame rašte. </w:t>
      </w:r>
    </w:p>
    <w:p w14:paraId="2B32DE89" w14:textId="77777777" w:rsidR="00000000" w:rsidRDefault="00000000">
      <w:pPr>
        <w:spacing w:after="0" w:line="259" w:lineRule="auto"/>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w:t>
      </w:r>
    </w:p>
    <w:p w14:paraId="598FF733" w14:textId="77777777" w:rsidR="00000000" w:rsidRDefault="00000000">
      <w:pPr>
        <w:keepNext/>
        <w:keepLines/>
        <w:spacing w:after="110" w:line="259" w:lineRule="auto"/>
        <w:ind w:left="998" w:right="638" w:hanging="10"/>
        <w:outlineLvl w:val="1"/>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t xml:space="preserve">                            2.15 Apskaitos politikos keitimas </w:t>
      </w:r>
    </w:p>
    <w:p w14:paraId="030B452C" w14:textId="77777777" w:rsidR="00000000" w:rsidRDefault="00000000">
      <w:pPr>
        <w:keepNext/>
        <w:keepLines/>
        <w:spacing w:after="110" w:line="259" w:lineRule="auto"/>
        <w:ind w:left="998" w:right="638" w:hanging="10"/>
        <w:outlineLvl w:val="1"/>
        <w:rPr>
          <w:rFonts w:ascii="Times New Roman" w:eastAsia="Times New Roman" w:hAnsi="Times New Roman"/>
          <w:b/>
          <w:color w:val="000000"/>
          <w:sz w:val="24"/>
          <w:lang w:eastAsia="lt-LT"/>
        </w:rPr>
      </w:pPr>
    </w:p>
    <w:p w14:paraId="6269587D" w14:textId="77777777" w:rsidR="00000000" w:rsidRDefault="00000000">
      <w:pPr>
        <w:spacing w:after="116" w:line="259" w:lineRule="auto"/>
        <w:ind w:left="10" w:right="170" w:hanging="10"/>
        <w:jc w:val="center"/>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Įstaiga pasirinktą apskaitos politiką taiko nuolat arba gana ilgą laiką tam, kad būtų galima </w:t>
      </w:r>
    </w:p>
    <w:p w14:paraId="7E749364" w14:textId="77777777" w:rsidR="00000000" w:rsidRDefault="00000000">
      <w:pPr>
        <w:spacing w:after="3" w:line="358" w:lineRule="auto"/>
        <w:ind w:left="-5" w:right="183"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palyginti skirtingų ataskaitinių laikotarpių finansines ataskaitas. Tokio palyginimo reikia įstaigos finansinės būklės, veiklos rezultatų, grynojo turto ir pinigų srautų keitimosi tendencijoms nustatyti. Apskaitos politika gali būti keičiama dėl VSAFAS nuostatų pasikeitimo ir jei kiti teisės aktai to reikalauja. Apskaitos politikos keitimas finansinėse ataskaitose parodomas taikant retrospektyvinį būdą, t.y. nauja apskaitos politika taikoma taip, lyg ji visada būtų buvusi naudojama, todėl pakeista apskaitos politika yra pritaikoma ūkinėms operacijoms ir ūkiniams įvykiams nuo jų atsiradimo. </w:t>
      </w:r>
    </w:p>
    <w:p w14:paraId="59476E52" w14:textId="77777777" w:rsidR="00000000" w:rsidRDefault="00000000">
      <w:pPr>
        <w:spacing w:after="115" w:line="259" w:lineRule="auto"/>
        <w:ind w:left="-5" w:right="74"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Apskaitos politika gali būti keičiama tik nuo ataskaitinio laikotarpio pradžios. </w:t>
      </w:r>
    </w:p>
    <w:p w14:paraId="24601788" w14:textId="77777777" w:rsidR="00000000" w:rsidRDefault="00000000">
      <w:pPr>
        <w:spacing w:after="117" w:line="259" w:lineRule="auto"/>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w:t>
      </w:r>
    </w:p>
    <w:p w14:paraId="15738AC9" w14:textId="77777777" w:rsidR="00000000" w:rsidRDefault="00000000">
      <w:pPr>
        <w:keepNext/>
        <w:keepLines/>
        <w:spacing w:after="110" w:line="259" w:lineRule="auto"/>
        <w:ind w:left="998" w:right="1175" w:hanging="10"/>
        <w:jc w:val="center"/>
        <w:outlineLvl w:val="1"/>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lastRenderedPageBreak/>
        <w:t xml:space="preserve">2.16 Apskaitinių įverčių keitimas </w:t>
      </w:r>
    </w:p>
    <w:p w14:paraId="0C9FF459" w14:textId="77777777" w:rsidR="00000000" w:rsidRDefault="00000000">
      <w:pPr>
        <w:spacing w:after="3" w:line="358" w:lineRule="auto"/>
        <w:ind w:left="-5" w:right="182" w:hanging="1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Apskaitiniai įverčiai yra peržiūrimi tuo atveju, jei pasikeičia aplinkybės, kuriomis buvo remtasi atliekant įvertinimą arba atsiranda papildomos informacijos ar kitų įvykių. Įstaigos 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  Kultūros centras apskaitinių įverčių neturi. </w:t>
      </w:r>
    </w:p>
    <w:p w14:paraId="6F6DBE11" w14:textId="77777777" w:rsidR="00000000" w:rsidRDefault="00000000">
      <w:pPr>
        <w:spacing w:after="120" w:line="259" w:lineRule="auto"/>
        <w:rPr>
          <w:rFonts w:ascii="Times New Roman" w:hAnsi="Times New Roman"/>
          <w:b/>
          <w:bCs/>
          <w:sz w:val="24"/>
          <w:szCs w:val="24"/>
        </w:rPr>
      </w:pPr>
      <w:r>
        <w:rPr>
          <w:rFonts w:ascii="Times New Roman" w:eastAsia="Times New Roman" w:hAnsi="Times New Roman"/>
          <w:color w:val="000000"/>
          <w:sz w:val="24"/>
          <w:lang w:eastAsia="lt-LT"/>
        </w:rPr>
        <w:t xml:space="preserve"> </w:t>
      </w:r>
      <w:r>
        <w:rPr>
          <w:rFonts w:ascii="Times New Roman" w:eastAsia="Times New Roman" w:hAnsi="Times New Roman"/>
          <w:b/>
          <w:color w:val="000000"/>
          <w:sz w:val="24"/>
          <w:lang w:eastAsia="lt-LT"/>
        </w:rPr>
        <w:t xml:space="preserve">                              </w:t>
      </w:r>
      <w:r>
        <w:rPr>
          <w:rFonts w:ascii="Times New Roman" w:hAnsi="Times New Roman"/>
          <w:b/>
          <w:bCs/>
          <w:sz w:val="24"/>
          <w:szCs w:val="24"/>
        </w:rPr>
        <w:t xml:space="preserve">                             </w:t>
      </w:r>
    </w:p>
    <w:p w14:paraId="602173CE" w14:textId="77777777" w:rsidR="00000000" w:rsidRDefault="00000000">
      <w:pPr>
        <w:spacing w:line="360" w:lineRule="auto"/>
        <w:ind w:firstLine="360"/>
        <w:jc w:val="both"/>
        <w:rPr>
          <w:rFonts w:ascii="Times New Roman" w:hAnsi="Times New Roman"/>
          <w:b/>
          <w:bCs/>
          <w:sz w:val="24"/>
          <w:szCs w:val="24"/>
        </w:rPr>
      </w:pPr>
      <w:r>
        <w:rPr>
          <w:rFonts w:ascii="Times New Roman" w:hAnsi="Times New Roman"/>
          <w:b/>
          <w:bCs/>
          <w:sz w:val="24"/>
          <w:szCs w:val="24"/>
        </w:rPr>
        <w:t xml:space="preserve">                                       2.17.  Segmentai</w:t>
      </w:r>
    </w:p>
    <w:p w14:paraId="7E6499BF" w14:textId="77777777" w:rsidR="00000000" w:rsidRDefault="00000000">
      <w:pPr>
        <w:spacing w:line="360" w:lineRule="auto"/>
        <w:ind w:firstLine="360"/>
        <w:jc w:val="both"/>
        <w:rPr>
          <w:rFonts w:ascii="Times New Roman" w:hAnsi="Times New Roman"/>
          <w:bCs/>
          <w:sz w:val="24"/>
          <w:szCs w:val="24"/>
        </w:rPr>
      </w:pPr>
      <w:r>
        <w:rPr>
          <w:rFonts w:ascii="Times New Roman" w:hAnsi="Times New Roman"/>
          <w:bCs/>
          <w:sz w:val="24"/>
          <w:szCs w:val="24"/>
        </w:rPr>
        <w:t xml:space="preserve">      Įstaigos vykdomos funkcijos priskiriamos poilsiui ir kultūrai (10 psl.)</w:t>
      </w:r>
    </w:p>
    <w:p w14:paraId="746B3483" w14:textId="77777777" w:rsidR="00000000" w:rsidRDefault="00000000">
      <w:pPr>
        <w:keepNext/>
        <w:keepLines/>
        <w:spacing w:after="110" w:line="259" w:lineRule="auto"/>
        <w:ind w:left="998" w:right="822" w:hanging="10"/>
        <w:outlineLvl w:val="1"/>
        <w:rPr>
          <w:rFonts w:ascii="Times New Roman" w:eastAsia="Times New Roman" w:hAnsi="Times New Roman"/>
          <w:b/>
          <w:color w:val="000000"/>
          <w:sz w:val="24"/>
          <w:lang w:eastAsia="lt-LT"/>
        </w:rPr>
      </w:pPr>
      <w:r>
        <w:rPr>
          <w:rFonts w:ascii="Times New Roman" w:eastAsia="Times New Roman" w:hAnsi="Times New Roman"/>
          <w:b/>
          <w:color w:val="000000"/>
          <w:sz w:val="24"/>
          <w:lang w:eastAsia="lt-LT"/>
        </w:rPr>
        <w:t xml:space="preserve">                            2.18  Apskaitos klaidų taisymas</w:t>
      </w:r>
      <w:r>
        <w:rPr>
          <w:rFonts w:ascii="Times New Roman" w:eastAsia="Times New Roman" w:hAnsi="Times New Roman"/>
          <w:color w:val="000000"/>
          <w:sz w:val="24"/>
          <w:lang w:eastAsia="lt-LT"/>
        </w:rPr>
        <w:t xml:space="preserve">  </w:t>
      </w:r>
    </w:p>
    <w:p w14:paraId="4FCA76CE" w14:textId="77777777" w:rsidR="00000000" w:rsidRDefault="00000000">
      <w:pPr>
        <w:spacing w:after="3" w:line="358" w:lineRule="auto"/>
        <w:ind w:left="-15" w:right="74" w:firstLine="360"/>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Ataskaitiniu laikotarpiu gali būti pastebėtos apskaitos klaidos, padarytos praėjusių ataskaitinių laikotarpių finansinėse ataskaitose. Apskaitos klaida laikoma esmine, jei jos vertinė išraiška individualiai arba kartu su kitų to ataskaitinio laikotarpio klaidų vertinėmis išraiškomis yra didesnė nei  0,5 procento per finansinius metus gautų finansavimo sumų vertės.</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000000" w14:paraId="23139E00" w14:textId="77777777">
        <w:tc>
          <w:tcPr>
            <w:tcW w:w="9846" w:type="dxa"/>
            <w:tcBorders>
              <w:top w:val="nil"/>
              <w:left w:val="nil"/>
              <w:bottom w:val="nil"/>
              <w:right w:val="nil"/>
            </w:tcBorders>
          </w:tcPr>
          <w:p w14:paraId="253CA85C" w14:textId="77777777" w:rsidR="00000000" w:rsidRDefault="00000000">
            <w:pPr>
              <w:pStyle w:val="Sraas1"/>
              <w:tabs>
                <w:tab w:val="left" w:pos="993"/>
              </w:tabs>
              <w:spacing w:line="360" w:lineRule="auto"/>
              <w:jc w:val="both"/>
              <w:rPr>
                <w:rFonts w:eastAsia="Calibri"/>
                <w:lang w:eastAsia="en-US"/>
              </w:rPr>
            </w:pPr>
          </w:p>
        </w:tc>
      </w:tr>
    </w:tbl>
    <w:p w14:paraId="42A131E7" w14:textId="77777777" w:rsidR="00000000" w:rsidRDefault="00000000">
      <w:pPr>
        <w:numPr>
          <w:ilvl w:val="0"/>
          <w:numId w:val="4"/>
        </w:numPr>
        <w:jc w:val="center"/>
        <w:outlineLvl w:val="0"/>
        <w:rPr>
          <w:rFonts w:ascii="Times New Roman" w:hAnsi="Times New Roman"/>
          <w:b/>
          <w:sz w:val="24"/>
          <w:szCs w:val="24"/>
        </w:rPr>
      </w:pPr>
      <w:r>
        <w:rPr>
          <w:rFonts w:ascii="Times New Roman" w:hAnsi="Times New Roman"/>
          <w:b/>
          <w:sz w:val="24"/>
          <w:szCs w:val="24"/>
        </w:rPr>
        <w:t>AIŠKINAMOJO RAŠTO PASTABOS</w:t>
      </w:r>
    </w:p>
    <w:p w14:paraId="3D0444D5" w14:textId="77777777" w:rsidR="00000000" w:rsidRDefault="00000000">
      <w:pPr>
        <w:jc w:val="center"/>
        <w:rPr>
          <w:rFonts w:ascii="Times New Roman" w:hAnsi="Times New Roman"/>
          <w:b/>
          <w:sz w:val="24"/>
          <w:szCs w:val="24"/>
        </w:rPr>
      </w:pPr>
      <w:r>
        <w:rPr>
          <w:rFonts w:ascii="Times New Roman" w:hAnsi="Times New Roman"/>
          <w:b/>
          <w:sz w:val="24"/>
          <w:szCs w:val="24"/>
        </w:rPr>
        <w:t>Finansinės būklės ataskaita</w:t>
      </w:r>
    </w:p>
    <w:p w14:paraId="67D17804" w14:textId="77777777" w:rsidR="00000000" w:rsidRDefault="00000000">
      <w:pPr>
        <w:pStyle w:val="ListParagraph"/>
        <w:numPr>
          <w:ilvl w:val="0"/>
          <w:numId w:val="5"/>
        </w:numPr>
        <w:rPr>
          <w:rFonts w:ascii="Times New Roman" w:hAnsi="Times New Roman"/>
          <w:b/>
          <w:sz w:val="24"/>
          <w:szCs w:val="24"/>
        </w:rPr>
      </w:pPr>
      <w:r>
        <w:rPr>
          <w:rFonts w:ascii="Times New Roman" w:hAnsi="Times New Roman"/>
          <w:b/>
          <w:sz w:val="24"/>
          <w:szCs w:val="24"/>
        </w:rPr>
        <w:t>ILGALAIKIS TURTAS</w:t>
      </w:r>
    </w:p>
    <w:p w14:paraId="69F62D15" w14:textId="77777777" w:rsidR="00000000" w:rsidRDefault="00000000">
      <w:pPr>
        <w:rPr>
          <w:rFonts w:ascii="Times New Roman" w:hAnsi="Times New Roman"/>
          <w:b/>
          <w:sz w:val="24"/>
          <w:szCs w:val="24"/>
        </w:rPr>
      </w:pPr>
      <w:r>
        <w:rPr>
          <w:rFonts w:ascii="Times New Roman" w:hAnsi="Times New Roman"/>
          <w:sz w:val="24"/>
          <w:szCs w:val="24"/>
        </w:rPr>
        <w:t xml:space="preserve">Ilgalaikio turto likutinė vertė yra </w:t>
      </w:r>
      <w:r>
        <w:rPr>
          <w:rFonts w:ascii="Times New Roman" w:hAnsi="Times New Roman"/>
          <w:b/>
          <w:sz w:val="24"/>
          <w:szCs w:val="24"/>
        </w:rPr>
        <w:t>232133,18 Eur</w:t>
      </w:r>
    </w:p>
    <w:p w14:paraId="242C7398" w14:textId="77777777" w:rsidR="00000000" w:rsidRDefault="00000000">
      <w:pPr>
        <w:spacing w:line="360" w:lineRule="auto"/>
        <w:jc w:val="both"/>
        <w:rPr>
          <w:rFonts w:ascii="Times New Roman" w:hAnsi="Times New Roman"/>
          <w:sz w:val="24"/>
          <w:szCs w:val="24"/>
        </w:rPr>
      </w:pPr>
      <w:r>
        <w:rPr>
          <w:rFonts w:ascii="Times New Roman" w:hAnsi="Times New Roman"/>
          <w:b/>
          <w:sz w:val="24"/>
          <w:szCs w:val="24"/>
        </w:rPr>
        <w:t>P03</w:t>
      </w:r>
      <w:r>
        <w:rPr>
          <w:rFonts w:ascii="Times New Roman" w:hAnsi="Times New Roman"/>
          <w:sz w:val="24"/>
          <w:szCs w:val="24"/>
        </w:rPr>
        <w:t xml:space="preserve"> Ilgalaikio nematerialaus turto likutinė vertė – 0,58 Eur (kadastriniai matavimai). Nematerialiojo turto, kuris yra visiškai amortizuotas, tačiau vis dar naudojamas veikloje, įsigijimo ar pasigaminimo savikainą sudaro </w:t>
      </w:r>
      <w:r>
        <w:rPr>
          <w:rFonts w:ascii="Times New Roman" w:hAnsi="Times New Roman"/>
          <w:sz w:val="24"/>
          <w:szCs w:val="24"/>
          <w:lang w:val="en-US"/>
        </w:rPr>
        <w:t>2188,84</w:t>
      </w:r>
      <w:r>
        <w:rPr>
          <w:rFonts w:ascii="Times New Roman" w:hAnsi="Times New Roman"/>
          <w:sz w:val="24"/>
          <w:szCs w:val="24"/>
        </w:rPr>
        <w:t xml:space="preserve"> Eur. Nematerialiojo turto per ataskaitinį laikotarpį nenurašyta. Detalesnė informacija pateikta aiškinamojo rašto prieduose „Ilgalaikio nematerialiojo turto balansinės vertės pasikeitimas per ataskaitinį laikotarpį“ (12 psl.) ir „Nematerialiojo turto grupėms taikomi amortizacijos normatyvai nuo mažiausio iki didžiausio“  (14 psl.).</w:t>
      </w:r>
    </w:p>
    <w:p w14:paraId="585B5673" w14:textId="77777777" w:rsidR="00000000" w:rsidRDefault="00000000">
      <w:pPr>
        <w:spacing w:line="360" w:lineRule="auto"/>
        <w:jc w:val="both"/>
        <w:rPr>
          <w:rFonts w:ascii="Times New Roman" w:hAnsi="Times New Roman"/>
          <w:sz w:val="24"/>
          <w:szCs w:val="24"/>
        </w:rPr>
      </w:pPr>
      <w:r>
        <w:rPr>
          <w:rFonts w:ascii="Times New Roman" w:hAnsi="Times New Roman"/>
          <w:b/>
          <w:sz w:val="24"/>
          <w:szCs w:val="24"/>
        </w:rPr>
        <w:t xml:space="preserve">P04 </w:t>
      </w:r>
      <w:r>
        <w:rPr>
          <w:rFonts w:ascii="Times New Roman" w:hAnsi="Times New Roman"/>
          <w:sz w:val="24"/>
          <w:szCs w:val="24"/>
        </w:rPr>
        <w:t>Ilgalaikio materialaus turto likutinė vertė – 23</w:t>
      </w:r>
      <w:r>
        <w:rPr>
          <w:rFonts w:ascii="Times New Roman" w:hAnsi="Times New Roman"/>
          <w:sz w:val="24"/>
          <w:szCs w:val="24"/>
          <w:lang w:val="en-US"/>
        </w:rPr>
        <w:t>2132,60</w:t>
      </w:r>
      <w:r>
        <w:rPr>
          <w:rFonts w:ascii="Times New Roman" w:hAnsi="Times New Roman"/>
          <w:sz w:val="24"/>
          <w:szCs w:val="24"/>
        </w:rPr>
        <w:t xml:space="preserve"> Eur. Per ataskaitinį laikotarpį įstaigos ilgalaikio materialaus turto įsigijimo savikaina nesikeitė. Materialiojo turto, kuris visiškai nudėvėtas, tačiau vis dar naudojamas veikloje, įsigijimo ar pasigaminimo savikaina per ataskaitinį laikotarpį sudarė </w:t>
      </w:r>
      <w:r>
        <w:rPr>
          <w:rFonts w:ascii="Times New Roman" w:hAnsi="Times New Roman"/>
          <w:sz w:val="24"/>
          <w:szCs w:val="24"/>
          <w:lang w:val="en-US"/>
        </w:rPr>
        <w:t xml:space="preserve">27438,74 </w:t>
      </w:r>
      <w:r>
        <w:rPr>
          <w:rFonts w:ascii="Times New Roman" w:hAnsi="Times New Roman"/>
          <w:sz w:val="24"/>
          <w:szCs w:val="24"/>
        </w:rPr>
        <w:t xml:space="preserve">Eur. Per ataskaitinį laikotarpį ilgalaikio turto </w:t>
      </w:r>
      <w:r>
        <w:rPr>
          <w:rFonts w:ascii="Times New Roman" w:hAnsi="Times New Roman"/>
          <w:sz w:val="24"/>
          <w:szCs w:val="24"/>
          <w:lang w:val="en-US"/>
        </w:rPr>
        <w:t>(ma</w:t>
      </w:r>
      <w:r>
        <w:rPr>
          <w:rFonts w:ascii="Times New Roman" w:hAnsi="Times New Roman"/>
          <w:sz w:val="24"/>
          <w:szCs w:val="24"/>
        </w:rPr>
        <w:t>š</w:t>
      </w:r>
      <w:r>
        <w:rPr>
          <w:rFonts w:ascii="Times New Roman" w:hAnsi="Times New Roman"/>
          <w:sz w:val="24"/>
          <w:szCs w:val="24"/>
          <w:lang w:val="en-US"/>
        </w:rPr>
        <w:t xml:space="preserve">inos ir </w:t>
      </w:r>
      <w:r>
        <w:rPr>
          <w:rFonts w:ascii="Times New Roman" w:hAnsi="Times New Roman"/>
          <w:sz w:val="24"/>
          <w:szCs w:val="24"/>
        </w:rPr>
        <w:t>į</w:t>
      </w:r>
      <w:r>
        <w:rPr>
          <w:rFonts w:ascii="Times New Roman" w:hAnsi="Times New Roman"/>
          <w:sz w:val="24"/>
          <w:szCs w:val="24"/>
          <w:lang w:val="en-US"/>
        </w:rPr>
        <w:t>renginiai)</w:t>
      </w:r>
      <w:r>
        <w:rPr>
          <w:rFonts w:ascii="Times New Roman" w:hAnsi="Times New Roman"/>
          <w:sz w:val="24"/>
          <w:szCs w:val="24"/>
        </w:rPr>
        <w:t xml:space="preserve"> nurašyta  už </w:t>
      </w:r>
      <w:r>
        <w:rPr>
          <w:rFonts w:ascii="Times New Roman" w:hAnsi="Times New Roman"/>
          <w:sz w:val="24"/>
          <w:szCs w:val="24"/>
          <w:lang w:val="en-US"/>
        </w:rPr>
        <w:t xml:space="preserve">2500,00 </w:t>
      </w:r>
      <w:r>
        <w:rPr>
          <w:rFonts w:ascii="Times New Roman" w:hAnsi="Times New Roman"/>
          <w:sz w:val="24"/>
          <w:szCs w:val="24"/>
        </w:rPr>
        <w:t xml:space="preserve">Eur. Pergrupuota ilgalaikio materialiojo turto - 2457,90 Eur į atsargas (dėl minimalios ilgalaikio materialiojo turto vertės pasikeitimo). Detalesnė informacija pateikta aiškinamojo rašto prieduose „Ilgalaikio materialiojo turto balansinės vertės pasikeitimas per </w:t>
      </w:r>
      <w:r>
        <w:rPr>
          <w:rFonts w:ascii="Times New Roman" w:hAnsi="Times New Roman"/>
          <w:sz w:val="24"/>
          <w:szCs w:val="24"/>
        </w:rPr>
        <w:lastRenderedPageBreak/>
        <w:t>ataskaitinį laikotarpį“ (16 psl.) ir „Ilgalaikio materialiojo turto grupėms taikomi nusidėvėjimo normatyvai nuo mažiausio iki didžiausio“  (41  psl.).</w:t>
      </w:r>
    </w:p>
    <w:p w14:paraId="43105783" w14:textId="77777777" w:rsidR="00000000" w:rsidRDefault="00000000">
      <w:pPr>
        <w:rPr>
          <w:rFonts w:ascii="Times New Roman" w:hAnsi="Times New Roman"/>
          <w:b/>
          <w:sz w:val="24"/>
          <w:szCs w:val="24"/>
        </w:rPr>
      </w:pPr>
      <w:r>
        <w:rPr>
          <w:rFonts w:ascii="Times New Roman" w:hAnsi="Times New Roman"/>
          <w:b/>
          <w:sz w:val="24"/>
          <w:szCs w:val="24"/>
        </w:rPr>
        <w:t>C. TRUMPALAIKIS TURTAS 15540,44 Eur</w:t>
      </w:r>
    </w:p>
    <w:p w14:paraId="64FA1F58" w14:textId="77777777" w:rsidR="00000000" w:rsidRDefault="00000000">
      <w:pPr>
        <w:spacing w:line="360" w:lineRule="auto"/>
        <w:jc w:val="both"/>
        <w:rPr>
          <w:rFonts w:ascii="Times New Roman" w:hAnsi="Times New Roman"/>
          <w:sz w:val="24"/>
          <w:szCs w:val="24"/>
          <w:lang w:eastAsia="lt-LT"/>
        </w:rPr>
      </w:pPr>
      <w:r>
        <w:rPr>
          <w:rFonts w:ascii="Times New Roman" w:hAnsi="Times New Roman"/>
          <w:sz w:val="24"/>
          <w:szCs w:val="24"/>
        </w:rPr>
        <w:t xml:space="preserve">   Atsargų apskaitos metodai ir taisyklės nustatyti 8-ajame VSAFAS „Atsargos“. Prie atsargų priskiriama: medžiagos, žaliavos ir neatiduotas naudoti ūkinis inventorius. Atiduoto naudoti ūkinio inventoriaus vertė iš karto nurašoma į sąnaudas.</w:t>
      </w:r>
      <w:r>
        <w:rPr>
          <w:rFonts w:ascii="Times New Roman" w:hAnsi="Times New Roman"/>
          <w:sz w:val="24"/>
          <w:szCs w:val="24"/>
          <w:lang w:eastAsia="lt-LT"/>
        </w:rPr>
        <w:t xml:space="preserve"> Atsargų pergrupavimai +</w:t>
      </w:r>
      <w:r>
        <w:rPr>
          <w:rFonts w:ascii="Times New Roman" w:hAnsi="Times New Roman"/>
          <w:sz w:val="24"/>
          <w:szCs w:val="24"/>
          <w:lang w:val="en-US" w:eastAsia="lt-LT"/>
        </w:rPr>
        <w:t xml:space="preserve"> 2457,90</w:t>
      </w:r>
      <w:r>
        <w:rPr>
          <w:rFonts w:ascii="Times New Roman" w:hAnsi="Times New Roman"/>
          <w:sz w:val="24"/>
          <w:szCs w:val="24"/>
          <w:lang w:eastAsia="lt-LT"/>
        </w:rPr>
        <w:t xml:space="preserve"> Eur pergrupuota dėl ilgalaikio materialiojo turto minimalios vertės pasikeitimo. Informacija apie atsargų vertės pasikeitimą per ataskaitinį laikotarpį lentelė yra pateikta priede P8 </w:t>
      </w:r>
      <w:r>
        <w:rPr>
          <w:rFonts w:ascii="Times New Roman" w:hAnsi="Times New Roman"/>
          <w:i/>
          <w:iCs/>
          <w:sz w:val="24"/>
          <w:szCs w:val="24"/>
          <w:lang w:eastAsia="lt-LT"/>
        </w:rPr>
        <w:t>Atsargos</w:t>
      </w:r>
      <w:r>
        <w:rPr>
          <w:rFonts w:ascii="Times New Roman" w:hAnsi="Times New Roman"/>
          <w:sz w:val="24"/>
          <w:szCs w:val="24"/>
          <w:lang w:eastAsia="lt-LT"/>
        </w:rPr>
        <w:t xml:space="preserve"> (22 psl.)</w:t>
      </w:r>
    </w:p>
    <w:p w14:paraId="6A915C3E" w14:textId="77777777" w:rsidR="00000000" w:rsidRDefault="00000000">
      <w:pPr>
        <w:spacing w:line="360" w:lineRule="auto"/>
        <w:jc w:val="both"/>
        <w:rPr>
          <w:rFonts w:ascii="Times New Roman" w:hAnsi="Times New Roman"/>
          <w:sz w:val="24"/>
          <w:szCs w:val="24"/>
        </w:rPr>
      </w:pPr>
      <w:r>
        <w:rPr>
          <w:rFonts w:ascii="Times New Roman" w:hAnsi="Times New Roman"/>
          <w:b/>
          <w:sz w:val="24"/>
          <w:szCs w:val="24"/>
          <w:lang w:eastAsia="lt-LT"/>
        </w:rPr>
        <w:t>P09</w:t>
      </w:r>
      <w:r>
        <w:rPr>
          <w:rFonts w:ascii="Times New Roman" w:hAnsi="Times New Roman"/>
          <w:sz w:val="24"/>
          <w:szCs w:val="24"/>
          <w:lang w:eastAsia="lt-LT"/>
        </w:rPr>
        <w:t xml:space="preserve"> Išankstiniai apmokėjimai – 1</w:t>
      </w:r>
      <w:r>
        <w:rPr>
          <w:rFonts w:ascii="Times New Roman" w:hAnsi="Times New Roman"/>
          <w:sz w:val="24"/>
          <w:szCs w:val="24"/>
          <w:lang w:val="en-US" w:eastAsia="lt-LT"/>
        </w:rPr>
        <w:t>89,27</w:t>
      </w:r>
      <w:r>
        <w:rPr>
          <w:rFonts w:ascii="Times New Roman" w:hAnsi="Times New Roman"/>
          <w:sz w:val="24"/>
          <w:szCs w:val="24"/>
          <w:lang w:eastAsia="lt-LT"/>
        </w:rPr>
        <w:t xml:space="preserve"> Eur už svetainės priežiūrą</w:t>
      </w:r>
      <w:r>
        <w:rPr>
          <w:rFonts w:ascii="Times New Roman" w:hAnsi="Times New Roman"/>
          <w:sz w:val="24"/>
          <w:szCs w:val="24"/>
          <w:lang w:val="en-US" w:eastAsia="lt-LT"/>
        </w:rPr>
        <w:t xml:space="preserve"> ir el. prenumeratą</w:t>
      </w:r>
      <w:r>
        <w:rPr>
          <w:rFonts w:ascii="Times New Roman" w:hAnsi="Times New Roman"/>
          <w:sz w:val="24"/>
          <w:szCs w:val="24"/>
          <w:lang w:eastAsia="lt-LT"/>
        </w:rPr>
        <w:t xml:space="preserve"> (23 psl.)</w:t>
      </w:r>
    </w:p>
    <w:p w14:paraId="658C983A" w14:textId="77777777" w:rsidR="00000000" w:rsidRDefault="00000000">
      <w:pPr>
        <w:outlineLvl w:val="0"/>
        <w:rPr>
          <w:rFonts w:ascii="Times New Roman" w:hAnsi="Times New Roman"/>
          <w:sz w:val="24"/>
          <w:szCs w:val="24"/>
        </w:rPr>
      </w:pPr>
      <w:r>
        <w:rPr>
          <w:rFonts w:ascii="Times New Roman" w:hAnsi="Times New Roman"/>
          <w:b/>
          <w:sz w:val="24"/>
          <w:szCs w:val="24"/>
        </w:rPr>
        <w:t>P10</w:t>
      </w:r>
      <w:r>
        <w:rPr>
          <w:rFonts w:ascii="Times New Roman" w:hAnsi="Times New Roman"/>
          <w:sz w:val="24"/>
          <w:szCs w:val="24"/>
        </w:rPr>
        <w:t xml:space="preserve"> Per vienerius metus gautinos sumos – 13113,98 Eur (24 psl.)</w:t>
      </w:r>
    </w:p>
    <w:p w14:paraId="5DB8E3E0" w14:textId="77777777" w:rsidR="00000000" w:rsidRDefault="00000000">
      <w:pPr>
        <w:rPr>
          <w:rFonts w:ascii="Times New Roman" w:hAnsi="Times New Roman"/>
          <w:sz w:val="24"/>
          <w:szCs w:val="24"/>
        </w:rPr>
      </w:pPr>
      <w:r>
        <w:rPr>
          <w:rFonts w:ascii="Times New Roman" w:hAnsi="Times New Roman"/>
          <w:sz w:val="24"/>
          <w:szCs w:val="24"/>
        </w:rPr>
        <w:t>Iš jų:</w:t>
      </w:r>
    </w:p>
    <w:p w14:paraId="190AFD6A" w14:textId="77777777" w:rsidR="00000000" w:rsidRDefault="00000000">
      <w:pPr>
        <w:spacing w:line="360" w:lineRule="auto"/>
        <w:jc w:val="both"/>
        <w:rPr>
          <w:rFonts w:ascii="Times New Roman" w:hAnsi="Times New Roman"/>
          <w:sz w:val="24"/>
          <w:szCs w:val="24"/>
        </w:rPr>
      </w:pPr>
      <w:r>
        <w:rPr>
          <w:rFonts w:ascii="Times New Roman" w:hAnsi="Times New Roman"/>
          <w:sz w:val="24"/>
          <w:szCs w:val="24"/>
        </w:rPr>
        <w:t>III.5. Sukauptos gautinos sumos – 12940,69 Eur ( Iš jų: biudžeto lėšos kreditorinis įsiskolinimas – 2691,89 Eur; sukaupti atostoginiai – 8629,26 Eur (iš jų sodrai – 123,34 Eur);  kitos sukauptos gautinos sumos 1619,54 Eur spec. lėšos.</w:t>
      </w:r>
    </w:p>
    <w:p w14:paraId="55A89AB5" w14:textId="77777777" w:rsidR="00000000" w:rsidRDefault="00000000">
      <w:pPr>
        <w:jc w:val="both"/>
        <w:rPr>
          <w:rFonts w:ascii="Times New Roman" w:hAnsi="Times New Roman"/>
          <w:sz w:val="24"/>
          <w:szCs w:val="24"/>
        </w:rPr>
      </w:pPr>
      <w:r>
        <w:rPr>
          <w:rFonts w:ascii="Times New Roman" w:hAnsi="Times New Roman"/>
          <w:sz w:val="24"/>
          <w:szCs w:val="24"/>
        </w:rPr>
        <w:t>III.6. Kitos gautinos sumos – 173,29 Eur (tai gautinos sumos sąnaudų atstatymui už elektrą).</w:t>
      </w:r>
    </w:p>
    <w:p w14:paraId="4043EB5E" w14:textId="77777777" w:rsidR="00000000" w:rsidRDefault="00000000">
      <w:pPr>
        <w:jc w:val="both"/>
        <w:rPr>
          <w:rFonts w:ascii="Times New Roman" w:hAnsi="Times New Roman"/>
          <w:sz w:val="24"/>
          <w:szCs w:val="24"/>
          <w:highlight w:val="yellow"/>
        </w:rPr>
      </w:pPr>
      <w:r>
        <w:rPr>
          <w:rFonts w:ascii="Times New Roman" w:hAnsi="Times New Roman"/>
          <w:b/>
          <w:sz w:val="24"/>
          <w:szCs w:val="24"/>
        </w:rPr>
        <w:t>P11</w:t>
      </w:r>
      <w:r>
        <w:rPr>
          <w:rFonts w:ascii="Times New Roman" w:hAnsi="Times New Roman"/>
          <w:sz w:val="24"/>
          <w:szCs w:val="24"/>
        </w:rPr>
        <w:t xml:space="preserve"> Pinigų likutis banko sąskaitose – 2237,19 Eur,  (25 psl.).</w:t>
      </w:r>
    </w:p>
    <w:p w14:paraId="08A95848" w14:textId="77777777" w:rsidR="00000000" w:rsidRDefault="00000000">
      <w:pPr>
        <w:outlineLvl w:val="0"/>
        <w:rPr>
          <w:rFonts w:ascii="Times New Roman" w:hAnsi="Times New Roman"/>
          <w:sz w:val="24"/>
          <w:szCs w:val="24"/>
        </w:rPr>
      </w:pPr>
      <w:r>
        <w:rPr>
          <w:rFonts w:ascii="Times New Roman" w:hAnsi="Times New Roman"/>
          <w:b/>
          <w:sz w:val="24"/>
          <w:szCs w:val="24"/>
        </w:rPr>
        <w:t>D. FINANSAVIMO SUMOS</w:t>
      </w:r>
      <w:r>
        <w:rPr>
          <w:rFonts w:ascii="Times New Roman" w:hAnsi="Times New Roman"/>
          <w:sz w:val="28"/>
          <w:szCs w:val="24"/>
        </w:rPr>
        <w:t xml:space="preserve"> </w:t>
      </w:r>
    </w:p>
    <w:p w14:paraId="63AC818B" w14:textId="77777777" w:rsidR="00000000" w:rsidRDefault="00000000">
      <w:pPr>
        <w:rPr>
          <w:rFonts w:ascii="Times New Roman" w:hAnsi="Times New Roman"/>
          <w:sz w:val="24"/>
          <w:szCs w:val="24"/>
        </w:rPr>
      </w:pPr>
      <w:r>
        <w:rPr>
          <w:rFonts w:ascii="Times New Roman" w:hAnsi="Times New Roman"/>
          <w:b/>
          <w:sz w:val="24"/>
          <w:szCs w:val="24"/>
        </w:rPr>
        <w:t xml:space="preserve">P12.  FINANSAVIMO SUMOS 233061,44 Eur </w:t>
      </w:r>
    </w:p>
    <w:p w14:paraId="6BF2A4F5" w14:textId="77777777" w:rsidR="00000000" w:rsidRDefault="00000000">
      <w:pPr>
        <w:rPr>
          <w:rFonts w:ascii="Times New Roman" w:hAnsi="Times New Roman"/>
          <w:sz w:val="24"/>
          <w:szCs w:val="24"/>
        </w:rPr>
      </w:pPr>
      <w:r>
        <w:rPr>
          <w:rFonts w:ascii="Times New Roman" w:hAnsi="Times New Roman"/>
          <w:sz w:val="24"/>
          <w:szCs w:val="24"/>
        </w:rPr>
        <w:t xml:space="preserve">Iš jų: </w:t>
      </w:r>
    </w:p>
    <w:p w14:paraId="56AF47AF" w14:textId="77777777" w:rsidR="00000000" w:rsidRDefault="00000000">
      <w:pPr>
        <w:jc w:val="both"/>
        <w:rPr>
          <w:rFonts w:ascii="Times New Roman" w:hAnsi="Times New Roman"/>
          <w:sz w:val="24"/>
          <w:szCs w:val="24"/>
        </w:rPr>
      </w:pPr>
      <w:r>
        <w:rPr>
          <w:rFonts w:ascii="Times New Roman" w:hAnsi="Times New Roman"/>
          <w:sz w:val="24"/>
          <w:szCs w:val="24"/>
        </w:rPr>
        <w:t>II. Iš savivaldybės biudžeto 101795,07 Eur (Iš jų: 101605,80 Eur - ilgalaikio turto likutinė vertė ir 189,27 Eur ateinančių laikotarpių sąnaudos).</w:t>
      </w:r>
    </w:p>
    <w:p w14:paraId="1D5DE802" w14:textId="77777777" w:rsidR="00000000" w:rsidRDefault="00000000">
      <w:pPr>
        <w:rPr>
          <w:rFonts w:ascii="Times New Roman" w:hAnsi="Times New Roman"/>
          <w:sz w:val="24"/>
          <w:szCs w:val="24"/>
        </w:rPr>
      </w:pPr>
      <w:r>
        <w:rPr>
          <w:rFonts w:ascii="Times New Roman" w:hAnsi="Times New Roman"/>
          <w:sz w:val="24"/>
          <w:szCs w:val="24"/>
        </w:rPr>
        <w:t>III. Iš Europos Sąjungos 130527,38 Eur – ilgalaikio turto likutinė vertė.</w:t>
      </w:r>
    </w:p>
    <w:p w14:paraId="369A49A0" w14:textId="77777777" w:rsidR="00000000" w:rsidRDefault="00000000">
      <w:pPr>
        <w:rPr>
          <w:rFonts w:ascii="Times New Roman" w:hAnsi="Times New Roman"/>
          <w:sz w:val="24"/>
          <w:szCs w:val="24"/>
        </w:rPr>
      </w:pPr>
      <w:r>
        <w:rPr>
          <w:rFonts w:ascii="Times New Roman" w:hAnsi="Times New Roman"/>
          <w:sz w:val="24"/>
          <w:szCs w:val="24"/>
        </w:rPr>
        <w:t>IV. Iš kitų šaltinių 738,99 Eur ( pinigai banke).</w:t>
      </w:r>
    </w:p>
    <w:p w14:paraId="5807621B" w14:textId="77777777" w:rsidR="00000000" w:rsidRDefault="00000000">
      <w:pPr>
        <w:spacing w:line="360" w:lineRule="auto"/>
        <w:jc w:val="both"/>
        <w:rPr>
          <w:rFonts w:ascii="Times New Roman" w:hAnsi="Times New Roman"/>
          <w:sz w:val="24"/>
          <w:szCs w:val="24"/>
        </w:rPr>
      </w:pPr>
      <w:r>
        <w:rPr>
          <w:rFonts w:ascii="Times New Roman" w:hAnsi="Times New Roman"/>
          <w:sz w:val="24"/>
          <w:szCs w:val="24"/>
        </w:rPr>
        <w:t xml:space="preserve">    Detalizacija pagal šaltinius ir tikslinę paskirtį (apie per apyskaitinį laikotarpį gautą bei panaudotą finansavimą) matosi 20-ojo VSAFAS priede (26 -27 psl.)</w:t>
      </w:r>
    </w:p>
    <w:p w14:paraId="2E4B7DA0" w14:textId="77777777" w:rsidR="00000000" w:rsidRDefault="00000000">
      <w:pPr>
        <w:outlineLvl w:val="0"/>
        <w:rPr>
          <w:rFonts w:ascii="Times New Roman" w:hAnsi="Times New Roman"/>
          <w:sz w:val="24"/>
          <w:szCs w:val="24"/>
        </w:rPr>
      </w:pPr>
      <w:r>
        <w:rPr>
          <w:rFonts w:ascii="Times New Roman" w:hAnsi="Times New Roman"/>
          <w:b/>
          <w:sz w:val="24"/>
          <w:szCs w:val="24"/>
        </w:rPr>
        <w:t xml:space="preserve">E. ĮSIPAREIGOJIMAI  </w:t>
      </w:r>
      <w:r>
        <w:rPr>
          <w:rFonts w:ascii="Times New Roman" w:hAnsi="Times New Roman"/>
          <w:sz w:val="24"/>
          <w:szCs w:val="24"/>
        </w:rPr>
        <w:t xml:space="preserve"> </w:t>
      </w:r>
      <w:r>
        <w:rPr>
          <w:rFonts w:ascii="Times New Roman" w:hAnsi="Times New Roman"/>
          <w:b/>
          <w:sz w:val="24"/>
          <w:szCs w:val="24"/>
        </w:rPr>
        <w:t>11494,44 Eur (34 psl.)</w:t>
      </w:r>
    </w:p>
    <w:p w14:paraId="211F3878" w14:textId="77777777" w:rsidR="00000000" w:rsidRDefault="00000000">
      <w:pPr>
        <w:spacing w:line="360" w:lineRule="auto"/>
        <w:rPr>
          <w:rFonts w:ascii="Times New Roman" w:hAnsi="Times New Roman"/>
          <w:sz w:val="24"/>
          <w:szCs w:val="24"/>
        </w:rPr>
      </w:pPr>
      <w:r>
        <w:rPr>
          <w:rFonts w:ascii="Times New Roman" w:hAnsi="Times New Roman"/>
          <w:b/>
          <w:sz w:val="24"/>
          <w:szCs w:val="24"/>
        </w:rPr>
        <w:t>P17</w:t>
      </w:r>
      <w:r>
        <w:rPr>
          <w:rFonts w:ascii="Times New Roman" w:hAnsi="Times New Roman"/>
          <w:sz w:val="24"/>
          <w:szCs w:val="24"/>
        </w:rPr>
        <w:t xml:space="preserve"> Tiekėjams mokėtinos sumos – 2865,18 Eur (VšĮ Velžio kom. ūkis, UAB Telia, Elektros energija, UAB Ignitis).</w:t>
      </w:r>
    </w:p>
    <w:p w14:paraId="45C62929" w14:textId="77777777" w:rsidR="00000000" w:rsidRDefault="00000000">
      <w:pPr>
        <w:spacing w:line="360" w:lineRule="auto"/>
        <w:jc w:val="both"/>
        <w:rPr>
          <w:rFonts w:ascii="Times New Roman" w:hAnsi="Times New Roman"/>
          <w:sz w:val="24"/>
          <w:szCs w:val="24"/>
        </w:rPr>
      </w:pPr>
      <w:r>
        <w:rPr>
          <w:rFonts w:ascii="Times New Roman" w:hAnsi="Times New Roman"/>
          <w:b/>
          <w:sz w:val="24"/>
          <w:szCs w:val="24"/>
        </w:rPr>
        <w:lastRenderedPageBreak/>
        <w:t>P17</w:t>
      </w:r>
      <w:r>
        <w:rPr>
          <w:rFonts w:ascii="Times New Roman" w:hAnsi="Times New Roman"/>
          <w:sz w:val="24"/>
          <w:szCs w:val="24"/>
        </w:rPr>
        <w:t xml:space="preserve"> Sukaupti atostoginių kaupiniai – 8629,26 Eur (Iš jų: sukaupta sodrai – 123,34 Eur, pagal apskaitos politiką perskaičiuojami vieną kartą metuose).</w:t>
      </w:r>
    </w:p>
    <w:p w14:paraId="5E25F45E" w14:textId="77777777" w:rsidR="00000000" w:rsidRDefault="00000000">
      <w:pPr>
        <w:outlineLvl w:val="0"/>
        <w:rPr>
          <w:rFonts w:ascii="Times New Roman" w:hAnsi="Times New Roman"/>
          <w:b/>
          <w:sz w:val="24"/>
          <w:szCs w:val="24"/>
        </w:rPr>
      </w:pPr>
      <w:r>
        <w:rPr>
          <w:rFonts w:ascii="Times New Roman" w:hAnsi="Times New Roman"/>
          <w:b/>
          <w:sz w:val="24"/>
          <w:szCs w:val="24"/>
        </w:rPr>
        <w:t>P18.  GRYNASIS TURTAS  3117,74  Eur:</w:t>
      </w:r>
    </w:p>
    <w:p w14:paraId="711C9841" w14:textId="77777777" w:rsidR="00000000" w:rsidRDefault="00000000">
      <w:pPr>
        <w:rPr>
          <w:rFonts w:ascii="Times New Roman" w:hAnsi="Times New Roman"/>
          <w:sz w:val="24"/>
          <w:szCs w:val="24"/>
        </w:rPr>
      </w:pPr>
      <w:r>
        <w:rPr>
          <w:rFonts w:ascii="Times New Roman" w:hAnsi="Times New Roman"/>
          <w:sz w:val="24"/>
          <w:szCs w:val="24"/>
        </w:rPr>
        <w:t>IV.2.  Ankstesnių metų perviršis/deficitas:   1083,38 Eur</w:t>
      </w:r>
    </w:p>
    <w:p w14:paraId="7109FB35" w14:textId="77777777" w:rsidR="00000000" w:rsidRDefault="00000000">
      <w:pPr>
        <w:rPr>
          <w:rFonts w:ascii="Times New Roman" w:hAnsi="Times New Roman"/>
          <w:sz w:val="24"/>
          <w:szCs w:val="24"/>
        </w:rPr>
      </w:pPr>
      <w:r>
        <w:rPr>
          <w:rFonts w:ascii="Times New Roman" w:hAnsi="Times New Roman"/>
          <w:sz w:val="24"/>
          <w:szCs w:val="24"/>
        </w:rPr>
        <w:t xml:space="preserve">                                                                 + 3358,00 Eur spec. lėšų pajamos ir 7 kt. lėšos (7412001kl)</w:t>
      </w:r>
    </w:p>
    <w:p w14:paraId="26F71B5D" w14:textId="77777777" w:rsidR="00000000" w:rsidRDefault="00000000">
      <w:pPr>
        <w:ind w:left="360"/>
        <w:rPr>
          <w:rFonts w:ascii="Times New Roman" w:hAnsi="Times New Roman"/>
          <w:sz w:val="24"/>
          <w:szCs w:val="24"/>
        </w:rPr>
      </w:pPr>
      <w:r>
        <w:rPr>
          <w:rFonts w:ascii="Times New Roman" w:hAnsi="Times New Roman"/>
          <w:sz w:val="24"/>
          <w:szCs w:val="24"/>
        </w:rPr>
        <w:t xml:space="preserve">                                                            -1323,64 Eur spec. lėšų sąnaudos ir 7 kt. lėšų (8 kl)</w:t>
      </w:r>
    </w:p>
    <w:p w14:paraId="70E1830B" w14:textId="77777777" w:rsidR="00000000" w:rsidRDefault="00000000">
      <w:pPr>
        <w:rPr>
          <w:rFonts w:ascii="Times New Roman" w:hAnsi="Times New Roman"/>
          <w:b/>
          <w:sz w:val="24"/>
          <w:szCs w:val="24"/>
        </w:rPr>
      </w:pPr>
      <w:r>
        <w:rPr>
          <w:rFonts w:ascii="Times New Roman" w:hAnsi="Times New Roman"/>
          <w:sz w:val="24"/>
          <w:szCs w:val="24"/>
        </w:rPr>
        <w:t>IV. Sukauptas perviršis deficitas – 3117,74</w:t>
      </w:r>
      <w:r>
        <w:rPr>
          <w:rFonts w:ascii="Times New Roman" w:hAnsi="Times New Roman"/>
          <w:b/>
          <w:sz w:val="24"/>
          <w:szCs w:val="24"/>
        </w:rPr>
        <w:t xml:space="preserve"> Eur </w:t>
      </w:r>
      <w:r>
        <w:rPr>
          <w:rFonts w:ascii="Times New Roman" w:hAnsi="Times New Roman"/>
          <w:sz w:val="24"/>
          <w:szCs w:val="24"/>
        </w:rPr>
        <w:t>(9 psl.)</w:t>
      </w:r>
    </w:p>
    <w:p w14:paraId="166D290C" w14:textId="77777777" w:rsidR="00000000" w:rsidRDefault="00000000">
      <w:pPr>
        <w:rPr>
          <w:rFonts w:ascii="Times New Roman" w:hAnsi="Times New Roman"/>
          <w:b/>
          <w:sz w:val="24"/>
          <w:szCs w:val="24"/>
        </w:rPr>
      </w:pPr>
    </w:p>
    <w:p w14:paraId="74CC6223" w14:textId="77777777" w:rsidR="00000000" w:rsidRDefault="00000000">
      <w:pPr>
        <w:rPr>
          <w:rFonts w:ascii="Times New Roman" w:hAnsi="Times New Roman"/>
          <w:sz w:val="24"/>
          <w:szCs w:val="24"/>
        </w:rPr>
      </w:pPr>
    </w:p>
    <w:p w14:paraId="5FDDBC11" w14:textId="77777777" w:rsidR="00000000" w:rsidRDefault="00000000">
      <w:pPr>
        <w:ind w:firstLine="360"/>
        <w:jc w:val="center"/>
        <w:rPr>
          <w:rFonts w:ascii="Times New Roman" w:hAnsi="Times New Roman"/>
          <w:b/>
          <w:bCs/>
          <w:sz w:val="24"/>
          <w:szCs w:val="24"/>
        </w:rPr>
      </w:pPr>
      <w:r>
        <w:rPr>
          <w:rFonts w:ascii="Times New Roman" w:hAnsi="Times New Roman"/>
          <w:b/>
          <w:bCs/>
          <w:sz w:val="24"/>
          <w:szCs w:val="24"/>
        </w:rPr>
        <w:t>20-ojo VSAFAS „Finansavimo sumos“  gautos 4 priedas (26-27 psl.)</w:t>
      </w:r>
    </w:p>
    <w:p w14:paraId="5884D2FB" w14:textId="77777777" w:rsidR="00000000" w:rsidRDefault="00000000">
      <w:pPr>
        <w:spacing w:line="360" w:lineRule="auto"/>
        <w:ind w:firstLine="360"/>
        <w:jc w:val="both"/>
        <w:rPr>
          <w:rFonts w:ascii="Times New Roman" w:hAnsi="Times New Roman"/>
          <w:bCs/>
          <w:sz w:val="24"/>
          <w:szCs w:val="24"/>
        </w:rPr>
      </w:pPr>
      <w:r>
        <w:rPr>
          <w:rFonts w:ascii="Times New Roman" w:hAnsi="Times New Roman"/>
          <w:bCs/>
          <w:sz w:val="24"/>
          <w:szCs w:val="24"/>
        </w:rPr>
        <w:t xml:space="preserve">   Finansavimo sumos gautos  iš valstybės lėšų 4025,00 Eur ( projektams įgyvendinti).</w:t>
      </w:r>
      <w:r>
        <w:rPr>
          <w:rFonts w:ascii="Times New Roman" w:hAnsi="Times New Roman"/>
          <w:sz w:val="24"/>
          <w:szCs w:val="24"/>
          <w:lang w:eastAsia="lt-LT"/>
        </w:rPr>
        <w:t xml:space="preserve"> Valstybės biudžeto finansavimo sumų 33</w:t>
      </w:r>
      <w:r>
        <w:rPr>
          <w:rFonts w:ascii="Times New Roman" w:hAnsi="Times New Roman"/>
          <w:sz w:val="24"/>
          <w:szCs w:val="24"/>
          <w:lang w:val="en-US" w:eastAsia="lt-LT"/>
        </w:rPr>
        <w:t>49,00</w:t>
      </w:r>
      <w:r>
        <w:rPr>
          <w:rFonts w:ascii="Times New Roman" w:hAnsi="Times New Roman"/>
          <w:sz w:val="24"/>
          <w:szCs w:val="24"/>
          <w:lang w:eastAsia="lt-LT"/>
        </w:rPr>
        <w:t xml:space="preserve"> Eur pergrupavimas, tai  projektui gautas finansavimas kitoms išlaidoms pergrupuojamas į finansavimą nepiniginiam turtui įsigyti.</w:t>
      </w:r>
    </w:p>
    <w:p w14:paraId="7A9EDC38" w14:textId="77777777" w:rsidR="00000000" w:rsidRDefault="00000000">
      <w:pPr>
        <w:spacing w:line="360" w:lineRule="auto"/>
        <w:ind w:firstLine="360"/>
        <w:jc w:val="both"/>
        <w:rPr>
          <w:rFonts w:ascii="Times New Roman" w:hAnsi="Times New Roman"/>
          <w:bCs/>
          <w:sz w:val="24"/>
          <w:szCs w:val="24"/>
        </w:rPr>
      </w:pPr>
      <w:r>
        <w:rPr>
          <w:rFonts w:ascii="Times New Roman" w:hAnsi="Times New Roman"/>
          <w:bCs/>
          <w:sz w:val="24"/>
          <w:szCs w:val="24"/>
        </w:rPr>
        <w:t xml:space="preserve"> Finansavimo sumos gautos iš savivaldybės biudžeto – 239620,47 Eur. (Iš. Jų: 1950,00 Eur projektams įgyvendinti gauta iš administracijos skyriaus. Pergrupuota 72,09 Eur gautos lėšos projektui išlaidoms, pergrupuojama į nepiniginį turtą).</w:t>
      </w:r>
    </w:p>
    <w:p w14:paraId="3B7345E8" w14:textId="77777777" w:rsidR="00000000" w:rsidRDefault="00000000">
      <w:pPr>
        <w:ind w:firstLine="360"/>
        <w:jc w:val="both"/>
        <w:rPr>
          <w:rFonts w:ascii="Times New Roman" w:hAnsi="Times New Roman"/>
          <w:bCs/>
          <w:sz w:val="24"/>
          <w:szCs w:val="24"/>
        </w:rPr>
      </w:pPr>
      <w:r>
        <w:rPr>
          <w:rFonts w:ascii="Times New Roman" w:hAnsi="Times New Roman"/>
          <w:bCs/>
          <w:sz w:val="24"/>
          <w:szCs w:val="24"/>
        </w:rPr>
        <w:t xml:space="preserve"> Finansavimo sumos iš Europos Sąjungos – negauta.</w:t>
      </w:r>
    </w:p>
    <w:p w14:paraId="504DAEF8" w14:textId="77777777" w:rsidR="00000000" w:rsidRDefault="00000000">
      <w:pPr>
        <w:ind w:firstLine="360"/>
        <w:jc w:val="both"/>
        <w:rPr>
          <w:rFonts w:ascii="Times New Roman" w:hAnsi="Times New Roman"/>
          <w:bCs/>
          <w:sz w:val="24"/>
          <w:szCs w:val="24"/>
          <w:lang w:val="en-US"/>
        </w:rPr>
      </w:pPr>
      <w:r>
        <w:rPr>
          <w:rFonts w:ascii="Times New Roman" w:hAnsi="Times New Roman"/>
          <w:bCs/>
          <w:sz w:val="24"/>
          <w:szCs w:val="24"/>
        </w:rPr>
        <w:t xml:space="preserve"> Finansavimo sumos iš kitų šaltinių – 568,82 Eur.</w:t>
      </w:r>
    </w:p>
    <w:p w14:paraId="4F3E4A31" w14:textId="77777777" w:rsidR="00000000" w:rsidRDefault="00000000">
      <w:pPr>
        <w:ind w:firstLine="360"/>
        <w:jc w:val="both"/>
        <w:rPr>
          <w:rFonts w:ascii="Times New Roman" w:hAnsi="Times New Roman"/>
          <w:bCs/>
          <w:sz w:val="24"/>
          <w:szCs w:val="24"/>
          <w:lang w:val="en-US"/>
        </w:rPr>
      </w:pPr>
    </w:p>
    <w:p w14:paraId="23B11B6F" w14:textId="77777777" w:rsidR="00000000" w:rsidRDefault="00000000">
      <w:pPr>
        <w:jc w:val="center"/>
        <w:rPr>
          <w:rFonts w:ascii="Times New Roman" w:hAnsi="Times New Roman"/>
          <w:sz w:val="24"/>
          <w:szCs w:val="24"/>
        </w:rPr>
      </w:pPr>
      <w:r>
        <w:rPr>
          <w:rFonts w:ascii="Times New Roman" w:hAnsi="Times New Roman"/>
          <w:b/>
          <w:sz w:val="24"/>
          <w:szCs w:val="24"/>
        </w:rPr>
        <w:t xml:space="preserve">Veiklos rezultatų ataskaita </w:t>
      </w:r>
      <w:r>
        <w:rPr>
          <w:rFonts w:ascii="Times New Roman" w:hAnsi="Times New Roman"/>
          <w:sz w:val="24"/>
          <w:szCs w:val="24"/>
        </w:rPr>
        <w:t>(6 psl.)</w:t>
      </w:r>
    </w:p>
    <w:p w14:paraId="5C763ECC" w14:textId="77777777" w:rsidR="00000000" w:rsidRDefault="00000000">
      <w:pPr>
        <w:jc w:val="center"/>
        <w:rPr>
          <w:rFonts w:ascii="Times New Roman" w:hAnsi="Times New Roman"/>
          <w:b/>
          <w:sz w:val="24"/>
          <w:szCs w:val="24"/>
        </w:rPr>
      </w:pPr>
    </w:p>
    <w:p w14:paraId="3F541145" w14:textId="77777777" w:rsidR="00000000" w:rsidRDefault="00000000">
      <w:pPr>
        <w:spacing w:line="360" w:lineRule="auto"/>
        <w:rPr>
          <w:rFonts w:ascii="Times New Roman" w:hAnsi="Times New Roman"/>
          <w:sz w:val="24"/>
          <w:szCs w:val="24"/>
        </w:rPr>
      </w:pPr>
      <w:r>
        <w:rPr>
          <w:rFonts w:ascii="Times New Roman" w:hAnsi="Times New Roman"/>
          <w:sz w:val="24"/>
          <w:szCs w:val="24"/>
        </w:rPr>
        <w:t xml:space="preserve"> Veiklos rezultatų ataskaitoje tai  7 ir 8 klasių sąskaitų kaupiniai per 2025 metus.</w:t>
      </w:r>
    </w:p>
    <w:p w14:paraId="172752E5" w14:textId="77777777" w:rsidR="00000000" w:rsidRDefault="00000000">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P21</w:t>
      </w:r>
      <w:r>
        <w:rPr>
          <w:rFonts w:ascii="Times New Roman" w:hAnsi="Times New Roman"/>
          <w:sz w:val="24"/>
          <w:szCs w:val="24"/>
        </w:rPr>
        <w:t xml:space="preserve"> Pagrindinės veiklos kitos pajamos 3358,00 Eur tai pajamos spec. lėšų.</w:t>
      </w:r>
    </w:p>
    <w:p w14:paraId="5AA3D1F6" w14:textId="77777777" w:rsidR="00000000" w:rsidRDefault="00000000">
      <w:pPr>
        <w:spacing w:line="360" w:lineRule="auto"/>
        <w:jc w:val="both"/>
        <w:rPr>
          <w:rFonts w:ascii="Times New Roman" w:hAnsi="Times New Roman"/>
          <w:sz w:val="24"/>
          <w:szCs w:val="24"/>
        </w:rPr>
      </w:pPr>
      <w:r>
        <w:rPr>
          <w:rFonts w:ascii="Times New Roman" w:hAnsi="Times New Roman"/>
          <w:b/>
          <w:sz w:val="24"/>
          <w:szCs w:val="24"/>
        </w:rPr>
        <w:t xml:space="preserve">           P02  Pagrindinės veiklos sąnaudos 252485,12 Eur</w:t>
      </w:r>
      <w:r>
        <w:rPr>
          <w:rFonts w:ascii="Times New Roman" w:hAnsi="Times New Roman"/>
          <w:sz w:val="24"/>
          <w:szCs w:val="24"/>
        </w:rPr>
        <w:t xml:space="preserve"> Sukauptos faktinės sąnaudos iš visų finansavimo šaltinių paskirstytos  vadovaujantis VSAFAS standartais.</w:t>
      </w:r>
    </w:p>
    <w:p w14:paraId="59BAC21A" w14:textId="77777777" w:rsidR="00000000" w:rsidRDefault="00000000">
      <w:pPr>
        <w:spacing w:line="360" w:lineRule="auto"/>
        <w:jc w:val="both"/>
        <w:rPr>
          <w:rFonts w:ascii="Times New Roman" w:hAnsi="Times New Roman"/>
          <w:sz w:val="24"/>
          <w:szCs w:val="24"/>
        </w:rPr>
      </w:pPr>
      <w:r>
        <w:rPr>
          <w:rFonts w:ascii="Times New Roman" w:hAnsi="Times New Roman"/>
          <w:sz w:val="24"/>
          <w:szCs w:val="24"/>
        </w:rPr>
        <w:t xml:space="preserve">    Lyginant su praėjusiu ataskaitiniu laikotarpiu sąnaudos padidėjo 14043,63 Eur. Daugiausia didėjo dėl darbo užmokesčio didėjimo.</w:t>
      </w:r>
    </w:p>
    <w:p w14:paraId="6CB54353" w14:textId="77777777" w:rsidR="00000000" w:rsidRDefault="00000000">
      <w:pPr>
        <w:autoSpaceDE w:val="0"/>
        <w:autoSpaceDN w:val="0"/>
        <w:adjustRightInd w:val="0"/>
        <w:spacing w:after="0" w:line="360" w:lineRule="auto"/>
        <w:jc w:val="both"/>
        <w:rPr>
          <w:rFonts w:ascii="Times New Roman" w:hAnsi="Times New Roman"/>
          <w:sz w:val="24"/>
          <w:szCs w:val="24"/>
          <w:lang w:eastAsia="lt-LT"/>
        </w:rPr>
      </w:pPr>
      <w:r>
        <w:rPr>
          <w:rFonts w:ascii="Times New Roman" w:hAnsi="Times New Roman"/>
          <w:sz w:val="24"/>
          <w:szCs w:val="24"/>
        </w:rPr>
        <w:lastRenderedPageBreak/>
        <w:t xml:space="preserve">        </w:t>
      </w:r>
      <w:r>
        <w:rPr>
          <w:rFonts w:ascii="Times New Roman" w:hAnsi="Times New Roman"/>
          <w:b/>
          <w:sz w:val="24"/>
          <w:szCs w:val="24"/>
        </w:rPr>
        <w:t>Darbo užmokesčio ir socialinio draudimo sąnaudos P22 (37 psl.).</w:t>
      </w:r>
      <w:r>
        <w:rPr>
          <w:rFonts w:ascii="Times New Roman" w:hAnsi="Times New Roman"/>
          <w:sz w:val="24"/>
          <w:szCs w:val="24"/>
        </w:rPr>
        <w:t xml:space="preserve"> Ataskaitinio laikotarpio pradžioje ir pabaigoje dirbo 12 darbuotojų. Ataskaitinį laikotarpį lyginant su praėjusiu ataskaitiniu laikotarpiu darbo užmokesčio ir socialinio draudimo sąnaudos didėjo dėl </w:t>
      </w:r>
      <w:r>
        <w:rPr>
          <w:rFonts w:ascii="Times New Roman" w:hAnsi="Times New Roman"/>
          <w:sz w:val="24"/>
          <w:szCs w:val="24"/>
          <w:lang w:eastAsia="lt-LT"/>
        </w:rPr>
        <w:t xml:space="preserve"> padidėjusio bazinio dydžio, padidėjusios minimalios algos ir padidėjusių koeficientų.</w:t>
      </w:r>
    </w:p>
    <w:p w14:paraId="00E4A5DE" w14:textId="77777777" w:rsidR="00000000" w:rsidRDefault="00000000">
      <w:pPr>
        <w:spacing w:line="360" w:lineRule="auto"/>
        <w:jc w:val="both"/>
        <w:rPr>
          <w:rFonts w:ascii="Times New Roman" w:hAnsi="Times New Roman"/>
          <w:sz w:val="24"/>
          <w:szCs w:val="24"/>
        </w:rPr>
      </w:pPr>
      <w:r>
        <w:rPr>
          <w:rFonts w:ascii="Times New Roman" w:hAnsi="Times New Roman"/>
          <w:sz w:val="24"/>
          <w:szCs w:val="24"/>
        </w:rPr>
        <w:t xml:space="preserve">   Skirtumą tarp 7 ir 8 klasės sudaro gautos mažesnės pagrindinės veiklos kitos pajamos (spec. lėšos) 2034,36  Eur už padarytas sąnaudas.</w:t>
      </w:r>
    </w:p>
    <w:p w14:paraId="5EBBD98A" w14:textId="77777777" w:rsidR="00000000" w:rsidRDefault="00000000">
      <w:pPr>
        <w:keepNext/>
        <w:keepLines/>
        <w:spacing w:after="112" w:line="360" w:lineRule="auto"/>
        <w:ind w:left="912" w:hanging="10"/>
        <w:outlineLvl w:val="2"/>
        <w:rPr>
          <w:rFonts w:ascii="Times New Roman" w:eastAsia="Times New Roman" w:hAnsi="Times New Roman"/>
          <w:b/>
          <w:color w:val="000000"/>
          <w:sz w:val="24"/>
          <w:lang w:eastAsia="lt-LT"/>
        </w:rPr>
      </w:pPr>
      <w:r>
        <w:rPr>
          <w:rFonts w:ascii="Times New Roman" w:hAnsi="Times New Roman"/>
          <w:sz w:val="24"/>
          <w:szCs w:val="24"/>
        </w:rPr>
        <w:t xml:space="preserve"> </w:t>
      </w:r>
      <w:r>
        <w:rPr>
          <w:rFonts w:ascii="Times New Roman" w:hAnsi="Times New Roman"/>
          <w:sz w:val="24"/>
          <w:szCs w:val="24"/>
        </w:rPr>
        <w:tab/>
      </w:r>
      <w:r>
        <w:rPr>
          <w:rFonts w:ascii="Times New Roman" w:eastAsia="Times New Roman" w:hAnsi="Times New Roman"/>
          <w:b/>
          <w:color w:val="000000"/>
          <w:sz w:val="24"/>
          <w:lang w:eastAsia="lt-LT"/>
        </w:rPr>
        <w:t xml:space="preserve">Informacija apie per ataskaitinį laikotarpį gautą paramą ir jos panaudojimą </w:t>
      </w:r>
    </w:p>
    <w:p w14:paraId="67955D32" w14:textId="77777777" w:rsidR="00000000" w:rsidRDefault="00000000">
      <w:pPr>
        <w:spacing w:after="3" w:line="360" w:lineRule="auto"/>
        <w:ind w:left="-15" w:right="74" w:firstLine="566"/>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Informacija apie per ataskaitinį laikotarpį gautą paramą ir jos panaudojimą pateikiama 6-ojo VSAFAS „Finansinių ataskaitų aiškinamasis raštas“ 7, 8 prieduose (29 ir 30 psl.).</w:t>
      </w:r>
    </w:p>
    <w:p w14:paraId="68253934" w14:textId="77777777" w:rsidR="00000000" w:rsidRDefault="00000000">
      <w:pPr>
        <w:spacing w:after="3" w:line="360" w:lineRule="auto"/>
        <w:ind w:left="-15" w:right="74" w:firstLine="566"/>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Pagal panaudos sutartis perduotas turtas likutine verte </w:t>
      </w:r>
      <w:r>
        <w:rPr>
          <w:rFonts w:ascii="Times New Roman" w:eastAsia="Times New Roman" w:hAnsi="Times New Roman"/>
          <w:sz w:val="24"/>
          <w:lang w:val="en-US" w:eastAsia="lt-LT"/>
        </w:rPr>
        <w:t>26092,18</w:t>
      </w:r>
      <w:r>
        <w:rPr>
          <w:rFonts w:ascii="Times New Roman" w:eastAsia="Times New Roman" w:hAnsi="Times New Roman"/>
          <w:color w:val="000000"/>
          <w:sz w:val="24"/>
          <w:lang w:eastAsia="lt-LT"/>
        </w:rPr>
        <w:t xml:space="preserve"> Eur (19 psl.)</w:t>
      </w:r>
    </w:p>
    <w:p w14:paraId="77106B43" w14:textId="77777777" w:rsidR="00000000" w:rsidRDefault="00000000">
      <w:pPr>
        <w:spacing w:after="3" w:line="360" w:lineRule="auto"/>
        <w:ind w:left="-15" w:right="74" w:firstLine="566"/>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 xml:space="preserve"> Pagal panaudos sutartis gauta žemė 3671,51 Eur. (32 psl.)</w:t>
      </w:r>
    </w:p>
    <w:p w14:paraId="4BEFCE58" w14:textId="77777777" w:rsidR="00000000" w:rsidRDefault="00000000">
      <w:pPr>
        <w:spacing w:after="3" w:line="360" w:lineRule="auto"/>
        <w:ind w:left="-15" w:right="74" w:firstLine="566"/>
        <w:jc w:val="both"/>
        <w:rPr>
          <w:rFonts w:ascii="Times New Roman" w:eastAsia="Times New Roman" w:hAnsi="Times New Roman"/>
          <w:color w:val="000000"/>
          <w:sz w:val="24"/>
          <w:lang w:eastAsia="lt-LT"/>
        </w:rPr>
      </w:pPr>
    </w:p>
    <w:p w14:paraId="49CBDA1D" w14:textId="77777777" w:rsidR="00000000" w:rsidRDefault="00000000">
      <w:pPr>
        <w:rPr>
          <w:rFonts w:ascii="Times New Roman" w:hAnsi="Times New Roman"/>
          <w:sz w:val="24"/>
          <w:szCs w:val="24"/>
        </w:rPr>
      </w:pPr>
      <w:r>
        <w:rPr>
          <w:rFonts w:ascii="Times New Roman" w:hAnsi="Times New Roman"/>
          <w:sz w:val="24"/>
          <w:szCs w:val="24"/>
        </w:rPr>
        <w:t>Direktorė                                                                                                            Renata Kopūstienė</w:t>
      </w:r>
    </w:p>
    <w:p w14:paraId="2C7B63B4" w14:textId="77777777" w:rsidR="00D640E5" w:rsidRDefault="00000000">
      <w:pPr>
        <w:rPr>
          <w:rFonts w:ascii="Times New Roman" w:hAnsi="Times New Roman"/>
          <w:sz w:val="24"/>
          <w:szCs w:val="24"/>
        </w:rPr>
      </w:pPr>
      <w:r>
        <w:rPr>
          <w:rFonts w:ascii="Times New Roman" w:hAnsi="Times New Roman"/>
          <w:sz w:val="24"/>
          <w:szCs w:val="24"/>
        </w:rPr>
        <w:t>Vyr. buhalterė                                                                                                    Asta Nemeikšienė</w:t>
      </w:r>
    </w:p>
    <w:sectPr w:rsidR="00D640E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4C7E"/>
    <w:multiLevelType w:val="multilevel"/>
    <w:tmpl w:val="0CB64C7E"/>
    <w:lvl w:ilvl="0">
      <w:start w:val="1"/>
      <w:numFmt w:val="decimal"/>
      <w:lvlText w:val="%1."/>
      <w:lvlJc w:val="left"/>
      <w:pPr>
        <w:ind w:left="720" w:hanging="360"/>
      </w:pPr>
      <w:rPr>
        <w:rFonts w:hint="default"/>
      </w:rPr>
    </w:lvl>
    <w:lvl w:ilvl="1">
      <w:start w:val="1"/>
      <w:numFmt w:val="decimal"/>
      <w:isLgl/>
      <w:lvlText w:val="%1.%2."/>
      <w:lvlJc w:val="left"/>
      <w:pPr>
        <w:ind w:left="3840" w:hanging="360"/>
      </w:pPr>
      <w:rPr>
        <w:rFonts w:hint="default"/>
      </w:rPr>
    </w:lvl>
    <w:lvl w:ilvl="2">
      <w:start w:val="1"/>
      <w:numFmt w:val="decimal"/>
      <w:isLgl/>
      <w:lvlText w:val="%1.%2.%3."/>
      <w:lvlJc w:val="left"/>
      <w:pPr>
        <w:ind w:left="7320" w:hanging="720"/>
      </w:pPr>
      <w:rPr>
        <w:rFonts w:hint="default"/>
      </w:rPr>
    </w:lvl>
    <w:lvl w:ilvl="3">
      <w:start w:val="1"/>
      <w:numFmt w:val="decimal"/>
      <w:isLgl/>
      <w:lvlText w:val="%1.%2.%3.%4."/>
      <w:lvlJc w:val="left"/>
      <w:pPr>
        <w:ind w:left="10440" w:hanging="720"/>
      </w:pPr>
      <w:rPr>
        <w:rFonts w:hint="default"/>
      </w:rPr>
    </w:lvl>
    <w:lvl w:ilvl="4">
      <w:start w:val="1"/>
      <w:numFmt w:val="decimal"/>
      <w:isLgl/>
      <w:lvlText w:val="%1.%2.%3.%4.%5."/>
      <w:lvlJc w:val="left"/>
      <w:pPr>
        <w:ind w:left="13920" w:hanging="1080"/>
      </w:pPr>
      <w:rPr>
        <w:rFonts w:hint="default"/>
      </w:rPr>
    </w:lvl>
    <w:lvl w:ilvl="5">
      <w:start w:val="1"/>
      <w:numFmt w:val="decimal"/>
      <w:isLgl/>
      <w:lvlText w:val="%1.%2.%3.%4.%5.%6."/>
      <w:lvlJc w:val="left"/>
      <w:pPr>
        <w:ind w:left="17040" w:hanging="1080"/>
      </w:pPr>
      <w:rPr>
        <w:rFonts w:hint="default"/>
      </w:rPr>
    </w:lvl>
    <w:lvl w:ilvl="6">
      <w:start w:val="1"/>
      <w:numFmt w:val="decimal"/>
      <w:isLgl/>
      <w:lvlText w:val="%1.%2.%3.%4.%5.%6.%7."/>
      <w:lvlJc w:val="left"/>
      <w:pPr>
        <w:ind w:left="20520" w:hanging="1440"/>
      </w:pPr>
      <w:rPr>
        <w:rFonts w:hint="default"/>
      </w:rPr>
    </w:lvl>
    <w:lvl w:ilvl="7">
      <w:start w:val="1"/>
      <w:numFmt w:val="decimal"/>
      <w:isLgl/>
      <w:lvlText w:val="%1.%2.%3.%4.%5.%6.%7.%8."/>
      <w:lvlJc w:val="left"/>
      <w:pPr>
        <w:ind w:left="23640" w:hanging="1440"/>
      </w:pPr>
      <w:rPr>
        <w:rFonts w:hint="default"/>
      </w:rPr>
    </w:lvl>
    <w:lvl w:ilvl="8">
      <w:start w:val="1"/>
      <w:numFmt w:val="decimal"/>
      <w:isLgl/>
      <w:lvlText w:val="%1.%2.%3.%4.%5.%6.%7.%8.%9."/>
      <w:lvlJc w:val="left"/>
      <w:pPr>
        <w:ind w:left="27120" w:hanging="1800"/>
      </w:pPr>
      <w:rPr>
        <w:rFonts w:hint="default"/>
      </w:rPr>
    </w:lvl>
  </w:abstractNum>
  <w:abstractNum w:abstractNumId="1" w15:restartNumberingAfterBreak="0">
    <w:nsid w:val="0F1E176A"/>
    <w:multiLevelType w:val="multilevel"/>
    <w:tmpl w:val="0F1E176A"/>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15:restartNumberingAfterBreak="0">
    <w:nsid w:val="216568DE"/>
    <w:multiLevelType w:val="multilevel"/>
    <w:tmpl w:val="216568DE"/>
    <w:lvl w:ilvl="0">
      <w:start w:val="3"/>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BD394A"/>
    <w:multiLevelType w:val="multilevel"/>
    <w:tmpl w:val="62BD394A"/>
    <w:lvl w:ilvl="0">
      <w:start w:val="1"/>
      <w:numFmt w:val="decimal"/>
      <w:lvlText w:val="%1."/>
      <w:lvlJc w:val="left"/>
      <w:pPr>
        <w:ind w:left="14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21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28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36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43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50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57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64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72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4" w15:restartNumberingAfterBreak="0">
    <w:nsid w:val="713852A7"/>
    <w:multiLevelType w:val="multilevel"/>
    <w:tmpl w:val="713852A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0435636">
    <w:abstractNumId w:val="0"/>
  </w:num>
  <w:num w:numId="2" w16cid:durableId="1260330298">
    <w:abstractNumId w:val="1"/>
  </w:num>
  <w:num w:numId="3" w16cid:durableId="2017881651">
    <w:abstractNumId w:val="3"/>
  </w:num>
  <w:num w:numId="4" w16cid:durableId="1850753357">
    <w:abstractNumId w:val="2"/>
  </w:num>
  <w:num w:numId="5" w16cid:durableId="2043437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17"/>
    <w:rsid w:val="000103B1"/>
    <w:rsid w:val="00017140"/>
    <w:rsid w:val="00025538"/>
    <w:rsid w:val="0002573E"/>
    <w:rsid w:val="00027020"/>
    <w:rsid w:val="00027C10"/>
    <w:rsid w:val="00027C51"/>
    <w:rsid w:val="000347DB"/>
    <w:rsid w:val="00036D1C"/>
    <w:rsid w:val="00040FEF"/>
    <w:rsid w:val="000465DE"/>
    <w:rsid w:val="000473D0"/>
    <w:rsid w:val="00050253"/>
    <w:rsid w:val="00062245"/>
    <w:rsid w:val="000625F8"/>
    <w:rsid w:val="0006266A"/>
    <w:rsid w:val="00062AA4"/>
    <w:rsid w:val="00062D55"/>
    <w:rsid w:val="00063535"/>
    <w:rsid w:val="00063BF9"/>
    <w:rsid w:val="000649AF"/>
    <w:rsid w:val="00070792"/>
    <w:rsid w:val="0007330D"/>
    <w:rsid w:val="00080CB5"/>
    <w:rsid w:val="00084AF8"/>
    <w:rsid w:val="00086DA1"/>
    <w:rsid w:val="00090FE2"/>
    <w:rsid w:val="00092C63"/>
    <w:rsid w:val="000A5D06"/>
    <w:rsid w:val="000A7732"/>
    <w:rsid w:val="000C7F00"/>
    <w:rsid w:val="000D21CB"/>
    <w:rsid w:val="000D2677"/>
    <w:rsid w:val="000D27CC"/>
    <w:rsid w:val="000D35BA"/>
    <w:rsid w:val="000D361C"/>
    <w:rsid w:val="000E34CC"/>
    <w:rsid w:val="000F28C6"/>
    <w:rsid w:val="000F7887"/>
    <w:rsid w:val="001038CF"/>
    <w:rsid w:val="001067C4"/>
    <w:rsid w:val="0011273C"/>
    <w:rsid w:val="00114728"/>
    <w:rsid w:val="00115900"/>
    <w:rsid w:val="00141137"/>
    <w:rsid w:val="00171799"/>
    <w:rsid w:val="00182196"/>
    <w:rsid w:val="0018547D"/>
    <w:rsid w:val="0019298D"/>
    <w:rsid w:val="001952F8"/>
    <w:rsid w:val="001A1451"/>
    <w:rsid w:val="001A1605"/>
    <w:rsid w:val="001A4A78"/>
    <w:rsid w:val="001B1852"/>
    <w:rsid w:val="001B2C40"/>
    <w:rsid w:val="001B46B2"/>
    <w:rsid w:val="001B6F15"/>
    <w:rsid w:val="001D120A"/>
    <w:rsid w:val="001D4731"/>
    <w:rsid w:val="001E3E55"/>
    <w:rsid w:val="001E71CD"/>
    <w:rsid w:val="001F1CB6"/>
    <w:rsid w:val="001F2900"/>
    <w:rsid w:val="001F73A4"/>
    <w:rsid w:val="002043A1"/>
    <w:rsid w:val="00204787"/>
    <w:rsid w:val="00205A62"/>
    <w:rsid w:val="00206E3D"/>
    <w:rsid w:val="00211856"/>
    <w:rsid w:val="002144DC"/>
    <w:rsid w:val="002150B5"/>
    <w:rsid w:val="00217503"/>
    <w:rsid w:val="0022159D"/>
    <w:rsid w:val="002229B0"/>
    <w:rsid w:val="00224C6C"/>
    <w:rsid w:val="00236ADB"/>
    <w:rsid w:val="00241D60"/>
    <w:rsid w:val="00247ECB"/>
    <w:rsid w:val="0025035A"/>
    <w:rsid w:val="002558CB"/>
    <w:rsid w:val="00264344"/>
    <w:rsid w:val="00264DF1"/>
    <w:rsid w:val="00270D5E"/>
    <w:rsid w:val="002743E8"/>
    <w:rsid w:val="0027693E"/>
    <w:rsid w:val="00281788"/>
    <w:rsid w:val="00282045"/>
    <w:rsid w:val="002A57F1"/>
    <w:rsid w:val="002B3C71"/>
    <w:rsid w:val="002D257B"/>
    <w:rsid w:val="002D4B08"/>
    <w:rsid w:val="002D5B40"/>
    <w:rsid w:val="002E2CD8"/>
    <w:rsid w:val="002E507D"/>
    <w:rsid w:val="002E6B47"/>
    <w:rsid w:val="002F2BF2"/>
    <w:rsid w:val="002F7949"/>
    <w:rsid w:val="0030473E"/>
    <w:rsid w:val="00306F78"/>
    <w:rsid w:val="003125E5"/>
    <w:rsid w:val="00314100"/>
    <w:rsid w:val="00330079"/>
    <w:rsid w:val="00332D9B"/>
    <w:rsid w:val="00333134"/>
    <w:rsid w:val="00340334"/>
    <w:rsid w:val="00343D7B"/>
    <w:rsid w:val="00361647"/>
    <w:rsid w:val="00363798"/>
    <w:rsid w:val="00366410"/>
    <w:rsid w:val="003756CB"/>
    <w:rsid w:val="00375755"/>
    <w:rsid w:val="00376FAD"/>
    <w:rsid w:val="00377047"/>
    <w:rsid w:val="00380761"/>
    <w:rsid w:val="0038464E"/>
    <w:rsid w:val="00394B87"/>
    <w:rsid w:val="003A1A50"/>
    <w:rsid w:val="003A453B"/>
    <w:rsid w:val="003A4AA9"/>
    <w:rsid w:val="003B1AF7"/>
    <w:rsid w:val="003B3D9D"/>
    <w:rsid w:val="003B65FB"/>
    <w:rsid w:val="003C043A"/>
    <w:rsid w:val="003C470C"/>
    <w:rsid w:val="003C5A07"/>
    <w:rsid w:val="003D3CE8"/>
    <w:rsid w:val="003F048A"/>
    <w:rsid w:val="003F18FF"/>
    <w:rsid w:val="003F25C1"/>
    <w:rsid w:val="003F42CB"/>
    <w:rsid w:val="003F515C"/>
    <w:rsid w:val="004035DA"/>
    <w:rsid w:val="00406C36"/>
    <w:rsid w:val="00412393"/>
    <w:rsid w:val="004126FB"/>
    <w:rsid w:val="00424AB3"/>
    <w:rsid w:val="0043641D"/>
    <w:rsid w:val="0043755A"/>
    <w:rsid w:val="00441B3B"/>
    <w:rsid w:val="00460866"/>
    <w:rsid w:val="004645C4"/>
    <w:rsid w:val="00471406"/>
    <w:rsid w:val="004758E6"/>
    <w:rsid w:val="00477A40"/>
    <w:rsid w:val="00494FBE"/>
    <w:rsid w:val="004A218B"/>
    <w:rsid w:val="004A5271"/>
    <w:rsid w:val="004A5273"/>
    <w:rsid w:val="004B116E"/>
    <w:rsid w:val="004B306F"/>
    <w:rsid w:val="004B582E"/>
    <w:rsid w:val="004B6080"/>
    <w:rsid w:val="004B721E"/>
    <w:rsid w:val="004C017C"/>
    <w:rsid w:val="004C25FE"/>
    <w:rsid w:val="004C2A70"/>
    <w:rsid w:val="004D1A56"/>
    <w:rsid w:val="004E0CCA"/>
    <w:rsid w:val="004E4167"/>
    <w:rsid w:val="004E65E4"/>
    <w:rsid w:val="00502C6E"/>
    <w:rsid w:val="005030EA"/>
    <w:rsid w:val="0051735D"/>
    <w:rsid w:val="00520163"/>
    <w:rsid w:val="00525BEB"/>
    <w:rsid w:val="00526356"/>
    <w:rsid w:val="00532F88"/>
    <w:rsid w:val="00535283"/>
    <w:rsid w:val="00537F5C"/>
    <w:rsid w:val="005420B4"/>
    <w:rsid w:val="00542F74"/>
    <w:rsid w:val="00551E87"/>
    <w:rsid w:val="00553552"/>
    <w:rsid w:val="00554005"/>
    <w:rsid w:val="0056034E"/>
    <w:rsid w:val="005820C2"/>
    <w:rsid w:val="00586E63"/>
    <w:rsid w:val="00587836"/>
    <w:rsid w:val="005A3339"/>
    <w:rsid w:val="005A5430"/>
    <w:rsid w:val="005A66C8"/>
    <w:rsid w:val="005B023C"/>
    <w:rsid w:val="005B3B1D"/>
    <w:rsid w:val="005B71F4"/>
    <w:rsid w:val="005C4F9E"/>
    <w:rsid w:val="005C5320"/>
    <w:rsid w:val="005D2B35"/>
    <w:rsid w:val="005F0FBF"/>
    <w:rsid w:val="005F60E3"/>
    <w:rsid w:val="005F674F"/>
    <w:rsid w:val="0060203A"/>
    <w:rsid w:val="00603219"/>
    <w:rsid w:val="0060368D"/>
    <w:rsid w:val="006051F4"/>
    <w:rsid w:val="00632546"/>
    <w:rsid w:val="006343CF"/>
    <w:rsid w:val="00640340"/>
    <w:rsid w:val="006405E1"/>
    <w:rsid w:val="00642D0E"/>
    <w:rsid w:val="00653805"/>
    <w:rsid w:val="00657431"/>
    <w:rsid w:val="00660239"/>
    <w:rsid w:val="0066587F"/>
    <w:rsid w:val="00666344"/>
    <w:rsid w:val="00672E01"/>
    <w:rsid w:val="0069478E"/>
    <w:rsid w:val="006B24D2"/>
    <w:rsid w:val="006B4A42"/>
    <w:rsid w:val="006D6917"/>
    <w:rsid w:val="006E0597"/>
    <w:rsid w:val="006E4434"/>
    <w:rsid w:val="006F3BE8"/>
    <w:rsid w:val="006F4DFE"/>
    <w:rsid w:val="00701F10"/>
    <w:rsid w:val="00710AC6"/>
    <w:rsid w:val="00714A9A"/>
    <w:rsid w:val="007232FC"/>
    <w:rsid w:val="00733635"/>
    <w:rsid w:val="00735531"/>
    <w:rsid w:val="00736B9A"/>
    <w:rsid w:val="00741AAB"/>
    <w:rsid w:val="007472F8"/>
    <w:rsid w:val="00750CAA"/>
    <w:rsid w:val="00751B77"/>
    <w:rsid w:val="00752EF6"/>
    <w:rsid w:val="00754989"/>
    <w:rsid w:val="00757DB2"/>
    <w:rsid w:val="00764D47"/>
    <w:rsid w:val="007739CA"/>
    <w:rsid w:val="007749EB"/>
    <w:rsid w:val="00775623"/>
    <w:rsid w:val="00783080"/>
    <w:rsid w:val="00784ED8"/>
    <w:rsid w:val="007906F6"/>
    <w:rsid w:val="00791E98"/>
    <w:rsid w:val="007933E2"/>
    <w:rsid w:val="0079417B"/>
    <w:rsid w:val="007A18B0"/>
    <w:rsid w:val="007A500D"/>
    <w:rsid w:val="007A5786"/>
    <w:rsid w:val="007B110B"/>
    <w:rsid w:val="007B6ED8"/>
    <w:rsid w:val="007C636B"/>
    <w:rsid w:val="007D66A4"/>
    <w:rsid w:val="007D7303"/>
    <w:rsid w:val="007D744C"/>
    <w:rsid w:val="007E6351"/>
    <w:rsid w:val="007F4BF4"/>
    <w:rsid w:val="007F658D"/>
    <w:rsid w:val="007F65C3"/>
    <w:rsid w:val="00803E4E"/>
    <w:rsid w:val="00807689"/>
    <w:rsid w:val="00813514"/>
    <w:rsid w:val="00814861"/>
    <w:rsid w:val="00815CAD"/>
    <w:rsid w:val="00823CC3"/>
    <w:rsid w:val="00826564"/>
    <w:rsid w:val="00835474"/>
    <w:rsid w:val="00836B5C"/>
    <w:rsid w:val="00836D52"/>
    <w:rsid w:val="008438A7"/>
    <w:rsid w:val="0084545F"/>
    <w:rsid w:val="00853AFF"/>
    <w:rsid w:val="00855C6C"/>
    <w:rsid w:val="008561D1"/>
    <w:rsid w:val="00856AC5"/>
    <w:rsid w:val="008628A7"/>
    <w:rsid w:val="00866067"/>
    <w:rsid w:val="00867AAD"/>
    <w:rsid w:val="00870C2E"/>
    <w:rsid w:val="00876881"/>
    <w:rsid w:val="008841A1"/>
    <w:rsid w:val="008910FC"/>
    <w:rsid w:val="00892900"/>
    <w:rsid w:val="00895B49"/>
    <w:rsid w:val="008B6A66"/>
    <w:rsid w:val="008C4780"/>
    <w:rsid w:val="008D54BE"/>
    <w:rsid w:val="008E0003"/>
    <w:rsid w:val="008E1EED"/>
    <w:rsid w:val="008E6F31"/>
    <w:rsid w:val="008E746B"/>
    <w:rsid w:val="008F42F8"/>
    <w:rsid w:val="00901E13"/>
    <w:rsid w:val="0090297B"/>
    <w:rsid w:val="00906889"/>
    <w:rsid w:val="00907209"/>
    <w:rsid w:val="00910842"/>
    <w:rsid w:val="00910ED5"/>
    <w:rsid w:val="00912B4E"/>
    <w:rsid w:val="0091450F"/>
    <w:rsid w:val="00915565"/>
    <w:rsid w:val="009171D1"/>
    <w:rsid w:val="00922D22"/>
    <w:rsid w:val="009253EF"/>
    <w:rsid w:val="00925AF3"/>
    <w:rsid w:val="00931816"/>
    <w:rsid w:val="00931874"/>
    <w:rsid w:val="00932F7A"/>
    <w:rsid w:val="00936CD3"/>
    <w:rsid w:val="00937DA5"/>
    <w:rsid w:val="00941414"/>
    <w:rsid w:val="00952CD5"/>
    <w:rsid w:val="00960E95"/>
    <w:rsid w:val="00964FB8"/>
    <w:rsid w:val="00971008"/>
    <w:rsid w:val="00972FF8"/>
    <w:rsid w:val="009768CA"/>
    <w:rsid w:val="00980483"/>
    <w:rsid w:val="0098170B"/>
    <w:rsid w:val="009852AA"/>
    <w:rsid w:val="00990E76"/>
    <w:rsid w:val="00994467"/>
    <w:rsid w:val="00995AA2"/>
    <w:rsid w:val="009962D8"/>
    <w:rsid w:val="00997018"/>
    <w:rsid w:val="009A70E5"/>
    <w:rsid w:val="009C20FD"/>
    <w:rsid w:val="009C589E"/>
    <w:rsid w:val="009C5EAA"/>
    <w:rsid w:val="009D159D"/>
    <w:rsid w:val="009D424F"/>
    <w:rsid w:val="009D4A7E"/>
    <w:rsid w:val="009E0D87"/>
    <w:rsid w:val="009E7B80"/>
    <w:rsid w:val="009E7EEC"/>
    <w:rsid w:val="009F135E"/>
    <w:rsid w:val="009F2E5D"/>
    <w:rsid w:val="00A16E62"/>
    <w:rsid w:val="00A17520"/>
    <w:rsid w:val="00A27802"/>
    <w:rsid w:val="00A30E46"/>
    <w:rsid w:val="00A30F5E"/>
    <w:rsid w:val="00A3629D"/>
    <w:rsid w:val="00A414C3"/>
    <w:rsid w:val="00A42F2A"/>
    <w:rsid w:val="00A44039"/>
    <w:rsid w:val="00A46BED"/>
    <w:rsid w:val="00A54FA6"/>
    <w:rsid w:val="00A559BA"/>
    <w:rsid w:val="00A62B8C"/>
    <w:rsid w:val="00A65A62"/>
    <w:rsid w:val="00A67591"/>
    <w:rsid w:val="00A70210"/>
    <w:rsid w:val="00A70B96"/>
    <w:rsid w:val="00A74FA2"/>
    <w:rsid w:val="00A75FAE"/>
    <w:rsid w:val="00A83DF6"/>
    <w:rsid w:val="00A93442"/>
    <w:rsid w:val="00AA4014"/>
    <w:rsid w:val="00AA6CB0"/>
    <w:rsid w:val="00AB0492"/>
    <w:rsid w:val="00AB41D3"/>
    <w:rsid w:val="00AB475C"/>
    <w:rsid w:val="00AB5F0B"/>
    <w:rsid w:val="00AC220F"/>
    <w:rsid w:val="00AD1EE1"/>
    <w:rsid w:val="00AD303B"/>
    <w:rsid w:val="00AE4A6E"/>
    <w:rsid w:val="00AE7919"/>
    <w:rsid w:val="00B21EDA"/>
    <w:rsid w:val="00B304F6"/>
    <w:rsid w:val="00B4403C"/>
    <w:rsid w:val="00B60C81"/>
    <w:rsid w:val="00B62582"/>
    <w:rsid w:val="00B67602"/>
    <w:rsid w:val="00B7227E"/>
    <w:rsid w:val="00B82CE9"/>
    <w:rsid w:val="00B878E5"/>
    <w:rsid w:val="00B8799B"/>
    <w:rsid w:val="00B91619"/>
    <w:rsid w:val="00B935E1"/>
    <w:rsid w:val="00BA0F47"/>
    <w:rsid w:val="00BB1F97"/>
    <w:rsid w:val="00BC6830"/>
    <w:rsid w:val="00BD00AF"/>
    <w:rsid w:val="00BD6331"/>
    <w:rsid w:val="00BD7894"/>
    <w:rsid w:val="00BE14D7"/>
    <w:rsid w:val="00BE17E5"/>
    <w:rsid w:val="00BE650C"/>
    <w:rsid w:val="00BF1577"/>
    <w:rsid w:val="00BF2B77"/>
    <w:rsid w:val="00C063A4"/>
    <w:rsid w:val="00C21FE9"/>
    <w:rsid w:val="00C252B2"/>
    <w:rsid w:val="00C32B60"/>
    <w:rsid w:val="00C42253"/>
    <w:rsid w:val="00C47F80"/>
    <w:rsid w:val="00C56782"/>
    <w:rsid w:val="00C83F79"/>
    <w:rsid w:val="00C87045"/>
    <w:rsid w:val="00C9099E"/>
    <w:rsid w:val="00C93671"/>
    <w:rsid w:val="00C9526D"/>
    <w:rsid w:val="00C9533D"/>
    <w:rsid w:val="00C97149"/>
    <w:rsid w:val="00CA0334"/>
    <w:rsid w:val="00CC358E"/>
    <w:rsid w:val="00CC459C"/>
    <w:rsid w:val="00CD12AA"/>
    <w:rsid w:val="00CD1DEA"/>
    <w:rsid w:val="00CD6DF0"/>
    <w:rsid w:val="00CE2EE5"/>
    <w:rsid w:val="00CE468C"/>
    <w:rsid w:val="00CF4148"/>
    <w:rsid w:val="00CF49C2"/>
    <w:rsid w:val="00D04907"/>
    <w:rsid w:val="00D069DD"/>
    <w:rsid w:val="00D12040"/>
    <w:rsid w:val="00D150FD"/>
    <w:rsid w:val="00D15B27"/>
    <w:rsid w:val="00D25590"/>
    <w:rsid w:val="00D3117B"/>
    <w:rsid w:val="00D3255E"/>
    <w:rsid w:val="00D507EA"/>
    <w:rsid w:val="00D5256D"/>
    <w:rsid w:val="00D52C08"/>
    <w:rsid w:val="00D55085"/>
    <w:rsid w:val="00D62BE3"/>
    <w:rsid w:val="00D640E5"/>
    <w:rsid w:val="00D64A1C"/>
    <w:rsid w:val="00D726E3"/>
    <w:rsid w:val="00D73E10"/>
    <w:rsid w:val="00D76A17"/>
    <w:rsid w:val="00D83C82"/>
    <w:rsid w:val="00D93780"/>
    <w:rsid w:val="00DA04F2"/>
    <w:rsid w:val="00DA6589"/>
    <w:rsid w:val="00DB66F2"/>
    <w:rsid w:val="00DB67EF"/>
    <w:rsid w:val="00DC2D41"/>
    <w:rsid w:val="00DC34CA"/>
    <w:rsid w:val="00DD098A"/>
    <w:rsid w:val="00DD29AB"/>
    <w:rsid w:val="00DE2FC8"/>
    <w:rsid w:val="00DE5D48"/>
    <w:rsid w:val="00DF271B"/>
    <w:rsid w:val="00E00902"/>
    <w:rsid w:val="00E128F3"/>
    <w:rsid w:val="00E135E0"/>
    <w:rsid w:val="00E22105"/>
    <w:rsid w:val="00E23F60"/>
    <w:rsid w:val="00E25666"/>
    <w:rsid w:val="00E27F95"/>
    <w:rsid w:val="00E30C22"/>
    <w:rsid w:val="00E30D86"/>
    <w:rsid w:val="00E35EDD"/>
    <w:rsid w:val="00E40B01"/>
    <w:rsid w:val="00E43669"/>
    <w:rsid w:val="00E47812"/>
    <w:rsid w:val="00E52060"/>
    <w:rsid w:val="00E558BF"/>
    <w:rsid w:val="00E57571"/>
    <w:rsid w:val="00E74EFB"/>
    <w:rsid w:val="00E7575F"/>
    <w:rsid w:val="00E763F8"/>
    <w:rsid w:val="00E7768F"/>
    <w:rsid w:val="00E7787E"/>
    <w:rsid w:val="00E77AEF"/>
    <w:rsid w:val="00E82E06"/>
    <w:rsid w:val="00E8588F"/>
    <w:rsid w:val="00EA0DE6"/>
    <w:rsid w:val="00EB7B41"/>
    <w:rsid w:val="00ED2679"/>
    <w:rsid w:val="00ED37D3"/>
    <w:rsid w:val="00ED7F77"/>
    <w:rsid w:val="00EE1148"/>
    <w:rsid w:val="00EE23C8"/>
    <w:rsid w:val="00EE5A89"/>
    <w:rsid w:val="00EF2063"/>
    <w:rsid w:val="00EF3778"/>
    <w:rsid w:val="00F005B6"/>
    <w:rsid w:val="00F019D6"/>
    <w:rsid w:val="00F049D2"/>
    <w:rsid w:val="00F120B4"/>
    <w:rsid w:val="00F14DE9"/>
    <w:rsid w:val="00F150A2"/>
    <w:rsid w:val="00F173CF"/>
    <w:rsid w:val="00F27790"/>
    <w:rsid w:val="00F4049B"/>
    <w:rsid w:val="00F421A9"/>
    <w:rsid w:val="00F4418A"/>
    <w:rsid w:val="00F47079"/>
    <w:rsid w:val="00F50E84"/>
    <w:rsid w:val="00F5228A"/>
    <w:rsid w:val="00F52910"/>
    <w:rsid w:val="00F60C30"/>
    <w:rsid w:val="00F62D22"/>
    <w:rsid w:val="00F665BD"/>
    <w:rsid w:val="00F8074B"/>
    <w:rsid w:val="00F8106F"/>
    <w:rsid w:val="00F823F5"/>
    <w:rsid w:val="00F84914"/>
    <w:rsid w:val="00F84B37"/>
    <w:rsid w:val="00F85FCA"/>
    <w:rsid w:val="00F8625D"/>
    <w:rsid w:val="00F95DFB"/>
    <w:rsid w:val="00FA00D3"/>
    <w:rsid w:val="00FA133E"/>
    <w:rsid w:val="00FA384E"/>
    <w:rsid w:val="00FA3E15"/>
    <w:rsid w:val="00FC0452"/>
    <w:rsid w:val="00FC7575"/>
    <w:rsid w:val="00FD1F12"/>
    <w:rsid w:val="00FD3416"/>
    <w:rsid w:val="00FD42B6"/>
    <w:rsid w:val="00FD500E"/>
    <w:rsid w:val="00FE5E9E"/>
    <w:rsid w:val="00FF595C"/>
    <w:rsid w:val="00FF6EEF"/>
    <w:rsid w:val="00FF778E"/>
    <w:rsid w:val="03E4190C"/>
    <w:rsid w:val="06123A4B"/>
    <w:rsid w:val="08F97D45"/>
    <w:rsid w:val="0A6C7C27"/>
    <w:rsid w:val="0CB067BE"/>
    <w:rsid w:val="0D1D5410"/>
    <w:rsid w:val="118B3557"/>
    <w:rsid w:val="138E1A23"/>
    <w:rsid w:val="18214D25"/>
    <w:rsid w:val="21A76846"/>
    <w:rsid w:val="279D398E"/>
    <w:rsid w:val="29AB18CB"/>
    <w:rsid w:val="2A446AD0"/>
    <w:rsid w:val="32AC4A03"/>
    <w:rsid w:val="34052FE8"/>
    <w:rsid w:val="34711037"/>
    <w:rsid w:val="35673B29"/>
    <w:rsid w:val="364004EA"/>
    <w:rsid w:val="36F62B70"/>
    <w:rsid w:val="4E011D8D"/>
    <w:rsid w:val="50614397"/>
    <w:rsid w:val="512458C9"/>
    <w:rsid w:val="51C10671"/>
    <w:rsid w:val="51CF2F63"/>
    <w:rsid w:val="55EE4355"/>
    <w:rsid w:val="56284268"/>
    <w:rsid w:val="58EF7F5D"/>
    <w:rsid w:val="5ADA201D"/>
    <w:rsid w:val="5D5922A0"/>
    <w:rsid w:val="5DCF53BC"/>
    <w:rsid w:val="5F1D429B"/>
    <w:rsid w:val="63556600"/>
    <w:rsid w:val="63FC2C37"/>
    <w:rsid w:val="66143CF2"/>
    <w:rsid w:val="69FE4D74"/>
    <w:rsid w:val="6A2B6B3C"/>
    <w:rsid w:val="6F9E1041"/>
    <w:rsid w:val="71C346B5"/>
    <w:rsid w:val="74456864"/>
    <w:rsid w:val="765D62CC"/>
    <w:rsid w:val="7796495D"/>
    <w:rsid w:val="79EB4F94"/>
    <w:rsid w:val="7BAE3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4EC1"/>
  <w15:chartTrackingRefBased/>
  <w15:docId w15:val="{1346E998-3575-416B-A1DB-38785F37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unhideWhenUsed/>
    <w:qFormat/>
    <w:tblPr>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Pr>
      <w:rFonts w:ascii="Tahoma" w:hAnsi="Tahoma" w:cs="Tahoma"/>
      <w:sz w:val="16"/>
      <w:szCs w:val="16"/>
      <w:lang w:eastAsia="en-US"/>
    </w:rPr>
  </w:style>
  <w:style w:type="paragraph" w:styleId="Porat">
    <w:name w:val="footer"/>
    <w:basedOn w:val="prastasis"/>
    <w:link w:val="PoratDiagrama"/>
    <w:uiPriority w:val="99"/>
    <w:unhideWhenUsed/>
    <w:pPr>
      <w:tabs>
        <w:tab w:val="center" w:pos="4513"/>
        <w:tab w:val="right" w:pos="9026"/>
      </w:tabs>
    </w:pPr>
  </w:style>
  <w:style w:type="character" w:customStyle="1" w:styleId="PoratDiagrama">
    <w:name w:val="Poraštė Diagrama"/>
    <w:link w:val="Porat"/>
    <w:uiPriority w:val="99"/>
    <w:rPr>
      <w:sz w:val="22"/>
      <w:szCs w:val="22"/>
      <w:lang w:eastAsia="en-US"/>
    </w:rPr>
  </w:style>
  <w:style w:type="paragraph" w:styleId="Antrats">
    <w:name w:val="header"/>
    <w:basedOn w:val="prastasis"/>
    <w:link w:val="AntratsDiagrama"/>
    <w:uiPriority w:val="99"/>
    <w:unhideWhenUsed/>
    <w:pPr>
      <w:tabs>
        <w:tab w:val="center" w:pos="4513"/>
        <w:tab w:val="right" w:pos="9026"/>
      </w:tabs>
    </w:pPr>
  </w:style>
  <w:style w:type="character" w:customStyle="1" w:styleId="AntratsDiagrama">
    <w:name w:val="Antraštės Diagrama"/>
    <w:link w:val="Antrats"/>
    <w:uiPriority w:val="99"/>
    <w:rPr>
      <w:sz w:val="22"/>
      <w:szCs w:val="22"/>
      <w:lang w:eastAsia="en-US"/>
    </w:r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prastasis"/>
    <w:uiPriority w:val="34"/>
    <w:qFormat/>
    <w:pPr>
      <w:ind w:left="720"/>
      <w:contextualSpacing/>
    </w:pPr>
  </w:style>
  <w:style w:type="paragraph" w:styleId="Sraopastraipa">
    <w:name w:val="List Paragraph"/>
    <w:basedOn w:val="prastasis"/>
    <w:uiPriority w:val="34"/>
    <w:qFormat/>
    <w:pPr>
      <w:ind w:left="720"/>
      <w:contextualSpacing/>
    </w:pPr>
  </w:style>
  <w:style w:type="paragraph" w:customStyle="1" w:styleId="Style27">
    <w:name w:val="Style27"/>
    <w:basedOn w:val="prastasis"/>
    <w:uiPriority w:val="99"/>
    <w:pPr>
      <w:widowControl w:val="0"/>
      <w:autoSpaceDE w:val="0"/>
      <w:autoSpaceDN w:val="0"/>
      <w:adjustRightInd w:val="0"/>
      <w:spacing w:after="0" w:line="432" w:lineRule="exact"/>
      <w:jc w:val="both"/>
    </w:pPr>
    <w:rPr>
      <w:rFonts w:ascii="Times New Roman" w:eastAsia="Times New Roman" w:hAnsi="Times New Roman"/>
      <w:sz w:val="24"/>
      <w:szCs w:val="24"/>
      <w:lang w:eastAsia="lt-LT"/>
    </w:rPr>
  </w:style>
  <w:style w:type="character" w:customStyle="1" w:styleId="FontStyle107">
    <w:name w:val="Font Style107"/>
    <w:uiPriority w:val="99"/>
    <w:rPr>
      <w:rFonts w:ascii="Times New Roman" w:hAnsi="Times New Roman" w:cs="Times New Roman"/>
      <w:sz w:val="34"/>
      <w:szCs w:val="34"/>
    </w:rPr>
  </w:style>
  <w:style w:type="paragraph" w:customStyle="1" w:styleId="Sraas1">
    <w:name w:val="Sąrašas 1"/>
    <w:basedOn w:val="prastasis"/>
    <w:pPr>
      <w:spacing w:after="0"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13335</Words>
  <Characters>7601</Characters>
  <Application>Microsoft Office Word</Application>
  <DocSecurity>0</DocSecurity>
  <Lines>63</Lines>
  <Paragraphs>41</Paragraphs>
  <ScaleCrop>false</ScaleCrop>
  <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User</cp:lastModifiedBy>
  <cp:revision>2</cp:revision>
  <cp:lastPrinted>2023-03-17T12:19:00Z</cp:lastPrinted>
  <dcterms:created xsi:type="dcterms:W3CDTF">2026-03-02T12:18:00Z</dcterms:created>
  <dcterms:modified xsi:type="dcterms:W3CDTF">2026-03-02T12:18:00Z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6BD93D9FD512436BAB4DA821FF5C6BB8_12</vt:lpwstr>
  </property>
</Properties>
</file>