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28" w:rsidRDefault="00C66624">
      <w:pPr>
        <w:tabs>
          <w:tab w:val="left" w:pos="9540"/>
        </w:tabs>
        <w:ind w:left="5387"/>
        <w:rPr>
          <w:szCs w:val="22"/>
          <w:lang w:eastAsia="lt-LT"/>
        </w:rPr>
      </w:pPr>
      <w:bookmarkStart w:id="0" w:name="_GoBack"/>
      <w:bookmarkEnd w:id="0"/>
      <w:r>
        <w:rPr>
          <w:szCs w:val="22"/>
          <w:lang w:eastAsia="lt-LT"/>
        </w:rPr>
        <w:t>Biudžeto vykdymo ataskaitų rinkinių rengimo taisyklių</w:t>
      </w:r>
    </w:p>
    <w:p w:rsidR="008F2928" w:rsidRDefault="00C66624">
      <w:pPr>
        <w:tabs>
          <w:tab w:val="left" w:pos="9540"/>
        </w:tabs>
        <w:ind w:left="5387"/>
        <w:rPr>
          <w:szCs w:val="22"/>
          <w:lang w:eastAsia="lt-LT"/>
        </w:rPr>
      </w:pPr>
      <w:r>
        <w:rPr>
          <w:szCs w:val="22"/>
          <w:lang w:eastAsia="lt-LT"/>
        </w:rPr>
        <w:t>2 priedas</w:t>
      </w:r>
    </w:p>
    <w:p w:rsidR="008F2928" w:rsidRDefault="008F2928">
      <w:pPr>
        <w:tabs>
          <w:tab w:val="left" w:pos="9540"/>
        </w:tabs>
        <w:ind w:left="5387"/>
        <w:rPr>
          <w:szCs w:val="22"/>
          <w:lang w:eastAsia="lt-LT"/>
        </w:rPr>
      </w:pPr>
    </w:p>
    <w:p w:rsidR="008F2928" w:rsidRDefault="00C66624">
      <w:pPr>
        <w:tabs>
          <w:tab w:val="left" w:pos="9540"/>
        </w:tabs>
        <w:jc w:val="center"/>
        <w:rPr>
          <w:b/>
          <w:szCs w:val="22"/>
          <w:lang w:eastAsia="lt-LT"/>
        </w:rPr>
      </w:pPr>
      <w:r>
        <w:rPr>
          <w:b/>
          <w:szCs w:val="22"/>
          <w:lang w:eastAsia="lt-LT"/>
        </w:rPr>
        <w:t>(Biudžeto vykdymo ataskaitų rinkinio aiškinamojo rašto forma)</w:t>
      </w:r>
    </w:p>
    <w:p w:rsidR="008F2928" w:rsidRDefault="008F2928">
      <w:pPr>
        <w:tabs>
          <w:tab w:val="left" w:pos="9540"/>
        </w:tabs>
        <w:ind w:left="5954"/>
        <w:rPr>
          <w:b/>
          <w:bCs/>
          <w:sz w:val="22"/>
          <w:szCs w:val="22"/>
          <w:lang w:eastAsia="lt-LT"/>
        </w:rPr>
      </w:pPr>
    </w:p>
    <w:p w:rsidR="008F2928" w:rsidRPr="00906273" w:rsidRDefault="00C66624">
      <w:pPr>
        <w:jc w:val="center"/>
        <w:rPr>
          <w:bCs/>
          <w:szCs w:val="24"/>
          <w:u w:val="single"/>
          <w:lang w:eastAsia="lt-LT"/>
        </w:rPr>
      </w:pPr>
      <w:r w:rsidRPr="00906273">
        <w:rPr>
          <w:bCs/>
          <w:szCs w:val="24"/>
          <w:u w:val="single"/>
          <w:lang w:eastAsia="lt-LT"/>
        </w:rPr>
        <w:t>_______</w:t>
      </w:r>
      <w:r w:rsidR="00906273" w:rsidRPr="00906273">
        <w:rPr>
          <w:bCs/>
          <w:szCs w:val="24"/>
          <w:u w:val="single"/>
          <w:lang w:eastAsia="lt-LT"/>
        </w:rPr>
        <w:t xml:space="preserve">Panevėžio rajono </w:t>
      </w:r>
      <w:r w:rsidR="006C58AE">
        <w:rPr>
          <w:bCs/>
          <w:szCs w:val="24"/>
          <w:u w:val="single"/>
          <w:lang w:eastAsia="lt-LT"/>
        </w:rPr>
        <w:t>Smilgių</w:t>
      </w:r>
      <w:r w:rsidR="00906273" w:rsidRPr="00906273">
        <w:rPr>
          <w:bCs/>
          <w:szCs w:val="24"/>
          <w:u w:val="single"/>
          <w:lang w:eastAsia="lt-LT"/>
        </w:rPr>
        <w:t xml:space="preserve"> kultūros centras</w:t>
      </w:r>
      <w:r w:rsidRPr="00906273">
        <w:rPr>
          <w:bCs/>
          <w:szCs w:val="24"/>
          <w:u w:val="single"/>
          <w:lang w:eastAsia="lt-LT"/>
        </w:rPr>
        <w:t>______________</w:t>
      </w:r>
    </w:p>
    <w:p w:rsidR="008F2928" w:rsidRDefault="00C66624">
      <w:pPr>
        <w:jc w:val="center"/>
        <w:rPr>
          <w:bCs/>
          <w:sz w:val="20"/>
          <w:lang w:eastAsia="lt-LT"/>
        </w:rPr>
      </w:pPr>
      <w:r>
        <w:rPr>
          <w:bCs/>
          <w:sz w:val="20"/>
          <w:lang w:eastAsia="lt-LT"/>
        </w:rPr>
        <w:t>(dokumento sudarytojo pavadinimas)</w:t>
      </w:r>
    </w:p>
    <w:p w:rsidR="008F2928" w:rsidRDefault="008F2928">
      <w:pPr>
        <w:jc w:val="center"/>
        <w:rPr>
          <w:b/>
          <w:bCs/>
          <w:szCs w:val="24"/>
          <w:lang w:eastAsia="lt-LT"/>
        </w:rPr>
      </w:pPr>
    </w:p>
    <w:p w:rsidR="008F2928" w:rsidRDefault="000074BC">
      <w:pPr>
        <w:jc w:val="center"/>
        <w:rPr>
          <w:b/>
          <w:bCs/>
          <w:szCs w:val="24"/>
          <w:lang w:eastAsia="lt-LT"/>
        </w:rPr>
      </w:pPr>
      <w:r>
        <w:rPr>
          <w:b/>
          <w:bCs/>
          <w:szCs w:val="24"/>
          <w:lang w:eastAsia="lt-LT"/>
        </w:rPr>
        <w:t>2025 M. METINĖ</w:t>
      </w:r>
      <w:r w:rsidR="00C66624">
        <w:rPr>
          <w:b/>
          <w:bCs/>
          <w:szCs w:val="24"/>
          <w:lang w:eastAsia="lt-LT"/>
        </w:rPr>
        <w:t xml:space="preserve"> BIUDŽETO VYKDYMO </w:t>
      </w:r>
    </w:p>
    <w:p w:rsidR="008F2928" w:rsidRDefault="008D3E8A">
      <w:pPr>
        <w:ind w:left="426" w:firstLine="1537"/>
        <w:rPr>
          <w:b/>
          <w:bCs/>
          <w:szCs w:val="24"/>
          <w:lang w:eastAsia="lt-LT"/>
        </w:rPr>
      </w:pPr>
      <w:r>
        <w:rPr>
          <w:color w:val="000000"/>
          <w:sz w:val="20"/>
          <w:lang w:eastAsia="lt-LT"/>
        </w:rPr>
        <w:t xml:space="preserve">                </w:t>
      </w:r>
      <w:r w:rsidR="00C66624">
        <w:rPr>
          <w:color w:val="000000"/>
          <w:sz w:val="20"/>
          <w:lang w:eastAsia="lt-LT"/>
        </w:rPr>
        <w:t>(I ketvirčio, pusmečio, 9 mėnesių, metinė)</w:t>
      </w:r>
    </w:p>
    <w:p w:rsidR="008F2928" w:rsidRDefault="00C66624">
      <w:pPr>
        <w:jc w:val="center"/>
        <w:rPr>
          <w:b/>
          <w:bCs/>
          <w:szCs w:val="24"/>
          <w:lang w:eastAsia="lt-LT"/>
        </w:rPr>
      </w:pPr>
      <w:r>
        <w:rPr>
          <w:b/>
          <w:bCs/>
          <w:szCs w:val="24"/>
          <w:lang w:eastAsia="lt-LT"/>
        </w:rPr>
        <w:t>ATASKAITŲ RINKINIO</w:t>
      </w:r>
    </w:p>
    <w:p w:rsidR="008F2928" w:rsidRDefault="00C66624">
      <w:pPr>
        <w:jc w:val="center"/>
        <w:rPr>
          <w:b/>
          <w:bCs/>
          <w:szCs w:val="24"/>
          <w:lang w:eastAsia="lt-LT"/>
        </w:rPr>
      </w:pPr>
      <w:r>
        <w:rPr>
          <w:b/>
          <w:bCs/>
          <w:szCs w:val="24"/>
          <w:lang w:eastAsia="lt-LT"/>
        </w:rPr>
        <w:t>AIŠKINAMASIS RAŠTAS</w:t>
      </w:r>
    </w:p>
    <w:p w:rsidR="008F2928" w:rsidRDefault="008F2928">
      <w:pPr>
        <w:jc w:val="center"/>
        <w:rPr>
          <w:color w:val="000000"/>
          <w:sz w:val="18"/>
          <w:szCs w:val="18"/>
          <w:lang w:eastAsia="lt-LT"/>
        </w:rPr>
      </w:pPr>
    </w:p>
    <w:p w:rsidR="008F2928" w:rsidRDefault="00906273" w:rsidP="00506AC5">
      <w:pPr>
        <w:jc w:val="center"/>
        <w:rPr>
          <w:color w:val="000000"/>
          <w:sz w:val="20"/>
          <w:lang w:eastAsia="lt-LT"/>
        </w:rPr>
      </w:pPr>
      <w:r w:rsidRPr="00906273">
        <w:rPr>
          <w:szCs w:val="24"/>
          <w:u w:val="single"/>
          <w:lang w:eastAsia="lt-LT"/>
        </w:rPr>
        <w:t>2025.</w:t>
      </w:r>
      <w:r w:rsidR="000074BC">
        <w:rPr>
          <w:szCs w:val="24"/>
          <w:u w:val="single"/>
          <w:lang w:eastAsia="lt-LT"/>
        </w:rPr>
        <w:t>12.31</w:t>
      </w:r>
      <w:r w:rsidR="00C66624">
        <w:rPr>
          <w:szCs w:val="24"/>
          <w:lang w:eastAsia="lt-LT"/>
        </w:rPr>
        <w:t xml:space="preserve"> Nr. </w:t>
      </w:r>
    </w:p>
    <w:p w:rsidR="008F2928" w:rsidRDefault="008F2928">
      <w:pPr>
        <w:ind w:left="2592" w:firstLine="1296"/>
        <w:rPr>
          <w:color w:val="000000"/>
          <w:sz w:val="20"/>
          <w:lang w:eastAsia="lt-LT"/>
        </w:rPr>
      </w:pPr>
    </w:p>
    <w:p w:rsidR="008F2928" w:rsidRDefault="008F2928">
      <w:pPr>
        <w:ind w:left="2592" w:firstLine="1296"/>
        <w:rPr>
          <w:color w:val="000000"/>
          <w:sz w:val="20"/>
          <w:lang w:eastAsia="lt-LT"/>
        </w:rPr>
      </w:pPr>
    </w:p>
    <w:p w:rsidR="008F2928" w:rsidRDefault="00C66624">
      <w:pPr>
        <w:tabs>
          <w:tab w:val="left" w:pos="426"/>
        </w:tabs>
        <w:jc w:val="center"/>
        <w:rPr>
          <w:b/>
          <w:szCs w:val="24"/>
          <w:lang w:eastAsia="lt-LT"/>
        </w:rPr>
      </w:pPr>
      <w:r>
        <w:rPr>
          <w:b/>
          <w:szCs w:val="24"/>
          <w:lang w:eastAsia="lt-LT"/>
        </w:rPr>
        <w:t>I SKYRIUS</w:t>
      </w:r>
    </w:p>
    <w:p w:rsidR="008F2928" w:rsidRPr="006C58AE" w:rsidRDefault="00C66624">
      <w:pPr>
        <w:jc w:val="center"/>
        <w:rPr>
          <w:szCs w:val="24"/>
          <w:lang w:eastAsia="lt-LT"/>
        </w:rPr>
      </w:pPr>
      <w:r w:rsidRPr="006C58AE">
        <w:rPr>
          <w:szCs w:val="24"/>
          <w:lang w:eastAsia="lt-LT"/>
        </w:rPr>
        <w:t>BENDROSIOS NUOSTATOS</w:t>
      </w:r>
    </w:p>
    <w:p w:rsidR="00D876FE" w:rsidRPr="00543599" w:rsidRDefault="00B84F24" w:rsidP="00D876FE">
      <w:pPr>
        <w:tabs>
          <w:tab w:val="left" w:pos="540"/>
        </w:tabs>
        <w:ind w:firstLine="851"/>
        <w:jc w:val="both"/>
      </w:pPr>
      <w:r w:rsidRPr="006C58AE">
        <w:rPr>
          <w:szCs w:val="24"/>
          <w:lang w:eastAsia="lt-LT"/>
        </w:rPr>
        <w:tab/>
      </w:r>
      <w:r w:rsidR="006C58AE" w:rsidRPr="006C58AE">
        <w:rPr>
          <w:szCs w:val="24"/>
          <w:lang w:eastAsia="lt-LT"/>
        </w:rPr>
        <w:t xml:space="preserve">Panevėžio rajono </w:t>
      </w:r>
      <w:r w:rsidR="006C58AE">
        <w:rPr>
          <w:szCs w:val="24"/>
          <w:lang w:eastAsia="lt-LT"/>
        </w:rPr>
        <w:t xml:space="preserve">Smilgių kultūros centro biudžeto vykdymo ataskaitos sudaromos </w:t>
      </w:r>
      <w:r w:rsidR="000C589E" w:rsidRPr="006C58AE">
        <w:rPr>
          <w:szCs w:val="24"/>
          <w:lang w:eastAsia="lt-LT"/>
        </w:rPr>
        <w:t xml:space="preserve">vadovaujantis </w:t>
      </w:r>
      <w:r w:rsidR="006C58AE">
        <w:rPr>
          <w:szCs w:val="24"/>
          <w:lang w:eastAsia="lt-LT"/>
        </w:rPr>
        <w:t>B</w:t>
      </w:r>
      <w:r w:rsidR="000C589E" w:rsidRPr="006C58AE">
        <w:rPr>
          <w:szCs w:val="24"/>
          <w:lang w:eastAsia="lt-LT"/>
        </w:rPr>
        <w:t xml:space="preserve">iudžeto sandaros įstatymu, </w:t>
      </w:r>
      <w:r w:rsidR="006C58AE">
        <w:rPr>
          <w:szCs w:val="24"/>
          <w:lang w:eastAsia="lt-LT"/>
        </w:rPr>
        <w:t>V</w:t>
      </w:r>
      <w:r w:rsidR="000C589E" w:rsidRPr="006C58AE">
        <w:rPr>
          <w:szCs w:val="24"/>
          <w:lang w:eastAsia="lt-LT"/>
        </w:rPr>
        <w:t xml:space="preserve">iešojo sektoriaus atskaitomybės įstatymu, </w:t>
      </w:r>
      <w:r w:rsidR="006C58AE">
        <w:rPr>
          <w:szCs w:val="24"/>
          <w:lang w:eastAsia="lt-LT"/>
        </w:rPr>
        <w:t>Biudžeto vykdymo ataskaitų rinkinių rengimo taisyklėmis,</w:t>
      </w:r>
      <w:r w:rsidR="00D876FE">
        <w:rPr>
          <w:szCs w:val="24"/>
          <w:lang w:eastAsia="lt-LT"/>
        </w:rPr>
        <w:t xml:space="preserve"> patvirtintomis Lietuvos Respublikos Vyriausybės 2001 m. gegužės 14 d. nutarimu Nr.543 “Dėl Lietuvos Respublikos biudžeto sandaros įstatymo įgyvendinimo“.  </w:t>
      </w:r>
      <w:r w:rsidR="00D876FE" w:rsidRPr="00543599">
        <w:t xml:space="preserve">Biudžeto vykdymo ataskaitų rinkinių rengimo taisyklės ir formos patvirtintos Lietuvos Respublikos finansų ministro 2025 m. kovo 25 d. įsakymu Nr. 1K-63 „Dėl Biudžeto vykdymo ataskaitų rinkinių rengimo taisyklių patvirtinimo“, Panevėžio </w:t>
      </w:r>
      <w:r w:rsidR="00D876FE">
        <w:t>rajono</w:t>
      </w:r>
      <w:r w:rsidR="00D876FE" w:rsidRPr="00543599">
        <w:t xml:space="preserve"> savivaldybės tarybos 20</w:t>
      </w:r>
      <w:r w:rsidR="00D876FE">
        <w:t>25</w:t>
      </w:r>
      <w:r w:rsidR="00D876FE" w:rsidRPr="00543599">
        <w:t xml:space="preserve"> m. </w:t>
      </w:r>
      <w:r w:rsidR="00D876FE">
        <w:t>kovo</w:t>
      </w:r>
      <w:r w:rsidR="00D876FE" w:rsidRPr="00543599">
        <w:t xml:space="preserve"> 2</w:t>
      </w:r>
      <w:r w:rsidR="00D876FE">
        <w:t>7</w:t>
      </w:r>
      <w:r w:rsidR="00D876FE" w:rsidRPr="00543599">
        <w:t xml:space="preserve"> d. sprendimu Nr. </w:t>
      </w:r>
      <w:r w:rsidR="00D876FE">
        <w:t>T-82</w:t>
      </w:r>
      <w:r w:rsidR="00D876FE" w:rsidRPr="00543599">
        <w:t xml:space="preserve"> „Dėl Panevėžio</w:t>
      </w:r>
      <w:r w:rsidR="00D876FE">
        <w:t xml:space="preserve"> rajono </w:t>
      </w:r>
      <w:r w:rsidR="00D876FE" w:rsidRPr="00543599">
        <w:t xml:space="preserve"> savivaldybės</w:t>
      </w:r>
      <w:r w:rsidR="00D876FE">
        <w:t xml:space="preserve"> tarybos 2024 m. lapkričio 7 d. sprendimo Nr. T-242 „Dėl Panevėžio rajono savivaldybės biudžeto sudarymo, vykdymo ir atskaitomybės tvarkos aprašo patvirtinimo</w:t>
      </w:r>
      <w:r w:rsidR="00D876FE" w:rsidRPr="00543599">
        <w:t>“</w:t>
      </w:r>
      <w:r w:rsidR="00D876FE">
        <w:t xml:space="preserve">  pakeitimo ir kitais teisės aktais, reglamentuojančiais biudžeto vykdymo ataskaitų rengimą.</w:t>
      </w:r>
    </w:p>
    <w:p w:rsidR="008F2928" w:rsidRPr="006C58AE" w:rsidRDefault="00B84F24" w:rsidP="00B84F24">
      <w:pPr>
        <w:tabs>
          <w:tab w:val="left" w:pos="540"/>
        </w:tabs>
        <w:jc w:val="both"/>
        <w:rPr>
          <w:color w:val="A6A6A6"/>
          <w:szCs w:val="24"/>
          <w:lang w:eastAsia="lt-LT"/>
        </w:rPr>
      </w:pPr>
      <w:r w:rsidRPr="006C58AE">
        <w:rPr>
          <w:szCs w:val="24"/>
          <w:lang w:eastAsia="lt-LT"/>
        </w:rPr>
        <w:tab/>
      </w:r>
      <w:r w:rsidR="0097459F" w:rsidRPr="006C58AE">
        <w:rPr>
          <w:szCs w:val="24"/>
          <w:lang w:eastAsia="lt-LT"/>
        </w:rPr>
        <w:t xml:space="preserve">Biudžeto vykdymo ataskaitų rinkinio rengimo tikslas </w:t>
      </w:r>
      <w:r w:rsidR="006C58AE">
        <w:rPr>
          <w:szCs w:val="24"/>
          <w:lang w:eastAsia="lt-LT"/>
        </w:rPr>
        <w:t xml:space="preserve">pateikti informaciją apie gautus ir panaudotus biudžeto </w:t>
      </w:r>
      <w:proofErr w:type="spellStart"/>
      <w:r w:rsidR="006C58AE">
        <w:rPr>
          <w:szCs w:val="24"/>
          <w:lang w:eastAsia="lt-LT"/>
        </w:rPr>
        <w:t>asignavimus</w:t>
      </w:r>
      <w:proofErr w:type="spellEnd"/>
      <w:r w:rsidR="00946D08">
        <w:rPr>
          <w:szCs w:val="24"/>
          <w:lang w:eastAsia="lt-LT"/>
        </w:rPr>
        <w:t>, išlaidų pagal valstybės funkcijų ir ekonomines klasifikacijas vykdymą,</w:t>
      </w:r>
      <w:r w:rsidR="0097459F" w:rsidRPr="006C58AE">
        <w:rPr>
          <w:szCs w:val="24"/>
          <w:lang w:eastAsia="lt-LT"/>
        </w:rPr>
        <w:t xml:space="preserve"> pateikti informaciją apie vykdomas programas, programų finansavimo šaltinius, asignavimų paskirstymą ir naudojimą, lėšų nepanaudojimo priežastis. Už biudžeto vykdymo ataskaitų rinkinio parengimą atsakinga įstaigos vyr. buhalterė.</w:t>
      </w:r>
      <w:r w:rsidR="000C589E" w:rsidRPr="006C58AE">
        <w:rPr>
          <w:color w:val="A6A6A6"/>
          <w:szCs w:val="24"/>
          <w:lang w:eastAsia="lt-LT"/>
        </w:rPr>
        <w:t xml:space="preserve"> </w:t>
      </w:r>
    </w:p>
    <w:p w:rsidR="008F2928" w:rsidRDefault="008F2928">
      <w:pPr>
        <w:jc w:val="both"/>
        <w:rPr>
          <w:sz w:val="22"/>
          <w:szCs w:val="22"/>
          <w:lang w:eastAsia="lt-LT"/>
        </w:rPr>
      </w:pPr>
    </w:p>
    <w:p w:rsidR="00506AC5" w:rsidRDefault="00506AC5" w:rsidP="00506AC5">
      <w:pPr>
        <w:tabs>
          <w:tab w:val="left" w:pos="426"/>
        </w:tabs>
        <w:rPr>
          <w:b/>
          <w:caps/>
          <w:szCs w:val="24"/>
          <w:lang w:eastAsia="lt-LT"/>
        </w:rPr>
      </w:pPr>
    </w:p>
    <w:p w:rsidR="00506AC5" w:rsidRDefault="00506AC5" w:rsidP="00506AC5">
      <w:pPr>
        <w:tabs>
          <w:tab w:val="left" w:pos="426"/>
        </w:tabs>
        <w:jc w:val="center"/>
        <w:rPr>
          <w:b/>
          <w:szCs w:val="24"/>
          <w:lang w:eastAsia="lt-LT"/>
        </w:rPr>
      </w:pPr>
      <w:r>
        <w:rPr>
          <w:b/>
          <w:caps/>
          <w:szCs w:val="24"/>
          <w:lang w:eastAsia="lt-LT"/>
        </w:rPr>
        <w:t>II skyrius</w:t>
      </w:r>
    </w:p>
    <w:p w:rsidR="00506AC5" w:rsidRDefault="00506AC5" w:rsidP="00506AC5">
      <w:pPr>
        <w:tabs>
          <w:tab w:val="left" w:pos="426"/>
        </w:tabs>
        <w:jc w:val="center"/>
        <w:rPr>
          <w:b/>
          <w:caps/>
          <w:szCs w:val="24"/>
          <w:lang w:eastAsia="lt-LT"/>
        </w:rPr>
      </w:pPr>
      <w:r>
        <w:rPr>
          <w:b/>
          <w:caps/>
          <w:szCs w:val="24"/>
          <w:lang w:eastAsia="lt-LT"/>
        </w:rPr>
        <w:t>Apskaitos politika</w:t>
      </w:r>
    </w:p>
    <w:p w:rsidR="00506AC5" w:rsidRDefault="00506AC5" w:rsidP="00506AC5">
      <w:pPr>
        <w:tabs>
          <w:tab w:val="left" w:pos="426"/>
        </w:tabs>
        <w:jc w:val="center"/>
        <w:rPr>
          <w:b/>
          <w:szCs w:val="24"/>
          <w:lang w:eastAsia="lt-LT"/>
        </w:rPr>
      </w:pPr>
    </w:p>
    <w:p w:rsidR="00D17797" w:rsidRPr="009F483E" w:rsidRDefault="00506AC5" w:rsidP="00D17797">
      <w:pPr>
        <w:jc w:val="center"/>
        <w:rPr>
          <w:b/>
          <w:szCs w:val="24"/>
          <w:lang w:eastAsia="lt-LT"/>
        </w:rPr>
      </w:pPr>
      <w:r>
        <w:rPr>
          <w:szCs w:val="24"/>
          <w:lang w:eastAsia="lt-LT"/>
        </w:rPr>
        <w:t xml:space="preserve"> </w:t>
      </w:r>
    </w:p>
    <w:p w:rsidR="00D17797" w:rsidRPr="00543599" w:rsidRDefault="00D17797" w:rsidP="00D17797">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rsidR="00506AC5" w:rsidRDefault="00D17797" w:rsidP="00D17797">
      <w:pPr>
        <w:tabs>
          <w:tab w:val="left" w:pos="426"/>
        </w:tabs>
        <w:rPr>
          <w:szCs w:val="24"/>
          <w:lang w:eastAsia="lt-LT"/>
        </w:rPr>
      </w:pPr>
      <w:bookmarkStart w:id="1" w:name="part_c7b1d7c1fce6497f87d1bf5b3db0c039"/>
      <w:bookmarkEnd w:id="1"/>
      <w:r>
        <w:rPr>
          <w:szCs w:val="24"/>
        </w:rPr>
        <w:t xml:space="preserve">Sudarant biudžeto vykdymo ataskaitų rinkinį buvo vadovaujamasi šiais bendraisiais apskaitos principais: subjekto, veiklos tęstinumo, periodiškumo, pastovumo, piniginio mato, kaupimo, palyginimo, atsargumo, neutralumo, turinio viršenybės prieš formą. </w:t>
      </w:r>
    </w:p>
    <w:p w:rsidR="00506AC5" w:rsidRDefault="00506AC5" w:rsidP="00506AC5">
      <w:pPr>
        <w:tabs>
          <w:tab w:val="left" w:pos="426"/>
        </w:tabs>
        <w:rPr>
          <w:szCs w:val="24"/>
          <w:lang w:eastAsia="lt-LT"/>
        </w:rPr>
      </w:pPr>
    </w:p>
    <w:p w:rsidR="00506AC5" w:rsidRDefault="00506AC5" w:rsidP="00506AC5">
      <w:pPr>
        <w:tabs>
          <w:tab w:val="left" w:pos="426"/>
        </w:tabs>
        <w:jc w:val="center"/>
        <w:rPr>
          <w:b/>
          <w:szCs w:val="24"/>
          <w:lang w:eastAsia="lt-LT"/>
        </w:rPr>
      </w:pPr>
      <w:r>
        <w:rPr>
          <w:b/>
          <w:szCs w:val="24"/>
          <w:lang w:eastAsia="lt-LT"/>
        </w:rPr>
        <w:t>III SKYRIUS</w:t>
      </w:r>
    </w:p>
    <w:p w:rsidR="00506AC5" w:rsidRDefault="00506AC5" w:rsidP="00506AC5">
      <w:pPr>
        <w:tabs>
          <w:tab w:val="left" w:pos="426"/>
        </w:tabs>
        <w:jc w:val="center"/>
        <w:rPr>
          <w:b/>
          <w:szCs w:val="24"/>
          <w:lang w:eastAsia="lt-LT"/>
        </w:rPr>
      </w:pPr>
      <w:r>
        <w:rPr>
          <w:b/>
          <w:szCs w:val="24"/>
          <w:lang w:eastAsia="lt-LT"/>
        </w:rPr>
        <w:t>BIUDŽETINIŲ ĮSTAIGŲ PAJAMŲ PLANO VYKDYMAS</w:t>
      </w:r>
    </w:p>
    <w:p w:rsidR="00506AC5" w:rsidRDefault="00506AC5" w:rsidP="00506AC5">
      <w:pPr>
        <w:jc w:val="center"/>
        <w:rPr>
          <w:b/>
          <w:sz w:val="22"/>
          <w:szCs w:val="22"/>
          <w:lang w:eastAsia="lt-LT"/>
        </w:rPr>
      </w:pPr>
    </w:p>
    <w:p w:rsidR="00506AC5" w:rsidRDefault="00506AC5" w:rsidP="00506AC5">
      <w:pPr>
        <w:tabs>
          <w:tab w:val="left" w:pos="540"/>
        </w:tabs>
        <w:ind w:firstLine="567"/>
        <w:jc w:val="both"/>
        <w:rPr>
          <w:iCs/>
          <w:szCs w:val="24"/>
          <w:lang w:eastAsia="lt-LT"/>
        </w:rPr>
      </w:pPr>
    </w:p>
    <w:p w:rsidR="006A57D3" w:rsidRPr="009F483E" w:rsidRDefault="006A57D3" w:rsidP="006A57D3">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E56F9A">
        <w:rPr>
          <w:color w:val="000000" w:themeColor="text1"/>
        </w:rPr>
        <w:t>gruodžio</w:t>
      </w:r>
      <w:r>
        <w:rPr>
          <w:color w:val="000000" w:themeColor="text1"/>
        </w:rPr>
        <w:t xml:space="preserve"> 3</w:t>
      </w:r>
      <w:r w:rsidR="00E56F9A">
        <w:rPr>
          <w:color w:val="000000" w:themeColor="text1"/>
        </w:rPr>
        <w:t>1</w:t>
      </w:r>
      <w:r>
        <w:rPr>
          <w:color w:val="000000" w:themeColor="text1"/>
        </w:rPr>
        <w:t xml:space="preserve"> d. duomenis“.</w:t>
      </w:r>
    </w:p>
    <w:p w:rsidR="00506AC5" w:rsidRDefault="00506AC5" w:rsidP="00506AC5">
      <w:pPr>
        <w:tabs>
          <w:tab w:val="left" w:pos="540"/>
        </w:tabs>
        <w:ind w:firstLine="567"/>
        <w:jc w:val="both"/>
        <w:rPr>
          <w:i/>
          <w:iCs/>
          <w:szCs w:val="24"/>
          <w:lang w:eastAsia="lt-LT"/>
        </w:rPr>
      </w:pPr>
    </w:p>
    <w:p w:rsidR="00506AC5" w:rsidRDefault="00506AC5" w:rsidP="00506AC5">
      <w:pPr>
        <w:tabs>
          <w:tab w:val="left" w:pos="540"/>
        </w:tabs>
        <w:jc w:val="both"/>
        <w:rPr>
          <w:szCs w:val="24"/>
          <w:lang w:eastAsia="lt-LT"/>
        </w:rPr>
      </w:pPr>
    </w:p>
    <w:p w:rsidR="00506AC5" w:rsidRDefault="00506AC5" w:rsidP="00506AC5">
      <w:pPr>
        <w:tabs>
          <w:tab w:val="left" w:pos="426"/>
        </w:tabs>
        <w:jc w:val="center"/>
        <w:rPr>
          <w:szCs w:val="24"/>
          <w:lang w:eastAsia="lt-LT"/>
        </w:rPr>
      </w:pPr>
      <w:r>
        <w:rPr>
          <w:b/>
          <w:szCs w:val="24"/>
          <w:lang w:eastAsia="lt-LT"/>
        </w:rPr>
        <w:t>IVSKYRIUS</w:t>
      </w:r>
    </w:p>
    <w:p w:rsidR="00506AC5" w:rsidRDefault="00506AC5" w:rsidP="00506AC5">
      <w:pPr>
        <w:jc w:val="center"/>
        <w:rPr>
          <w:b/>
          <w:szCs w:val="24"/>
          <w:lang w:eastAsia="lt-LT"/>
        </w:rPr>
      </w:pPr>
      <w:r>
        <w:rPr>
          <w:b/>
          <w:szCs w:val="24"/>
          <w:lang w:eastAsia="lt-LT"/>
        </w:rPr>
        <w:t>BIUDŽETO IŠLAIDŲ PLANO VYKDYMAS</w:t>
      </w:r>
    </w:p>
    <w:p w:rsidR="00506AC5" w:rsidRDefault="00506AC5" w:rsidP="00506AC5">
      <w:pPr>
        <w:tabs>
          <w:tab w:val="left" w:pos="540"/>
        </w:tabs>
        <w:jc w:val="center"/>
        <w:rPr>
          <w:b/>
          <w:i/>
          <w:iCs/>
          <w:color w:val="A6A6A6"/>
          <w:szCs w:val="24"/>
          <w:lang w:eastAsia="lt-LT"/>
        </w:rPr>
      </w:pPr>
    </w:p>
    <w:p w:rsidR="00506AC5" w:rsidRDefault="00506AC5" w:rsidP="0049275E">
      <w:pPr>
        <w:tabs>
          <w:tab w:val="left" w:pos="540"/>
        </w:tabs>
        <w:rPr>
          <w:i/>
          <w:iCs/>
          <w:color w:val="A6A6A6"/>
          <w:szCs w:val="24"/>
          <w:lang w:eastAsia="lt-LT"/>
        </w:rPr>
      </w:pPr>
      <w:r>
        <w:rPr>
          <w:i/>
          <w:iCs/>
          <w:color w:val="A6A6A6"/>
          <w:szCs w:val="24"/>
          <w:lang w:eastAsia="lt-LT"/>
        </w:rPr>
        <w:tab/>
      </w:r>
      <w:r>
        <w:rPr>
          <w:iCs/>
          <w:szCs w:val="24"/>
          <w:lang w:eastAsia="lt-LT"/>
        </w:rPr>
        <w:t>Kultūros centro asignavim</w:t>
      </w:r>
      <w:r w:rsidR="001343C0">
        <w:rPr>
          <w:iCs/>
          <w:szCs w:val="24"/>
          <w:lang w:eastAsia="lt-LT"/>
        </w:rPr>
        <w:t>ų</w:t>
      </w:r>
      <w:r>
        <w:rPr>
          <w:iCs/>
          <w:szCs w:val="24"/>
          <w:lang w:eastAsia="lt-LT"/>
        </w:rPr>
        <w:t xml:space="preserve"> programai 03 ‚Aktyvaus bendruomenės gyvenimo  skatinimas“ įgyvendinti 2025</w:t>
      </w:r>
      <w:r w:rsidR="00B0699F">
        <w:rPr>
          <w:iCs/>
          <w:szCs w:val="24"/>
          <w:lang w:eastAsia="lt-LT"/>
        </w:rPr>
        <w:t xml:space="preserve"> m. patvirtinta 229</w:t>
      </w:r>
      <w:r w:rsidR="00180A03">
        <w:rPr>
          <w:iCs/>
          <w:szCs w:val="24"/>
          <w:lang w:eastAsia="lt-LT"/>
        </w:rPr>
        <w:t>,2 tūkst. eurų</w:t>
      </w:r>
      <w:r w:rsidR="00B0699F">
        <w:rPr>
          <w:iCs/>
          <w:szCs w:val="24"/>
          <w:lang w:eastAsia="lt-LT"/>
        </w:rPr>
        <w:t xml:space="preserve"> </w:t>
      </w:r>
      <w:r w:rsidR="001343C0">
        <w:rPr>
          <w:iCs/>
          <w:szCs w:val="24"/>
          <w:lang w:eastAsia="lt-LT"/>
        </w:rPr>
        <w:t>m</w:t>
      </w:r>
      <w:r w:rsidR="00E56F9A">
        <w:rPr>
          <w:iCs/>
          <w:szCs w:val="24"/>
          <w:lang w:eastAsia="lt-LT"/>
        </w:rPr>
        <w:t>etinis</w:t>
      </w:r>
      <w:r>
        <w:rPr>
          <w:iCs/>
          <w:szCs w:val="24"/>
          <w:lang w:eastAsia="lt-LT"/>
        </w:rPr>
        <w:t xml:space="preserve"> </w:t>
      </w:r>
      <w:r w:rsidR="00B0699F">
        <w:rPr>
          <w:iCs/>
          <w:szCs w:val="24"/>
          <w:lang w:eastAsia="lt-LT"/>
        </w:rPr>
        <w:t>asignavimų planas</w:t>
      </w:r>
      <w:r w:rsidR="001343C0">
        <w:rPr>
          <w:iCs/>
          <w:szCs w:val="24"/>
          <w:lang w:eastAsia="lt-LT"/>
        </w:rPr>
        <w:t xml:space="preserve">. </w:t>
      </w:r>
      <w:r w:rsidR="00180A03">
        <w:rPr>
          <w:iCs/>
          <w:szCs w:val="24"/>
          <w:lang w:eastAsia="lt-LT"/>
        </w:rPr>
        <w:t xml:space="preserve">Gauta </w:t>
      </w:r>
      <w:r w:rsidR="00E56F9A">
        <w:rPr>
          <w:iCs/>
          <w:szCs w:val="24"/>
          <w:lang w:eastAsia="lt-LT"/>
        </w:rPr>
        <w:t xml:space="preserve">225,4 </w:t>
      </w:r>
      <w:proofErr w:type="spellStart"/>
      <w:r w:rsidR="00180A03">
        <w:rPr>
          <w:iCs/>
          <w:szCs w:val="24"/>
          <w:lang w:eastAsia="lt-LT"/>
        </w:rPr>
        <w:t>tūkst.eurų</w:t>
      </w:r>
      <w:proofErr w:type="spellEnd"/>
      <w:r w:rsidR="00180A03">
        <w:rPr>
          <w:iCs/>
          <w:szCs w:val="24"/>
          <w:lang w:eastAsia="lt-LT"/>
        </w:rPr>
        <w:t xml:space="preserve">. </w:t>
      </w:r>
      <w:r>
        <w:rPr>
          <w:iCs/>
          <w:szCs w:val="24"/>
          <w:lang w:eastAsia="lt-LT"/>
        </w:rPr>
        <w:t xml:space="preserve">Per </w:t>
      </w:r>
      <w:r w:rsidR="00E56F9A">
        <w:rPr>
          <w:iCs/>
          <w:szCs w:val="24"/>
          <w:lang w:eastAsia="lt-LT"/>
        </w:rPr>
        <w:t>2025 m.</w:t>
      </w:r>
      <w:r>
        <w:rPr>
          <w:iCs/>
          <w:szCs w:val="24"/>
          <w:lang w:eastAsia="lt-LT"/>
        </w:rPr>
        <w:t xml:space="preserve"> įstaiga panaudojo </w:t>
      </w:r>
      <w:r w:rsidR="00E56F9A">
        <w:rPr>
          <w:iCs/>
          <w:szCs w:val="24"/>
          <w:lang w:eastAsia="lt-LT"/>
        </w:rPr>
        <w:t>225,4</w:t>
      </w:r>
      <w:r w:rsidR="00180A03">
        <w:rPr>
          <w:iCs/>
          <w:szCs w:val="24"/>
          <w:lang w:eastAsia="lt-LT"/>
        </w:rPr>
        <w:t xml:space="preserve"> tūkst. eurų</w:t>
      </w:r>
      <w:r>
        <w:rPr>
          <w:iCs/>
          <w:szCs w:val="24"/>
          <w:lang w:eastAsia="lt-LT"/>
        </w:rPr>
        <w:t xml:space="preserve">, arba </w:t>
      </w:r>
      <w:r w:rsidR="00E56F9A">
        <w:rPr>
          <w:iCs/>
          <w:szCs w:val="24"/>
          <w:lang w:eastAsia="lt-LT"/>
        </w:rPr>
        <w:t>98,3</w:t>
      </w:r>
      <w:r>
        <w:rPr>
          <w:iCs/>
          <w:szCs w:val="24"/>
          <w:lang w:eastAsia="lt-LT"/>
        </w:rPr>
        <w:t xml:space="preserve"> proc. ataskaitiniam laikotarpiui skirtų lėšų. </w:t>
      </w:r>
      <w:r w:rsidR="00180A03">
        <w:rPr>
          <w:iCs/>
          <w:szCs w:val="24"/>
          <w:lang w:eastAsia="lt-LT"/>
        </w:rPr>
        <w:t xml:space="preserve">Per ataskaitinį laikotarpį liko nepanaudota </w:t>
      </w:r>
      <w:r w:rsidR="00E56F9A">
        <w:rPr>
          <w:iCs/>
          <w:szCs w:val="24"/>
          <w:lang w:eastAsia="lt-LT"/>
        </w:rPr>
        <w:t>3,8</w:t>
      </w:r>
      <w:r w:rsidR="00180A03">
        <w:rPr>
          <w:iCs/>
          <w:szCs w:val="24"/>
          <w:lang w:eastAsia="lt-LT"/>
        </w:rPr>
        <w:t xml:space="preserve"> tūkst. eurų suplanuotų biudžeto asignavimų. Iš jų</w:t>
      </w:r>
      <w:r w:rsidR="00E56F9A">
        <w:rPr>
          <w:iCs/>
          <w:szCs w:val="24"/>
          <w:lang w:eastAsia="lt-LT"/>
        </w:rPr>
        <w:t>:</w:t>
      </w:r>
      <w:r w:rsidR="00180A03">
        <w:rPr>
          <w:iCs/>
          <w:szCs w:val="24"/>
          <w:lang w:eastAsia="lt-LT"/>
        </w:rPr>
        <w:t xml:space="preserve"> </w:t>
      </w:r>
      <w:r w:rsidR="00362FAC">
        <w:rPr>
          <w:iCs/>
          <w:szCs w:val="24"/>
          <w:lang w:eastAsia="lt-LT"/>
        </w:rPr>
        <w:t xml:space="preserve"> Prekėms ir paslaugoms įsigyti – </w:t>
      </w:r>
      <w:r w:rsidR="00E56F9A">
        <w:rPr>
          <w:iCs/>
          <w:szCs w:val="24"/>
          <w:lang w:eastAsia="lt-LT"/>
        </w:rPr>
        <w:t>3,8</w:t>
      </w:r>
      <w:r w:rsidR="00362FAC">
        <w:rPr>
          <w:iCs/>
          <w:szCs w:val="24"/>
          <w:lang w:eastAsia="lt-LT"/>
        </w:rPr>
        <w:t xml:space="preserve"> tūkst. eurų nepanaudota, nes sudėtinga numatyti kokie bus komunalinių paslaugų mokesčiai</w:t>
      </w:r>
      <w:r w:rsidR="006C4A04">
        <w:rPr>
          <w:iCs/>
          <w:szCs w:val="24"/>
          <w:lang w:eastAsia="lt-LT"/>
        </w:rPr>
        <w:t>,</w:t>
      </w:r>
      <w:r w:rsidR="003E3E2D">
        <w:rPr>
          <w:iCs/>
          <w:szCs w:val="24"/>
          <w:lang w:eastAsia="lt-LT"/>
        </w:rPr>
        <w:t xml:space="preserve"> </w:t>
      </w:r>
      <w:r w:rsidR="00084D0F">
        <w:rPr>
          <w:iCs/>
          <w:szCs w:val="24"/>
          <w:lang w:eastAsia="lt-LT"/>
        </w:rPr>
        <w:t>ma</w:t>
      </w:r>
      <w:r>
        <w:rPr>
          <w:iCs/>
          <w:szCs w:val="24"/>
          <w:lang w:eastAsia="lt-LT"/>
        </w:rPr>
        <w:t>žesnio nei planuota pirkimų poreikio.</w:t>
      </w:r>
      <w:r w:rsidR="006C4A04">
        <w:rPr>
          <w:iCs/>
          <w:szCs w:val="24"/>
          <w:lang w:eastAsia="lt-LT"/>
        </w:rPr>
        <w:t xml:space="preserve"> </w:t>
      </w:r>
    </w:p>
    <w:p w:rsidR="00506AC5" w:rsidRDefault="00506AC5" w:rsidP="0049275E">
      <w:pPr>
        <w:tabs>
          <w:tab w:val="left" w:pos="540"/>
        </w:tabs>
        <w:ind w:firstLine="567"/>
        <w:jc w:val="center"/>
        <w:rPr>
          <w:b/>
          <w:bCs/>
          <w:szCs w:val="24"/>
          <w:lang w:eastAsia="lt-LT"/>
        </w:rPr>
      </w:pPr>
      <w:r>
        <w:rPr>
          <w:b/>
          <w:bCs/>
          <w:szCs w:val="24"/>
          <w:lang w:eastAsia="lt-LT"/>
        </w:rPr>
        <w:t>V SKYRIUS</w:t>
      </w:r>
    </w:p>
    <w:p w:rsidR="00506AC5" w:rsidRDefault="00506AC5" w:rsidP="0049275E">
      <w:pPr>
        <w:tabs>
          <w:tab w:val="left" w:pos="540"/>
        </w:tabs>
        <w:ind w:firstLine="567"/>
        <w:jc w:val="center"/>
        <w:rPr>
          <w:b/>
          <w:bCs/>
          <w:szCs w:val="24"/>
          <w:lang w:eastAsia="lt-LT"/>
        </w:rPr>
      </w:pPr>
      <w:r>
        <w:rPr>
          <w:b/>
          <w:bCs/>
          <w:szCs w:val="24"/>
          <w:lang w:eastAsia="lt-LT"/>
        </w:rPr>
        <w:t>KITA INFORMACIJA</w:t>
      </w:r>
    </w:p>
    <w:p w:rsidR="00794691" w:rsidRPr="00CF1536" w:rsidRDefault="0049275E" w:rsidP="0049275E">
      <w:pPr>
        <w:ind w:left="360"/>
        <w:rPr>
          <w:noProof/>
          <w:color w:val="C0504D" w:themeColor="accent2"/>
        </w:rPr>
      </w:pPr>
      <w:r>
        <w:rPr>
          <w:noProof/>
        </w:rPr>
        <w:t>1</w:t>
      </w:r>
      <w:r w:rsidR="00794691">
        <w:rPr>
          <w:noProof/>
        </w:rPr>
        <w:t>.</w:t>
      </w:r>
      <w:r w:rsidR="00794691" w:rsidRPr="00D63F6E">
        <w:rPr>
          <w:noProof/>
        </w:rPr>
        <w:t>Ataskaitinio laikotarpio pabaigoje mokėtinų sumų, kurių išmokėjimo terminas būtų suėjęs, nėra</w:t>
      </w:r>
      <w:r w:rsidR="00794691" w:rsidRPr="00CF1536">
        <w:rPr>
          <w:noProof/>
          <w:color w:val="C0504D" w:themeColor="accent2"/>
        </w:rPr>
        <w:t xml:space="preserve">. </w:t>
      </w:r>
    </w:p>
    <w:p w:rsidR="00794691" w:rsidRPr="00D63F6E" w:rsidRDefault="00794691" w:rsidP="0049275E">
      <w:pPr>
        <w:ind w:left="360"/>
        <w:rPr>
          <w:noProof/>
        </w:rPr>
      </w:pPr>
      <w:r>
        <w:rPr>
          <w:noProof/>
        </w:rPr>
        <w:t>2.</w:t>
      </w:r>
      <w:r w:rsidRPr="00D63F6E">
        <w:rPr>
          <w:noProof/>
        </w:rPr>
        <w:t>Papildomos reikšmingos informacijos nėra.</w:t>
      </w:r>
    </w:p>
    <w:p w:rsidR="00794691" w:rsidRPr="00BA08BA" w:rsidRDefault="00794691" w:rsidP="0049275E">
      <w:pPr>
        <w:ind w:left="360"/>
        <w:rPr>
          <w:noProof/>
          <w:shd w:val="clear" w:color="auto" w:fill="FFFFFF"/>
        </w:rPr>
      </w:pPr>
      <w:r>
        <w:rPr>
          <w:noProof/>
          <w:shd w:val="clear" w:color="auto" w:fill="FFFFFF"/>
        </w:rPr>
        <w:t>3.</w:t>
      </w:r>
      <w:r w:rsidRPr="00D63F6E">
        <w:rPr>
          <w:noProof/>
          <w:shd w:val="clear" w:color="auto" w:fill="FFFFFF"/>
        </w:rPr>
        <w:t xml:space="preserve">Informacija apie lėšų </w:t>
      </w:r>
      <w:r w:rsidRPr="00BA08BA">
        <w:rPr>
          <w:noProof/>
          <w:shd w:val="clear" w:color="auto" w:fill="FFFFFF"/>
        </w:rPr>
        <w:t>likučius biudžetinių lėšų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794691" w:rsidRPr="00D63F6E" w:rsidTr="008D05F2">
        <w:tc>
          <w:tcPr>
            <w:tcW w:w="2065" w:type="dxa"/>
            <w:vAlign w:val="center"/>
          </w:tcPr>
          <w:p w:rsidR="00794691" w:rsidRPr="00D63F6E" w:rsidRDefault="00794691" w:rsidP="0049275E">
            <w:pPr>
              <w:rPr>
                <w:noProof/>
                <w:shd w:val="clear" w:color="auto" w:fill="FFFFFF"/>
              </w:rPr>
            </w:pPr>
            <w:r w:rsidRPr="00D63F6E">
              <w:rPr>
                <w:noProof/>
                <w:shd w:val="clear" w:color="auto" w:fill="FFFFFF"/>
              </w:rPr>
              <w:t>Lėšų šaltinis</w:t>
            </w:r>
          </w:p>
        </w:tc>
        <w:tc>
          <w:tcPr>
            <w:tcW w:w="2547" w:type="dxa"/>
            <w:vAlign w:val="center"/>
          </w:tcPr>
          <w:p w:rsidR="00794691" w:rsidRPr="00D63F6E" w:rsidRDefault="00794691" w:rsidP="0049275E">
            <w:pPr>
              <w:rPr>
                <w:noProof/>
                <w:shd w:val="clear" w:color="auto" w:fill="FFFFFF"/>
              </w:rPr>
            </w:pPr>
            <w:r w:rsidRPr="00D63F6E">
              <w:rPr>
                <w:noProof/>
                <w:shd w:val="clear" w:color="auto" w:fill="FFFFFF"/>
              </w:rPr>
              <w:t>Paskutinė praėjusio ataskaitinio laikotarpio diena</w:t>
            </w:r>
            <w:r>
              <w:rPr>
                <w:noProof/>
                <w:shd w:val="clear" w:color="auto" w:fill="FFFFFF"/>
              </w:rPr>
              <w:t xml:space="preserve"> </w:t>
            </w:r>
          </w:p>
        </w:tc>
        <w:tc>
          <w:tcPr>
            <w:tcW w:w="2273" w:type="dxa"/>
            <w:vAlign w:val="center"/>
          </w:tcPr>
          <w:p w:rsidR="00794691" w:rsidRDefault="00794691" w:rsidP="0049275E">
            <w:pPr>
              <w:rPr>
                <w:noProof/>
                <w:shd w:val="clear" w:color="auto" w:fill="FFFFFF"/>
              </w:rPr>
            </w:pPr>
            <w:r w:rsidRPr="00D63F6E">
              <w:rPr>
                <w:noProof/>
                <w:shd w:val="clear" w:color="auto" w:fill="FFFFFF"/>
              </w:rPr>
              <w:t>Paskutinė ataskaitinio laikotarpio diena</w:t>
            </w:r>
          </w:p>
          <w:p w:rsidR="00794691" w:rsidRPr="00D63F6E" w:rsidRDefault="00794691" w:rsidP="0049275E">
            <w:pPr>
              <w:rPr>
                <w:noProof/>
                <w:shd w:val="clear" w:color="auto" w:fill="FFFFFF"/>
              </w:rPr>
            </w:pPr>
          </w:p>
        </w:tc>
        <w:tc>
          <w:tcPr>
            <w:tcW w:w="2635" w:type="dxa"/>
            <w:vAlign w:val="center"/>
          </w:tcPr>
          <w:p w:rsidR="00794691" w:rsidRPr="00D63F6E" w:rsidRDefault="00794691" w:rsidP="0049275E">
            <w:pPr>
              <w:rPr>
                <w:noProof/>
                <w:shd w:val="clear" w:color="auto" w:fill="FFFFFF"/>
              </w:rPr>
            </w:pPr>
            <w:r>
              <w:rPr>
                <w:noProof/>
                <w:shd w:val="clear" w:color="auto" w:fill="FFFFFF"/>
              </w:rPr>
              <w:t>Likučio susidarymo priežastys</w:t>
            </w:r>
          </w:p>
        </w:tc>
      </w:tr>
      <w:tr w:rsidR="00794691" w:rsidRPr="00794691" w:rsidTr="008D05F2">
        <w:tc>
          <w:tcPr>
            <w:tcW w:w="2065" w:type="dxa"/>
          </w:tcPr>
          <w:p w:rsidR="00794691" w:rsidRPr="00794691" w:rsidRDefault="00794691" w:rsidP="0049275E">
            <w:pPr>
              <w:ind w:firstLine="567"/>
              <w:rPr>
                <w:noProof/>
                <w:shd w:val="clear" w:color="auto" w:fill="FFFFFF"/>
              </w:rPr>
            </w:pPr>
            <w:r w:rsidRPr="00794691">
              <w:rPr>
                <w:noProof/>
                <w:shd w:val="clear" w:color="auto" w:fill="FFFFFF"/>
              </w:rPr>
              <w:t>5SB</w:t>
            </w:r>
          </w:p>
        </w:tc>
        <w:tc>
          <w:tcPr>
            <w:tcW w:w="2547" w:type="dxa"/>
            <w:vAlign w:val="center"/>
          </w:tcPr>
          <w:p w:rsidR="00794691" w:rsidRPr="00794691" w:rsidRDefault="00794691" w:rsidP="0049275E">
            <w:pPr>
              <w:ind w:firstLine="567"/>
              <w:rPr>
                <w:noProof/>
                <w:shd w:val="clear" w:color="auto" w:fill="FFFFFF"/>
              </w:rPr>
            </w:pPr>
            <w:r w:rsidRPr="00794691">
              <w:rPr>
                <w:noProof/>
                <w:shd w:val="clear" w:color="auto" w:fill="FFFFFF"/>
              </w:rPr>
              <w:t>0,00</w:t>
            </w:r>
          </w:p>
        </w:tc>
        <w:tc>
          <w:tcPr>
            <w:tcW w:w="2273" w:type="dxa"/>
            <w:vAlign w:val="center"/>
          </w:tcPr>
          <w:p w:rsidR="00794691" w:rsidRPr="00794691" w:rsidRDefault="00E56F9A" w:rsidP="0049275E">
            <w:pPr>
              <w:ind w:firstLine="567"/>
              <w:rPr>
                <w:noProof/>
                <w:shd w:val="clear" w:color="auto" w:fill="FFFFFF"/>
              </w:rPr>
            </w:pPr>
            <w:r>
              <w:rPr>
                <w:noProof/>
                <w:shd w:val="clear" w:color="auto" w:fill="FFFFFF"/>
              </w:rPr>
              <w:t>0,00</w:t>
            </w:r>
          </w:p>
        </w:tc>
        <w:tc>
          <w:tcPr>
            <w:tcW w:w="2635" w:type="dxa"/>
          </w:tcPr>
          <w:p w:rsidR="00794691" w:rsidRPr="00794691" w:rsidRDefault="00794691" w:rsidP="0049275E">
            <w:pPr>
              <w:rPr>
                <w:noProof/>
                <w:shd w:val="clear" w:color="auto" w:fill="FFFFFF"/>
              </w:rPr>
            </w:pPr>
          </w:p>
        </w:tc>
      </w:tr>
      <w:tr w:rsidR="00794691" w:rsidRPr="0048558B" w:rsidTr="008D05F2">
        <w:tc>
          <w:tcPr>
            <w:tcW w:w="2065" w:type="dxa"/>
            <w:vAlign w:val="center"/>
          </w:tcPr>
          <w:p w:rsidR="00794691" w:rsidRPr="0048558B" w:rsidRDefault="00794691" w:rsidP="0049275E">
            <w:pPr>
              <w:rPr>
                <w:b/>
                <w:noProof/>
                <w:shd w:val="clear" w:color="auto" w:fill="FFFFFF"/>
              </w:rPr>
            </w:pPr>
            <w:r w:rsidRPr="0048558B">
              <w:rPr>
                <w:b/>
                <w:noProof/>
                <w:shd w:val="clear" w:color="auto" w:fill="FFFFFF"/>
              </w:rPr>
              <w:t>Iš viso:</w:t>
            </w:r>
          </w:p>
        </w:tc>
        <w:tc>
          <w:tcPr>
            <w:tcW w:w="2547" w:type="dxa"/>
            <w:vAlign w:val="center"/>
          </w:tcPr>
          <w:p w:rsidR="00794691" w:rsidRPr="0048558B" w:rsidRDefault="00794691" w:rsidP="0049275E">
            <w:pPr>
              <w:ind w:firstLine="567"/>
              <w:rPr>
                <w:b/>
                <w:noProof/>
                <w:shd w:val="clear" w:color="auto" w:fill="FFFFFF"/>
              </w:rPr>
            </w:pPr>
            <w:r w:rsidRPr="0048558B">
              <w:rPr>
                <w:b/>
                <w:noProof/>
                <w:shd w:val="clear" w:color="auto" w:fill="FFFFFF"/>
              </w:rPr>
              <w:t>0,00</w:t>
            </w:r>
          </w:p>
        </w:tc>
        <w:tc>
          <w:tcPr>
            <w:tcW w:w="2273" w:type="dxa"/>
            <w:vAlign w:val="center"/>
          </w:tcPr>
          <w:p w:rsidR="00794691" w:rsidRPr="0048558B" w:rsidRDefault="00E56F9A" w:rsidP="0049275E">
            <w:pPr>
              <w:ind w:firstLine="567"/>
              <w:rPr>
                <w:b/>
                <w:noProof/>
                <w:shd w:val="clear" w:color="auto" w:fill="FFFFFF"/>
              </w:rPr>
            </w:pPr>
            <w:r>
              <w:rPr>
                <w:b/>
                <w:noProof/>
                <w:shd w:val="clear" w:color="auto" w:fill="FFFFFF"/>
              </w:rPr>
              <w:t>0,00</w:t>
            </w:r>
          </w:p>
        </w:tc>
        <w:tc>
          <w:tcPr>
            <w:tcW w:w="2635" w:type="dxa"/>
          </w:tcPr>
          <w:p w:rsidR="00794691" w:rsidRPr="0048558B" w:rsidRDefault="00794691" w:rsidP="0049275E">
            <w:pPr>
              <w:ind w:firstLine="567"/>
              <w:rPr>
                <w:b/>
                <w:noProof/>
                <w:shd w:val="clear" w:color="auto" w:fill="FFFFFF"/>
              </w:rPr>
            </w:pPr>
          </w:p>
        </w:tc>
      </w:tr>
    </w:tbl>
    <w:p w:rsidR="00794691" w:rsidRPr="00794691" w:rsidRDefault="00794691" w:rsidP="0049275E">
      <w:pPr>
        <w:tabs>
          <w:tab w:val="left" w:pos="540"/>
        </w:tabs>
        <w:ind w:firstLine="567"/>
        <w:rPr>
          <w:b/>
          <w:bCs/>
          <w:szCs w:val="24"/>
          <w:lang w:eastAsia="lt-LT"/>
        </w:rPr>
      </w:pPr>
    </w:p>
    <w:p w:rsidR="00506AC5" w:rsidRPr="00794691" w:rsidRDefault="00794691" w:rsidP="0049275E">
      <w:pPr>
        <w:tabs>
          <w:tab w:val="left" w:pos="540"/>
        </w:tabs>
        <w:ind w:left="540"/>
        <w:rPr>
          <w:szCs w:val="24"/>
          <w:lang w:eastAsia="lt-LT"/>
        </w:rPr>
      </w:pPr>
      <w:r>
        <w:rPr>
          <w:noProof/>
          <w:shd w:val="clear" w:color="auto" w:fill="FFFFFF"/>
        </w:rPr>
        <w:t>4.</w:t>
      </w:r>
      <w:r w:rsidRPr="00794691">
        <w:rPr>
          <w:noProof/>
          <w:shd w:val="clear" w:color="auto" w:fill="FFFFFF"/>
        </w:rPr>
        <w:t xml:space="preserve">Praėjusiais metais nepanaudotas lėšų likutis, kuris ataskaitiniais metais buvo įskaitytas kaip gauti asignavimai, sudarė 1828,23 Eur. Pajamos už paslaugas 5SB(SP1)LL – 1658,23 Eur. Pajamos už ilgalaikio ir trumpalaikio materialiojo turto nuoma 5SB(SP3)LL – 170,00 Eur. </w:t>
      </w:r>
    </w:p>
    <w:p w:rsidR="00960A71" w:rsidRPr="00031AF5" w:rsidRDefault="00960A71" w:rsidP="0049275E">
      <w:pPr>
        <w:ind w:left="540"/>
        <w:rPr>
          <w:noProof/>
        </w:rPr>
      </w:pPr>
      <w:r>
        <w:rPr>
          <w:noProof/>
        </w:rPr>
        <w:t xml:space="preserve">5.Panevėžio rajono Smilgių kultūros centras neturi išlaidų </w:t>
      </w:r>
      <w:r w:rsidRPr="00031AF5">
        <w:rPr>
          <w:noProof/>
        </w:rPr>
        <w:t>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rsidR="00506AC5" w:rsidRDefault="00506AC5" w:rsidP="0049275E">
      <w:pPr>
        <w:tabs>
          <w:tab w:val="left" w:pos="540"/>
          <w:tab w:val="left" w:pos="851"/>
        </w:tabs>
        <w:ind w:firstLine="567"/>
        <w:rPr>
          <w:iCs/>
          <w:szCs w:val="24"/>
          <w:lang w:eastAsia="lt-LT"/>
        </w:rPr>
      </w:pPr>
    </w:p>
    <w:p w:rsidR="00506AC5" w:rsidRDefault="00506AC5" w:rsidP="00506AC5">
      <w:pPr>
        <w:tabs>
          <w:tab w:val="left" w:pos="851"/>
        </w:tabs>
        <w:jc w:val="both"/>
        <w:rPr>
          <w:b/>
          <w:caps/>
          <w:szCs w:val="24"/>
          <w:lang w:eastAsia="lt-LT"/>
        </w:rPr>
      </w:pPr>
    </w:p>
    <w:p w:rsidR="00506AC5" w:rsidRDefault="00506AC5" w:rsidP="00506AC5">
      <w:pPr>
        <w:tabs>
          <w:tab w:val="left" w:pos="851"/>
        </w:tabs>
        <w:jc w:val="both"/>
        <w:rPr>
          <w:b/>
          <w:caps/>
          <w:szCs w:val="24"/>
          <w:lang w:eastAsia="lt-LT"/>
        </w:rPr>
      </w:pPr>
    </w:p>
    <w:p w:rsidR="00506AC5" w:rsidRPr="00EC0B72" w:rsidRDefault="00506AC5" w:rsidP="00506AC5">
      <w:pPr>
        <w:rPr>
          <w:lang w:eastAsia="lt-LT"/>
        </w:rPr>
      </w:pPr>
      <w:r w:rsidRPr="00EC0B72">
        <w:rPr>
          <w:lang w:eastAsia="lt-LT"/>
        </w:rPr>
        <w:t>Direktorė</w:t>
      </w:r>
      <w:r w:rsidR="00EC0B72">
        <w:rPr>
          <w:lang w:eastAsia="lt-LT"/>
        </w:rPr>
        <w:t xml:space="preserve">                                                                                               Lina Narkevičienė</w:t>
      </w:r>
    </w:p>
    <w:p w:rsidR="00506AC5" w:rsidRDefault="00506AC5" w:rsidP="00506AC5">
      <w:pPr>
        <w:rPr>
          <w:lang w:eastAsia="lt-LT"/>
        </w:rPr>
      </w:pPr>
      <w:r>
        <w:rPr>
          <w:lang w:eastAsia="lt-LT"/>
        </w:rPr>
        <w:tab/>
      </w:r>
    </w:p>
    <w:p w:rsidR="00506AC5" w:rsidRDefault="00506AC5" w:rsidP="00506AC5">
      <w:pPr>
        <w:tabs>
          <w:tab w:val="left" w:pos="851"/>
        </w:tabs>
        <w:ind w:firstLine="3781"/>
        <w:jc w:val="both"/>
        <w:rPr>
          <w:sz w:val="20"/>
          <w:lang w:eastAsia="lt-LT"/>
        </w:rPr>
      </w:pPr>
      <w:r>
        <w:rPr>
          <w:sz w:val="20"/>
          <w:lang w:eastAsia="lt-LT"/>
        </w:rPr>
        <w:tab/>
      </w:r>
    </w:p>
    <w:p w:rsidR="00506AC5" w:rsidRPr="00EC0B72" w:rsidRDefault="00506AC5" w:rsidP="00506AC5">
      <w:pPr>
        <w:rPr>
          <w:lang w:eastAsia="lt-LT"/>
        </w:rPr>
      </w:pPr>
      <w:r w:rsidRPr="00EC0B72">
        <w:rPr>
          <w:lang w:eastAsia="lt-LT"/>
        </w:rPr>
        <w:t>Vyr. buhalterė</w:t>
      </w:r>
      <w:r w:rsidR="00EC0B72">
        <w:rPr>
          <w:lang w:eastAsia="lt-LT"/>
        </w:rPr>
        <w:t xml:space="preserve">                                                                                       Jolanta </w:t>
      </w:r>
      <w:proofErr w:type="spellStart"/>
      <w:r w:rsidR="00EC0B72">
        <w:rPr>
          <w:lang w:eastAsia="lt-LT"/>
        </w:rPr>
        <w:t>Rubienė</w:t>
      </w:r>
      <w:proofErr w:type="spellEnd"/>
    </w:p>
    <w:p w:rsidR="00506AC5" w:rsidRDefault="00506AC5" w:rsidP="00506AC5">
      <w:pPr>
        <w:rPr>
          <w:caps/>
          <w:lang w:eastAsia="lt-LT"/>
        </w:rPr>
      </w:pPr>
    </w:p>
    <w:p w:rsidR="00506AC5" w:rsidRDefault="00506AC5" w:rsidP="00506AC5">
      <w:pPr>
        <w:tabs>
          <w:tab w:val="left" w:pos="851"/>
        </w:tabs>
        <w:ind w:firstLine="3781"/>
        <w:jc w:val="both"/>
        <w:rPr>
          <w:sz w:val="20"/>
          <w:lang w:eastAsia="lt-LT"/>
        </w:rPr>
      </w:pPr>
      <w:r>
        <w:rPr>
          <w:sz w:val="20"/>
          <w:lang w:eastAsia="lt-LT"/>
        </w:rPr>
        <w:tab/>
      </w:r>
    </w:p>
    <w:p w:rsidR="00506AC5" w:rsidRDefault="00506AC5" w:rsidP="00506AC5">
      <w:pPr>
        <w:tabs>
          <w:tab w:val="left" w:pos="540"/>
          <w:tab w:val="left" w:pos="851"/>
        </w:tabs>
        <w:ind w:left="567"/>
        <w:jc w:val="both"/>
        <w:rPr>
          <w:b/>
          <w:caps/>
          <w:szCs w:val="24"/>
          <w:lang w:eastAsia="lt-LT"/>
        </w:rPr>
      </w:pPr>
    </w:p>
    <w:p w:rsidR="00506AC5" w:rsidRDefault="00506AC5" w:rsidP="00506AC5">
      <w:pPr>
        <w:tabs>
          <w:tab w:val="left" w:pos="426"/>
        </w:tabs>
        <w:rPr>
          <w:b/>
          <w:szCs w:val="24"/>
          <w:lang w:eastAsia="lt-LT"/>
        </w:rPr>
      </w:pPr>
    </w:p>
    <w:sectPr w:rsidR="00506AC5" w:rsidSect="008F2928">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5E1" w:rsidRDefault="007425E1">
      <w:pPr>
        <w:rPr>
          <w:color w:val="000000"/>
          <w:szCs w:val="24"/>
          <w:lang w:eastAsia="lt-LT"/>
        </w:rPr>
      </w:pPr>
      <w:r>
        <w:rPr>
          <w:color w:val="000000"/>
          <w:szCs w:val="24"/>
          <w:lang w:eastAsia="lt-LT"/>
        </w:rPr>
        <w:separator/>
      </w:r>
    </w:p>
  </w:endnote>
  <w:endnote w:type="continuationSeparator" w:id="0">
    <w:p w:rsidR="007425E1" w:rsidRDefault="007425E1">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tabs>
        <w:tab w:val="center" w:pos="4986"/>
        <w:tab w:val="right" w:pos="9972"/>
      </w:tabs>
      <w:rPr>
        <w:color w:val="00000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tabs>
        <w:tab w:val="center" w:pos="4986"/>
        <w:tab w:val="right" w:pos="9972"/>
      </w:tabs>
      <w:rPr>
        <w:color w:val="00000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5E1" w:rsidRDefault="007425E1">
      <w:pPr>
        <w:rPr>
          <w:color w:val="000000"/>
          <w:szCs w:val="24"/>
          <w:lang w:eastAsia="lt-LT"/>
        </w:rPr>
      </w:pPr>
      <w:r>
        <w:rPr>
          <w:color w:val="000000"/>
          <w:szCs w:val="24"/>
          <w:lang w:eastAsia="lt-LT"/>
        </w:rPr>
        <w:separator/>
      </w:r>
    </w:p>
  </w:footnote>
  <w:footnote w:type="continuationSeparator" w:id="0">
    <w:p w:rsidR="007425E1" w:rsidRDefault="007425E1">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sidR="00C66624">
      <w:rPr>
        <w:color w:val="000000"/>
        <w:szCs w:val="24"/>
        <w:lang w:eastAsia="lt-LT"/>
      </w:rPr>
      <w:instrText xml:space="preserve">PAGE  </w:instrText>
    </w:r>
    <w:r>
      <w:rPr>
        <w:color w:val="000000"/>
        <w:szCs w:val="24"/>
        <w:lang w:eastAsia="lt-LT"/>
      </w:rPr>
      <w:fldChar w:fldCharType="end"/>
    </w:r>
  </w:p>
  <w:p w:rsidR="008F2928" w:rsidRDefault="008F2928">
    <w:pPr>
      <w:tabs>
        <w:tab w:val="center" w:pos="4819"/>
        <w:tab w:val="right" w:pos="9638"/>
      </w:tabs>
      <w:rPr>
        <w:color w:val="00000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sidR="00C66624">
      <w:rPr>
        <w:color w:val="000000"/>
        <w:szCs w:val="24"/>
        <w:lang w:eastAsia="lt-LT"/>
      </w:rPr>
      <w:instrText xml:space="preserve">PAGE  </w:instrText>
    </w:r>
    <w:r>
      <w:rPr>
        <w:color w:val="000000"/>
        <w:szCs w:val="24"/>
        <w:lang w:eastAsia="lt-LT"/>
      </w:rPr>
      <w:fldChar w:fldCharType="separate"/>
    </w:r>
    <w:r w:rsidR="00E6324C">
      <w:rPr>
        <w:noProof/>
        <w:color w:val="000000"/>
        <w:szCs w:val="24"/>
        <w:lang w:eastAsia="lt-LT"/>
      </w:rPr>
      <w:t>2</w:t>
    </w:r>
    <w:r>
      <w:rPr>
        <w:color w:val="000000"/>
        <w:szCs w:val="24"/>
        <w:lang w:eastAsia="lt-LT"/>
      </w:rPr>
      <w:fldChar w:fldCharType="end"/>
    </w:r>
  </w:p>
  <w:p w:rsidR="008F2928" w:rsidRDefault="008F2928">
    <w:pPr>
      <w:tabs>
        <w:tab w:val="center" w:pos="4819"/>
        <w:tab w:val="right" w:pos="9638"/>
      </w:tabs>
      <w:rPr>
        <w:color w:val="00000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Default="008F292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608"/>
    <w:multiLevelType w:val="multilevel"/>
    <w:tmpl w:val="336640FE"/>
    <w:lvl w:ilvl="0">
      <w:start w:val="1"/>
      <w:numFmt w:val="decimal"/>
      <w:lvlText w:val="%1."/>
      <w:lvlJc w:val="left"/>
      <w:pPr>
        <w:tabs>
          <w:tab w:val="num" w:pos="1800"/>
        </w:tabs>
        <w:ind w:left="2041" w:hanging="907"/>
      </w:pPr>
      <w:rPr>
        <w:rFonts w:hint="default"/>
        <w:i w:val="0"/>
      </w:rPr>
    </w:lvl>
    <w:lvl w:ilvl="1">
      <w:start w:val="1"/>
      <w:numFmt w:val="decimal"/>
      <w:lvlText w:val="%1.%2."/>
      <w:lvlJc w:val="left"/>
      <w:pPr>
        <w:tabs>
          <w:tab w:val="num" w:pos="2701"/>
        </w:tabs>
        <w:ind w:left="1134" w:firstLine="0"/>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5E89724B"/>
    <w:multiLevelType w:val="hybridMultilevel"/>
    <w:tmpl w:val="DFC0888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lvl w:ilvl="0">
        <w:start w:val="1"/>
        <w:numFmt w:val="decimal"/>
        <w:lvlText w:val="%1."/>
        <w:lvlJc w:val="left"/>
        <w:pPr>
          <w:tabs>
            <w:tab w:val="num" w:pos="57"/>
          </w:tabs>
          <w:ind w:left="284" w:firstLine="0"/>
        </w:pPr>
        <w:rPr>
          <w:rFonts w:hint="default"/>
          <w:b w:val="0"/>
          <w:i w:val="0"/>
        </w:rPr>
      </w:lvl>
    </w:lvlOverride>
    <w:lvlOverride w:ilvl="1">
      <w:lvl w:ilvl="1">
        <w:start w:val="1"/>
        <w:numFmt w:val="decimal"/>
        <w:lvlText w:val="%1.%2."/>
        <w:lvlJc w:val="left"/>
        <w:pPr>
          <w:tabs>
            <w:tab w:val="num" w:pos="2701"/>
          </w:tabs>
          <w:ind w:left="2701" w:hanging="432"/>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
    <w:abstractNumId w:val="0"/>
    <w:lvlOverride w:ilvl="0">
      <w:lvl w:ilvl="0">
        <w:start w:val="1"/>
        <w:numFmt w:val="decimal"/>
        <w:lvlText w:val="%1."/>
        <w:lvlJc w:val="left"/>
        <w:pPr>
          <w:tabs>
            <w:tab w:val="num" w:pos="1800"/>
          </w:tabs>
          <w:ind w:left="2041" w:hanging="907"/>
        </w:pPr>
        <w:rPr>
          <w:rFonts w:hint="default"/>
          <w:i w:val="0"/>
        </w:rPr>
      </w:lvl>
    </w:lvlOverride>
    <w:lvlOverride w:ilvl="1">
      <w:lvl w:ilvl="1">
        <w:start w:val="1"/>
        <w:numFmt w:val="decimal"/>
        <w:lvlText w:val="%1.%2."/>
        <w:lvlJc w:val="left"/>
        <w:pPr>
          <w:tabs>
            <w:tab w:val="num" w:pos="2701"/>
          </w:tabs>
          <w:ind w:left="1134" w:firstLine="0"/>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5A"/>
    <w:rsid w:val="000074BC"/>
    <w:rsid w:val="00025856"/>
    <w:rsid w:val="000605F3"/>
    <w:rsid w:val="00084D0F"/>
    <w:rsid w:val="000C589E"/>
    <w:rsid w:val="001343C0"/>
    <w:rsid w:val="00137867"/>
    <w:rsid w:val="00180A03"/>
    <w:rsid w:val="001E094A"/>
    <w:rsid w:val="001F6C9E"/>
    <w:rsid w:val="002753A5"/>
    <w:rsid w:val="003336D2"/>
    <w:rsid w:val="00362FAC"/>
    <w:rsid w:val="003E3E2D"/>
    <w:rsid w:val="0040413E"/>
    <w:rsid w:val="004513F2"/>
    <w:rsid w:val="0049275E"/>
    <w:rsid w:val="004E0CFC"/>
    <w:rsid w:val="004F4025"/>
    <w:rsid w:val="00506AC5"/>
    <w:rsid w:val="006A57D3"/>
    <w:rsid w:val="006C4A04"/>
    <w:rsid w:val="006C58AE"/>
    <w:rsid w:val="007425E1"/>
    <w:rsid w:val="00794691"/>
    <w:rsid w:val="007D12E7"/>
    <w:rsid w:val="00851E16"/>
    <w:rsid w:val="008A72B7"/>
    <w:rsid w:val="008D3E8A"/>
    <w:rsid w:val="008F2928"/>
    <w:rsid w:val="00906273"/>
    <w:rsid w:val="00946D08"/>
    <w:rsid w:val="00960A71"/>
    <w:rsid w:val="0097459F"/>
    <w:rsid w:val="00B0699F"/>
    <w:rsid w:val="00B51B89"/>
    <w:rsid w:val="00B84F24"/>
    <w:rsid w:val="00BA4878"/>
    <w:rsid w:val="00C029F7"/>
    <w:rsid w:val="00C66624"/>
    <w:rsid w:val="00C821C3"/>
    <w:rsid w:val="00CC647B"/>
    <w:rsid w:val="00D1435A"/>
    <w:rsid w:val="00D17797"/>
    <w:rsid w:val="00D876FE"/>
    <w:rsid w:val="00E56F9A"/>
    <w:rsid w:val="00E6324C"/>
    <w:rsid w:val="00E942A4"/>
    <w:rsid w:val="00EC0B72"/>
    <w:rsid w:val="00EC647B"/>
    <w:rsid w:val="00EF710C"/>
    <w:rsid w:val="00F26CAC"/>
    <w:rsid w:val="00F430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19D9AA-85A9-4CA7-A352-107AC44B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A57D3"/>
    <w:rPr>
      <w:rFonts w:ascii="Segoe UI" w:hAnsi="Segoe UI" w:cs="Segoe UI"/>
      <w:sz w:val="18"/>
      <w:szCs w:val="18"/>
    </w:rPr>
  </w:style>
  <w:style w:type="character" w:customStyle="1" w:styleId="BalloonTextChar">
    <w:name w:val="Balloon Text Char"/>
    <w:basedOn w:val="DefaultParagraphFont"/>
    <w:link w:val="BalloonText"/>
    <w:semiHidden/>
    <w:rsid w:val="006A57D3"/>
    <w:rPr>
      <w:rFonts w:ascii="Segoe UI" w:hAnsi="Segoe UI" w:cs="Segoe UI"/>
      <w:sz w:val="18"/>
      <w:szCs w:val="18"/>
    </w:rPr>
  </w:style>
  <w:style w:type="paragraph" w:styleId="ListParagraph">
    <w:name w:val="List Paragraph"/>
    <w:basedOn w:val="Normal"/>
    <w:uiPriority w:val="34"/>
    <w:qFormat/>
    <w:rsid w:val="00794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385223210">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B9ED-8910-4398-B13A-90D75CB3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FM</Company>
  <LinksUpToDate>false</LinksUpToDate>
  <CharactersWithSpaces>4338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adminas</cp:lastModifiedBy>
  <cp:revision>2</cp:revision>
  <cp:lastPrinted>2025-10-10T06:01:00Z</cp:lastPrinted>
  <dcterms:created xsi:type="dcterms:W3CDTF">2026-02-24T12:01:00Z</dcterms:created>
  <dcterms:modified xsi:type="dcterms:W3CDTF">2026-02-24T12:01:00Z</dcterms:modified>
</cp:coreProperties>
</file>