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A424" w14:textId="6D5A938D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14:paraId="7F66AE6C" w14:textId="77777777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14:paraId="213E7207" w14:textId="03D0AB8C" w:rsidR="00204B30" w:rsidRDefault="008C4727" w:rsidP="00EF6185">
      <w:pPr>
        <w:shd w:val="clear" w:color="auto" w:fill="FFFFFF"/>
        <w:ind w:left="4320" w:firstLine="720"/>
        <w:rPr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  <w:r w:rsidR="00A62135">
        <w:rPr>
          <w:color w:val="222222"/>
          <w:szCs w:val="24"/>
          <w:lang w:eastAsia="lt-LT"/>
        </w:rPr>
        <w:t>104</w:t>
      </w:r>
      <w:bookmarkStart w:id="0" w:name="_GoBack"/>
      <w:bookmarkEnd w:id="0"/>
    </w:p>
    <w:p w14:paraId="1155C334" w14:textId="77777777" w:rsidR="00627FDD" w:rsidRPr="00204B30" w:rsidRDefault="00627FDD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</w:p>
    <w:p w14:paraId="76BD75E2" w14:textId="7EF7B801"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5554A3BC" w14:textId="4860F8EE" w:rsidR="003C6307" w:rsidRDefault="00A3418D" w:rsidP="003C6307">
      <w:pPr>
        <w:tabs>
          <w:tab w:val="left" w:pos="14656"/>
        </w:tabs>
        <w:jc w:val="center"/>
        <w:rPr>
          <w:rStyle w:val="fontstyle01"/>
          <w:b/>
          <w:bCs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 xml:space="preserve">EVĖŽIO R. </w:t>
      </w:r>
      <w:r w:rsidR="00574304">
        <w:rPr>
          <w:rStyle w:val="fontstyle01"/>
          <w:b/>
          <w:bCs/>
        </w:rPr>
        <w:t>PAŽAGIENIŲ MOKYKLA-DARŽELIS</w:t>
      </w:r>
    </w:p>
    <w:p w14:paraId="38050B47" w14:textId="77777777" w:rsidR="00D010DF" w:rsidRPr="00A3418D" w:rsidRDefault="00D010DF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</w:p>
    <w:p w14:paraId="1516FF45" w14:textId="09895335"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14:paraId="6F9DED21" w14:textId="77777777"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14:paraId="2E4BBE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2AC8C297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574304" w:rsidRPr="00DA4C2F" w14:paraId="5DF3C539" w14:textId="77777777" w:rsidTr="00574304">
        <w:trPr>
          <w:jc w:val="center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1FE" w14:textId="77777777" w:rsidR="00574304" w:rsidRPr="004D3716" w:rsidRDefault="00574304" w:rsidP="00574304">
            <w:pPr>
              <w:tabs>
                <w:tab w:val="left" w:pos="851"/>
              </w:tabs>
              <w:spacing w:line="259" w:lineRule="auto"/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 xml:space="preserve">Įgyvendinant 2022 metų veiklos planą buvo siekiama strateginių tikslų. </w:t>
            </w:r>
            <w:r w:rsidRPr="004D3716">
              <w:rPr>
                <w:szCs w:val="24"/>
              </w:rPr>
              <w:br/>
              <w:t xml:space="preserve">Siekiant </w:t>
            </w:r>
            <w:r w:rsidRPr="004D3716">
              <w:rPr>
                <w:bCs/>
                <w:szCs w:val="24"/>
              </w:rPr>
              <w:t>užtikrinti kiekvieno mokinio mokymo(</w:t>
            </w:r>
            <w:proofErr w:type="spellStart"/>
            <w:r w:rsidRPr="004D3716">
              <w:rPr>
                <w:bCs/>
                <w:szCs w:val="24"/>
              </w:rPr>
              <w:t>si</w:t>
            </w:r>
            <w:proofErr w:type="spellEnd"/>
            <w:r w:rsidRPr="004D3716">
              <w:rPr>
                <w:bCs/>
                <w:szCs w:val="24"/>
              </w:rPr>
              <w:t xml:space="preserve">) sėkmę </w:t>
            </w:r>
            <w:r w:rsidRPr="004D3716">
              <w:rPr>
                <w:szCs w:val="24"/>
              </w:rPr>
              <w:t xml:space="preserve">buvo </w:t>
            </w:r>
            <w:r w:rsidRPr="004D3716">
              <w:rPr>
                <w:szCs w:val="24"/>
                <w:shd w:val="clear" w:color="auto" w:fill="FFFFFF"/>
              </w:rPr>
              <w:t xml:space="preserve">stiprinamas mokyklos mokinių individualios pažangos ir pasiekimų vertinimas bei įsivertinimas, </w:t>
            </w:r>
            <w:r w:rsidRPr="004D3716">
              <w:rPr>
                <w:szCs w:val="24"/>
              </w:rPr>
              <w:t xml:space="preserve">atnaujintas </w:t>
            </w:r>
            <w:r w:rsidRPr="004D3716">
              <w:rPr>
                <w:szCs w:val="24"/>
                <w:shd w:val="clear" w:color="auto" w:fill="FFFFFF"/>
              </w:rPr>
              <w:t xml:space="preserve">mokinių individualios pažangos ir pasiekimų vertinimo tvarkos aprašas. Vyko mokytojo ir tėvų </w:t>
            </w:r>
            <w:r w:rsidRPr="004D3716">
              <w:rPr>
                <w:szCs w:val="24"/>
              </w:rPr>
              <w:t xml:space="preserve">individualūs pokalbiai su kiekvienu mokiniu ir padėjo vaikui įsivertinti mokymosi pasiekimus, elgesio ir pastangų rezultatus. </w:t>
            </w:r>
          </w:p>
          <w:p w14:paraId="6DE0C6EB" w14:textId="77777777" w:rsidR="00574304" w:rsidRPr="00C31D64" w:rsidRDefault="00574304" w:rsidP="00574304">
            <w:pPr>
              <w:ind w:firstLine="851"/>
              <w:jc w:val="both"/>
              <w:rPr>
                <w:szCs w:val="24"/>
                <w:shd w:val="clear" w:color="auto" w:fill="FFFFFF"/>
              </w:rPr>
            </w:pPr>
            <w:r w:rsidRPr="004D3716">
              <w:rPr>
                <w:szCs w:val="24"/>
                <w:shd w:val="clear" w:color="auto" w:fill="FFFFFF"/>
              </w:rPr>
              <w:t xml:space="preserve">Siekiant tinkamai </w:t>
            </w:r>
            <w:r w:rsidRPr="004D3716">
              <w:rPr>
                <w:bCs/>
                <w:szCs w:val="24"/>
                <w:shd w:val="clear" w:color="auto" w:fill="FFFFFF"/>
              </w:rPr>
              <w:t xml:space="preserve">pasiruošti ugdymo turinio </w:t>
            </w:r>
            <w:r w:rsidRPr="004D3716">
              <w:rPr>
                <w:bCs/>
                <w:szCs w:val="24"/>
              </w:rPr>
              <w:t xml:space="preserve">atnaujinimo (UTA) </w:t>
            </w:r>
            <w:r w:rsidRPr="004D3716">
              <w:rPr>
                <w:bCs/>
                <w:szCs w:val="24"/>
                <w:shd w:val="clear" w:color="auto" w:fill="FFFFFF"/>
              </w:rPr>
              <w:t xml:space="preserve">įgyvendinimui, mokyklos-darželio administracija ir mokytojų atstovai </w:t>
            </w:r>
            <w:r w:rsidRPr="004D3716">
              <w:rPr>
                <w:szCs w:val="24"/>
                <w:shd w:val="clear" w:color="auto" w:fill="FFFFFF"/>
              </w:rPr>
              <w:t>dalyvavo Švietimo, kultūros, mokslo ir sporto ministerijos inicijuotuose ilgalaikiuose mokymuose, suformavo UTA komandą, parengė  UTA įgyvendinimo veikos planą 2022</w:t>
            </w:r>
            <w:r>
              <w:rPr>
                <w:szCs w:val="24"/>
                <w:shd w:val="clear" w:color="auto" w:fill="FFFFFF"/>
              </w:rPr>
              <w:t>–</w:t>
            </w:r>
            <w:r w:rsidRPr="004D3716">
              <w:rPr>
                <w:szCs w:val="24"/>
                <w:shd w:val="clear" w:color="auto" w:fill="FFFFFF"/>
              </w:rPr>
              <w:t>2023 m.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4D3716">
              <w:rPr>
                <w:szCs w:val="24"/>
                <w:shd w:val="clear" w:color="auto" w:fill="FFFFFF"/>
              </w:rPr>
              <w:t xml:space="preserve">m. Mokytojų UTA įsivertinimas parodė, kokių priemonių ir pagalbos </w:t>
            </w:r>
            <w:r w:rsidRPr="004D3716">
              <w:rPr>
                <w:szCs w:val="24"/>
              </w:rPr>
              <w:t>reikia. Mokytojų atstovai dalyvauja ilgalaikėse kvalifikacijos tobulinimo programose padedančiose pasirengti UTA įgyvendinimui. Priešmokyklinio ugdymo (PU) mokytoja sėkmingai pradėjo dirbti pagal atnaujintą PU programą. Atsižvelgiant į programos pokyčius, buvo atnaujintas PU tvarkos aprašas.</w:t>
            </w:r>
          </w:p>
          <w:p w14:paraId="633C29EB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  <w:shd w:val="clear" w:color="auto" w:fill="FFFFFF"/>
              </w:rPr>
              <w:t xml:space="preserve">Papildant formalųjį švietimą, startavo pilotinis </w:t>
            </w:r>
            <w:r w:rsidRPr="004D3716">
              <w:rPr>
                <w:bCs/>
                <w:szCs w:val="24"/>
                <w:shd w:val="clear" w:color="auto" w:fill="FFFFFF"/>
              </w:rPr>
              <w:t>neformaliojo vaikų švietimo projekto</w:t>
            </w:r>
            <w:r w:rsidRPr="004D3716">
              <w:rPr>
                <w:szCs w:val="24"/>
                <w:shd w:val="clear" w:color="auto" w:fill="FFFFFF"/>
              </w:rPr>
              <w:t xml:space="preserve"> 4K modelis, kuris yra įrankis </w:t>
            </w:r>
            <w:r w:rsidRPr="004D3716">
              <w:rPr>
                <w:szCs w:val="24"/>
              </w:rPr>
              <w:t xml:space="preserve">mokinių įgytoms kompetencijoms ugdyti, vertinti ir pripažinti. </w:t>
            </w:r>
          </w:p>
          <w:p w14:paraId="162102A7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 xml:space="preserve">Nuo rugsėjo mėn. mokiniams švietimo pagalbą pradėjo teikti socialinė pedagogė, nuo lapkričio mėn. </w:t>
            </w:r>
            <w:r>
              <w:rPr>
                <w:szCs w:val="24"/>
              </w:rPr>
              <w:t>–</w:t>
            </w:r>
            <w:r w:rsidRPr="004D3716">
              <w:rPr>
                <w:szCs w:val="24"/>
              </w:rPr>
              <w:t xml:space="preserve"> karjeros specialistė.</w:t>
            </w:r>
          </w:p>
          <w:p w14:paraId="0B6F71D3" w14:textId="77777777" w:rsidR="00574304" w:rsidRPr="004D3716" w:rsidRDefault="00574304" w:rsidP="00574304">
            <w:pPr>
              <w:ind w:firstLine="851"/>
              <w:jc w:val="both"/>
              <w:rPr>
                <w:szCs w:val="24"/>
                <w:shd w:val="clear" w:color="auto" w:fill="FFFFFF"/>
              </w:rPr>
            </w:pPr>
            <w:r w:rsidRPr="004D3716">
              <w:rPr>
                <w:bCs/>
                <w:szCs w:val="24"/>
              </w:rPr>
              <w:t xml:space="preserve">Išpildant kiekvieno mokinio poreikius, optimaliai yra plėtojamas </w:t>
            </w:r>
            <w:proofErr w:type="spellStart"/>
            <w:r w:rsidRPr="004D3716">
              <w:rPr>
                <w:bCs/>
                <w:szCs w:val="24"/>
                <w:shd w:val="clear" w:color="auto" w:fill="FFFFFF"/>
              </w:rPr>
              <w:t>įtraukusis</w:t>
            </w:r>
            <w:proofErr w:type="spellEnd"/>
            <w:r w:rsidRPr="004D3716">
              <w:rPr>
                <w:bCs/>
                <w:szCs w:val="24"/>
                <w:shd w:val="clear" w:color="auto" w:fill="FFFFFF"/>
              </w:rPr>
              <w:t xml:space="preserve"> ugdymas. </w:t>
            </w:r>
            <w:r w:rsidRPr="004D3716">
              <w:rPr>
                <w:szCs w:val="24"/>
                <w:shd w:val="clear" w:color="auto" w:fill="FFFFFF"/>
              </w:rPr>
              <w:t>Užtikrinant</w:t>
            </w:r>
            <w:r w:rsidRPr="004D3716">
              <w:rPr>
                <w:szCs w:val="24"/>
              </w:rPr>
              <w:t xml:space="preserve"> vaikų ir mokinių fizinio aktyvumo ir sveikos gyvensenos reikmes, vaikai dalyvavo respublikiniame projekte „</w:t>
            </w:r>
            <w:r w:rsidRPr="004D3716">
              <w:rPr>
                <w:szCs w:val="24"/>
                <w:shd w:val="clear" w:color="auto" w:fill="FFFFFF"/>
              </w:rPr>
              <w:t xml:space="preserve">Lietuvos mažųjų žaidynės“ ir įgyvendino sportines veiklas tiek vieni mokykloje, tiek pasikvietę kitų rajono įstaigų vaikus. </w:t>
            </w:r>
            <w:r w:rsidRPr="004D3716">
              <w:rPr>
                <w:szCs w:val="24"/>
              </w:rPr>
              <w:t xml:space="preserve">Buvo parengtos paraiškos ir gautas finansavimas </w:t>
            </w:r>
            <w:r w:rsidRPr="004D3716">
              <w:rPr>
                <w:szCs w:val="24"/>
                <w:shd w:val="clear" w:color="auto" w:fill="FFFFFF"/>
              </w:rPr>
              <w:t xml:space="preserve">projektams „Sveikatos keliu ženkime kartu“, </w:t>
            </w:r>
            <w:r w:rsidRPr="004D3716">
              <w:rPr>
                <w:szCs w:val="24"/>
              </w:rPr>
              <w:t>vasaros poilsio ir socializacijos  projektui „Vasaros spalvos“, nacionalinei Šviečiamosios gyvulininkystės programa. Projektinė veikla stiprino mokinių pažinimo, kūrybiškumo, komunikacijos kompetencijas. T</w:t>
            </w:r>
            <w:r w:rsidRPr="004D3716">
              <w:rPr>
                <w:szCs w:val="24"/>
                <w:shd w:val="clear" w:color="auto" w:fill="FFFFFF"/>
              </w:rPr>
              <w:t xml:space="preserve">arptautinio </w:t>
            </w:r>
            <w:r>
              <w:rPr>
                <w:szCs w:val="24"/>
                <w:shd w:val="clear" w:color="auto" w:fill="FFFFFF"/>
              </w:rPr>
              <w:t>„</w:t>
            </w:r>
            <w:r w:rsidRPr="004D3716">
              <w:rPr>
                <w:szCs w:val="24"/>
                <w:shd w:val="clear" w:color="auto" w:fill="FFFFFF"/>
              </w:rPr>
              <w:t>Erasmus+</w:t>
            </w:r>
            <w:r>
              <w:rPr>
                <w:szCs w:val="24"/>
                <w:shd w:val="clear" w:color="auto" w:fill="FFFFFF"/>
              </w:rPr>
              <w:t>“</w:t>
            </w:r>
            <w:r w:rsidRPr="004D3716">
              <w:rPr>
                <w:szCs w:val="24"/>
                <w:shd w:val="clear" w:color="auto" w:fill="FFFFFF"/>
              </w:rPr>
              <w:t xml:space="preserve"> KA1 programos projekto „Mokytojo lyderystė mokinio sėkmei“ metu penkios mokytojos profesinę kvalifikaciją apie ugdomąjį vadovavimą  tobulino mokymuose Italijoje. Taip pat mokiniai dalyvavo </w:t>
            </w:r>
            <w:r>
              <w:rPr>
                <w:szCs w:val="24"/>
                <w:shd w:val="clear" w:color="auto" w:fill="FFFFFF"/>
              </w:rPr>
              <w:t>„</w:t>
            </w:r>
            <w:r w:rsidRPr="004D3716">
              <w:rPr>
                <w:szCs w:val="24"/>
                <w:shd w:val="clear" w:color="auto" w:fill="FFFFFF"/>
              </w:rPr>
              <w:t>Erasmus+</w:t>
            </w:r>
            <w:r>
              <w:rPr>
                <w:szCs w:val="24"/>
                <w:shd w:val="clear" w:color="auto" w:fill="FFFFFF"/>
              </w:rPr>
              <w:t>“</w:t>
            </w:r>
            <w:r w:rsidRPr="004D3716">
              <w:rPr>
                <w:szCs w:val="24"/>
                <w:shd w:val="clear" w:color="auto" w:fill="FFFFFF"/>
              </w:rPr>
              <w:t xml:space="preserve"> KA3 projektuose „Judėjimas: mokykla be plastiko“ ir   „</w:t>
            </w:r>
            <w:proofErr w:type="spellStart"/>
            <w:r w:rsidRPr="004D3716">
              <w:rPr>
                <w:szCs w:val="24"/>
                <w:shd w:val="clear" w:color="auto" w:fill="FFFFFF"/>
              </w:rPr>
              <w:t>Robotika</w:t>
            </w:r>
            <w:proofErr w:type="spellEnd"/>
            <w:r w:rsidRPr="004D3716">
              <w:rPr>
                <w:szCs w:val="24"/>
                <w:shd w:val="clear" w:color="auto" w:fill="FFFFFF"/>
              </w:rPr>
              <w:t xml:space="preserve"> prieš patyčias – </w:t>
            </w:r>
            <w:proofErr w:type="spellStart"/>
            <w:r w:rsidRPr="004D3716">
              <w:rPr>
                <w:szCs w:val="24"/>
                <w:shd w:val="clear" w:color="auto" w:fill="FFFFFF"/>
              </w:rPr>
              <w:t>RoBy</w:t>
            </w:r>
            <w:proofErr w:type="spellEnd"/>
            <w:r w:rsidRPr="004D3716">
              <w:rPr>
                <w:szCs w:val="24"/>
              </w:rPr>
              <w:t xml:space="preserve">“. </w:t>
            </w:r>
          </w:p>
          <w:p w14:paraId="4D6E651F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 xml:space="preserve">Mokiniai savo patirtį, žinias ir bendrąsias kompetencijas išmėgino tarptautiniame konkurse „Kengūra 2022“. Visi 4 kl. mokiniai dalyvavo nacionaliniame mokinių pasiekimų patikrinime (NMPP). </w:t>
            </w:r>
          </w:p>
          <w:p w14:paraId="1F2A3C51" w14:textId="77777777" w:rsidR="00574304" w:rsidRPr="004D3716" w:rsidRDefault="00574304" w:rsidP="00574304">
            <w:pPr>
              <w:ind w:firstLine="851"/>
              <w:jc w:val="both"/>
              <w:rPr>
                <w:szCs w:val="24"/>
                <w:lang w:eastAsia="lt-LT"/>
              </w:rPr>
            </w:pPr>
            <w:r w:rsidRPr="004D3716">
              <w:rPr>
                <w:szCs w:val="24"/>
                <w:lang w:eastAsia="lt-LT"/>
              </w:rPr>
              <w:t xml:space="preserve">Mokytojų paruošti vaikai dalyvavo šalies ir rajono konkursuose, parodose, akcijose ir viktorinose. Devyniuose iš jų pelnė prizines vietas. </w:t>
            </w:r>
          </w:p>
          <w:p w14:paraId="3258B20A" w14:textId="77777777" w:rsidR="00574304" w:rsidRPr="004D3716" w:rsidRDefault="00574304" w:rsidP="00574304">
            <w:pPr>
              <w:ind w:firstLine="851"/>
              <w:jc w:val="both"/>
              <w:rPr>
                <w:szCs w:val="24"/>
                <w:lang w:eastAsia="lt-LT"/>
              </w:rPr>
            </w:pPr>
            <w:r w:rsidRPr="004D3716">
              <w:rPr>
                <w:szCs w:val="24"/>
              </w:rPr>
              <w:t>Bendradarbiaujant su socialiniais partneriais įgyvendintas sveikatos projektas „Renkuosi sveikai gyventi“, o</w:t>
            </w:r>
            <w:r w:rsidRPr="004D3716">
              <w:rPr>
                <w:szCs w:val="24"/>
                <w:lang w:eastAsia="lt-LT"/>
              </w:rPr>
              <w:t>rganizuota virtuali viktorina „Mano Lietuvėlė“, virtuali paroda „Aš ir mano seneliai“, organizuotas bendras trijų įstaigų (Velžio l</w:t>
            </w:r>
            <w:r>
              <w:rPr>
                <w:szCs w:val="24"/>
                <w:lang w:eastAsia="lt-LT"/>
              </w:rPr>
              <w:t>opšelio-darželio</w:t>
            </w:r>
            <w:r w:rsidRPr="004D3716">
              <w:rPr>
                <w:szCs w:val="24"/>
                <w:lang w:eastAsia="lt-LT"/>
              </w:rPr>
              <w:t xml:space="preserve">, Piniavos </w:t>
            </w:r>
            <w:proofErr w:type="spellStart"/>
            <w:r w:rsidRPr="004D3716">
              <w:rPr>
                <w:szCs w:val="24"/>
                <w:lang w:eastAsia="lt-LT"/>
              </w:rPr>
              <w:t>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proofErr w:type="spellEnd"/>
            <w:r w:rsidRPr="004D3716">
              <w:rPr>
                <w:szCs w:val="24"/>
                <w:lang w:eastAsia="lt-LT"/>
              </w:rPr>
              <w:t xml:space="preserve"> ir Pažagienių </w:t>
            </w:r>
            <w:proofErr w:type="spellStart"/>
            <w:r w:rsidRPr="004D3716">
              <w:rPr>
                <w:szCs w:val="24"/>
                <w:lang w:eastAsia="lt-LT"/>
              </w:rPr>
              <w:t>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proofErr w:type="spellEnd"/>
            <w:r w:rsidRPr="004D3716">
              <w:rPr>
                <w:szCs w:val="24"/>
                <w:lang w:eastAsia="lt-LT"/>
              </w:rPr>
              <w:t>) PU grupių vaikų renginys „</w:t>
            </w:r>
            <w:proofErr w:type="spellStart"/>
            <w:r w:rsidRPr="004D3716">
              <w:rPr>
                <w:szCs w:val="24"/>
                <w:lang w:eastAsia="lt-LT"/>
              </w:rPr>
              <w:t>PUGiukų</w:t>
            </w:r>
            <w:proofErr w:type="spellEnd"/>
            <w:r w:rsidRPr="004D3716">
              <w:rPr>
                <w:szCs w:val="24"/>
                <w:lang w:eastAsia="lt-LT"/>
              </w:rPr>
              <w:t xml:space="preserve">  sąskrydis“ ir Panevėžio r. švietimo įstaigų (Velžio l</w:t>
            </w:r>
            <w:r>
              <w:rPr>
                <w:szCs w:val="24"/>
                <w:lang w:eastAsia="lt-LT"/>
              </w:rPr>
              <w:t>opšelio-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r w:rsidRPr="004D3716">
              <w:rPr>
                <w:szCs w:val="24"/>
                <w:lang w:eastAsia="lt-LT"/>
              </w:rPr>
              <w:t xml:space="preserve">, Piniavos </w:t>
            </w:r>
            <w:proofErr w:type="spellStart"/>
            <w:r w:rsidRPr="004D3716">
              <w:rPr>
                <w:szCs w:val="24"/>
                <w:lang w:eastAsia="lt-LT"/>
              </w:rPr>
              <w:t>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proofErr w:type="spellEnd"/>
            <w:r w:rsidRPr="004D3716">
              <w:rPr>
                <w:szCs w:val="24"/>
                <w:lang w:eastAsia="lt-LT"/>
              </w:rPr>
              <w:t xml:space="preserve">, </w:t>
            </w:r>
            <w:proofErr w:type="spellStart"/>
            <w:r w:rsidRPr="004D3716">
              <w:rPr>
                <w:szCs w:val="24"/>
                <w:lang w:eastAsia="lt-LT"/>
              </w:rPr>
              <w:t>Dembavos</w:t>
            </w:r>
            <w:proofErr w:type="spellEnd"/>
            <w:r w:rsidRPr="004D3716">
              <w:rPr>
                <w:szCs w:val="24"/>
                <w:lang w:eastAsia="lt-LT"/>
              </w:rPr>
              <w:t xml:space="preserve"> l</w:t>
            </w:r>
            <w:r>
              <w:rPr>
                <w:szCs w:val="24"/>
                <w:lang w:eastAsia="lt-LT"/>
              </w:rPr>
              <w:t>opšelio-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r w:rsidRPr="004D3716">
              <w:rPr>
                <w:szCs w:val="24"/>
                <w:lang w:eastAsia="lt-LT"/>
              </w:rPr>
              <w:t xml:space="preserve"> ir Pažagienių m</w:t>
            </w:r>
            <w:r>
              <w:rPr>
                <w:szCs w:val="24"/>
                <w:lang w:eastAsia="lt-LT"/>
              </w:rPr>
              <w:t>okyklos-</w:t>
            </w:r>
            <w:r w:rsidRPr="004D3716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>arželio</w:t>
            </w:r>
            <w:r w:rsidRPr="004D3716">
              <w:rPr>
                <w:szCs w:val="24"/>
                <w:lang w:eastAsia="lt-LT"/>
              </w:rPr>
              <w:t>) kolektyvų darbuotojų renginys „Vasaros iškyla“.</w:t>
            </w:r>
          </w:p>
          <w:p w14:paraId="0FB2EF78" w14:textId="3888ED7E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bCs/>
                <w:szCs w:val="24"/>
              </w:rPr>
              <w:t>Organizu</w:t>
            </w:r>
            <w:r>
              <w:rPr>
                <w:bCs/>
                <w:szCs w:val="24"/>
              </w:rPr>
              <w:t>ojant</w:t>
            </w:r>
            <w:r w:rsidRPr="004D3716">
              <w:rPr>
                <w:bCs/>
                <w:szCs w:val="24"/>
              </w:rPr>
              <w:t xml:space="preserve"> bendruomenės švietimą įtraukiojo ugdymo sampratos stiprinimui</w:t>
            </w:r>
            <w:r>
              <w:rPr>
                <w:bCs/>
                <w:szCs w:val="24"/>
              </w:rPr>
              <w:t xml:space="preserve"> </w:t>
            </w:r>
            <w:r w:rsidRPr="004D3716">
              <w:rPr>
                <w:szCs w:val="24"/>
              </w:rPr>
              <w:t>mokytojams</w:t>
            </w:r>
            <w:r>
              <w:rPr>
                <w:bCs/>
                <w:szCs w:val="24"/>
              </w:rPr>
              <w:t xml:space="preserve"> v</w:t>
            </w:r>
            <w:r w:rsidRPr="004D3716">
              <w:rPr>
                <w:szCs w:val="24"/>
              </w:rPr>
              <w:t>yko mokymai „</w:t>
            </w:r>
            <w:proofErr w:type="spellStart"/>
            <w:r w:rsidRPr="004D3716">
              <w:rPr>
                <w:szCs w:val="24"/>
              </w:rPr>
              <w:t>Įtraukusis</w:t>
            </w:r>
            <w:proofErr w:type="spellEnd"/>
            <w:r w:rsidRPr="004D3716">
              <w:rPr>
                <w:szCs w:val="24"/>
              </w:rPr>
              <w:t xml:space="preserve"> ugdymas, taikant universalaus dizaino mokymuisi (UDM) prieigą“, </w:t>
            </w:r>
            <w:r w:rsidRPr="004D3716">
              <w:rPr>
                <w:szCs w:val="24"/>
              </w:rPr>
              <w:lastRenderedPageBreak/>
              <w:t xml:space="preserve">mokytojoms ir mokytojų padėjėjoms mokymai tema „Ką turėtume žinoti apie </w:t>
            </w:r>
            <w:proofErr w:type="spellStart"/>
            <w:r w:rsidRPr="004D3716">
              <w:rPr>
                <w:szCs w:val="24"/>
              </w:rPr>
              <w:t>įtraukųjį</w:t>
            </w:r>
            <w:proofErr w:type="spellEnd"/>
            <w:r w:rsidRPr="004D3716">
              <w:rPr>
                <w:szCs w:val="24"/>
              </w:rPr>
              <w:t xml:space="preserve"> ugdymą“, mokymai apie autizmo spektrą turinčius vaikus „Kaip „</w:t>
            </w:r>
            <w:proofErr w:type="spellStart"/>
            <w:r w:rsidRPr="004D3716">
              <w:rPr>
                <w:szCs w:val="24"/>
              </w:rPr>
              <w:t>Titanikas</w:t>
            </w:r>
            <w:proofErr w:type="spellEnd"/>
            <w:r w:rsidRPr="004D3716">
              <w:rPr>
                <w:szCs w:val="24"/>
              </w:rPr>
              <w:t xml:space="preserve">“ mane išgelbėjo?“  Paskaita tėvams ir mokytojams „Socialinis emocinis ugdymas ir mokinių pasiekimai“. </w:t>
            </w:r>
          </w:p>
          <w:p w14:paraId="5E998D28" w14:textId="77777777" w:rsidR="00574304" w:rsidRPr="004D3716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>Siek</w:t>
            </w:r>
            <w:r>
              <w:rPr>
                <w:szCs w:val="24"/>
              </w:rPr>
              <w:t>iant</w:t>
            </w:r>
            <w:r w:rsidRPr="004D3716">
              <w:rPr>
                <w:szCs w:val="24"/>
              </w:rPr>
              <w:t xml:space="preserve"> </w:t>
            </w:r>
            <w:r w:rsidRPr="004D3716">
              <w:rPr>
                <w:bCs/>
                <w:szCs w:val="24"/>
              </w:rPr>
              <w:t>puoselėti mokyklos veiklos kokybės siekio kultūrą ir s</w:t>
            </w:r>
            <w:r w:rsidRPr="004D3716">
              <w:rPr>
                <w:szCs w:val="24"/>
              </w:rPr>
              <w:t>tiprinti bendruomenės narių komunikavimo ir bendradarbiavimo kompetencijas, vyko mokyklos darbuotojų bendradarbiavimas, tobulinant mokyklos-darželio veiklą. 80 proc. darbuotojų priklauso bent vienai mokyklos-darželio veiklai įgyvendinti suburt</w:t>
            </w:r>
            <w:r>
              <w:rPr>
                <w:szCs w:val="24"/>
              </w:rPr>
              <w:t>ai</w:t>
            </w:r>
            <w:r w:rsidRPr="004D3716">
              <w:rPr>
                <w:szCs w:val="24"/>
              </w:rPr>
              <w:t xml:space="preserve"> darbo grup</w:t>
            </w:r>
            <w:r>
              <w:rPr>
                <w:szCs w:val="24"/>
              </w:rPr>
              <w:t>ei</w:t>
            </w:r>
            <w:r w:rsidRPr="004D3716">
              <w:rPr>
                <w:szCs w:val="24"/>
              </w:rPr>
              <w:t xml:space="preserve"> ar komand</w:t>
            </w:r>
            <w:r>
              <w:rPr>
                <w:szCs w:val="24"/>
              </w:rPr>
              <w:t>ai</w:t>
            </w:r>
            <w:r w:rsidRPr="004D3716">
              <w:rPr>
                <w:szCs w:val="24"/>
              </w:rPr>
              <w:t xml:space="preserve">. Buvo puoselėjamos </w:t>
            </w:r>
            <w:r w:rsidRPr="004D3716">
              <w:rPr>
                <w:bCs/>
                <w:szCs w:val="24"/>
              </w:rPr>
              <w:t xml:space="preserve"> </w:t>
            </w:r>
            <w:r w:rsidRPr="004D3716">
              <w:rPr>
                <w:szCs w:val="24"/>
              </w:rPr>
              <w:t>rezultatų refleksijos ir gerosios patirties sklaidos iniciatyvos, kolegialus mokytojų bendrada</w:t>
            </w:r>
            <w:r>
              <w:rPr>
                <w:szCs w:val="24"/>
              </w:rPr>
              <w:t>rbiavimas ir patirties sklaida.</w:t>
            </w:r>
          </w:p>
          <w:p w14:paraId="43C92B12" w14:textId="77777777" w:rsidR="00574304" w:rsidRPr="00934CC1" w:rsidRDefault="00574304" w:rsidP="00574304">
            <w:pPr>
              <w:ind w:firstLine="851"/>
              <w:jc w:val="both"/>
              <w:rPr>
                <w:szCs w:val="24"/>
              </w:rPr>
            </w:pPr>
            <w:r w:rsidRPr="004D3716">
              <w:rPr>
                <w:szCs w:val="24"/>
              </w:rPr>
              <w:t>Nor</w:t>
            </w:r>
            <w:r>
              <w:rPr>
                <w:szCs w:val="24"/>
              </w:rPr>
              <w:t>int</w:t>
            </w:r>
            <w:r w:rsidRPr="004D3716">
              <w:rPr>
                <w:szCs w:val="24"/>
              </w:rPr>
              <w:t xml:space="preserve"> kurti saugias ir šiuolaikiškas mokymo(</w:t>
            </w:r>
            <w:proofErr w:type="spellStart"/>
            <w:r w:rsidRPr="004D3716">
              <w:rPr>
                <w:szCs w:val="24"/>
              </w:rPr>
              <w:t>si</w:t>
            </w:r>
            <w:proofErr w:type="spellEnd"/>
            <w:r w:rsidRPr="004D3716">
              <w:rPr>
                <w:szCs w:val="24"/>
              </w:rPr>
              <w:t>) erdves, buvo sutvarkyta lauko sporto aikštelės danga, pastato erdves pritaikytos šiuolaikinio ugdymo poreikiams tenkinti. Šešiose mokyklos ugdymo erdvėse įrengta šildymo ir vėsinimo sistema. Perkeltos durų angos, per</w:t>
            </w:r>
            <w:r>
              <w:rPr>
                <w:szCs w:val="24"/>
              </w:rPr>
              <w:t>tvarky</w:t>
            </w:r>
            <w:r w:rsidRPr="004D3716">
              <w:rPr>
                <w:szCs w:val="24"/>
              </w:rPr>
              <w:t>tos plautuvės, atnaujintos „Nykštukų“ grupės ugdymo erdvės.</w:t>
            </w:r>
          </w:p>
          <w:p w14:paraId="0E4A92F0" w14:textId="4F026C21" w:rsidR="00574304" w:rsidRPr="00727695" w:rsidRDefault="00574304" w:rsidP="00574304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</w:p>
        </w:tc>
      </w:tr>
    </w:tbl>
    <w:p w14:paraId="6959005C" w14:textId="77777777" w:rsidR="003C6307" w:rsidRPr="00783982" w:rsidRDefault="003C6307" w:rsidP="003C6307">
      <w:pPr>
        <w:rPr>
          <w:szCs w:val="24"/>
        </w:rPr>
      </w:pPr>
    </w:p>
    <w:p w14:paraId="166FA97C" w14:textId="13EAFA17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A3418D">
        <w:rPr>
          <w:szCs w:val="24"/>
        </w:rPr>
        <w:t>ė</w:t>
      </w:r>
      <w:r w:rsidR="007B6F1B">
        <w:rPr>
          <w:szCs w:val="24"/>
        </w:rPr>
        <w:t xml:space="preserve"> </w:t>
      </w:r>
      <w:r w:rsidR="00574304">
        <w:rPr>
          <w:szCs w:val="24"/>
        </w:rPr>
        <w:t>Vilma Juozapavičiūtė-Kuprienė</w:t>
      </w:r>
    </w:p>
    <w:p w14:paraId="3DD58868" w14:textId="40254A37"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AA63DE">
      <w:headerReference w:type="default" r:id="rId8"/>
      <w:pgSz w:w="12240" w:h="15840"/>
      <w:pgMar w:top="42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65652" w14:textId="77777777" w:rsidR="00D94365" w:rsidRDefault="00D94365" w:rsidP="00A71841">
      <w:r>
        <w:separator/>
      </w:r>
    </w:p>
  </w:endnote>
  <w:endnote w:type="continuationSeparator" w:id="0">
    <w:p w14:paraId="37DC209F" w14:textId="77777777" w:rsidR="00D94365" w:rsidRDefault="00D94365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175D" w14:textId="77777777" w:rsidR="00D94365" w:rsidRDefault="00D94365" w:rsidP="00A71841">
      <w:r>
        <w:separator/>
      </w:r>
    </w:p>
  </w:footnote>
  <w:footnote w:type="continuationSeparator" w:id="0">
    <w:p w14:paraId="26085C1F" w14:textId="77777777" w:rsidR="00D94365" w:rsidRDefault="00D94365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14:paraId="2401BB7A" w14:textId="2221AE60" w:rsidR="00A71841" w:rsidRDefault="00A71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135" w:rsidRPr="00A62135">
          <w:rPr>
            <w:noProof/>
            <w:lang w:val="lt-LT"/>
          </w:rPr>
          <w:t>2</w:t>
        </w:r>
        <w:r>
          <w:fldChar w:fldCharType="end"/>
        </w:r>
      </w:p>
    </w:sdtContent>
  </w:sdt>
  <w:p w14:paraId="5C5B556A" w14:textId="77777777"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C23"/>
    <w:rsid w:val="000E7B0C"/>
    <w:rsid w:val="00143458"/>
    <w:rsid w:val="001E1E8A"/>
    <w:rsid w:val="001F058E"/>
    <w:rsid w:val="00204B30"/>
    <w:rsid w:val="002A1202"/>
    <w:rsid w:val="00310A8A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95576"/>
    <w:rsid w:val="00522367"/>
    <w:rsid w:val="0055028A"/>
    <w:rsid w:val="00557C81"/>
    <w:rsid w:val="0056160A"/>
    <w:rsid w:val="00571C0B"/>
    <w:rsid w:val="00574304"/>
    <w:rsid w:val="005E6DB0"/>
    <w:rsid w:val="005F21F5"/>
    <w:rsid w:val="006238EA"/>
    <w:rsid w:val="00627FDD"/>
    <w:rsid w:val="006457FC"/>
    <w:rsid w:val="00665315"/>
    <w:rsid w:val="00670DD2"/>
    <w:rsid w:val="006A2DA5"/>
    <w:rsid w:val="006E5882"/>
    <w:rsid w:val="00727695"/>
    <w:rsid w:val="007379E1"/>
    <w:rsid w:val="00752530"/>
    <w:rsid w:val="007B6F1B"/>
    <w:rsid w:val="007C542F"/>
    <w:rsid w:val="00846827"/>
    <w:rsid w:val="0086259C"/>
    <w:rsid w:val="00891985"/>
    <w:rsid w:val="008C4727"/>
    <w:rsid w:val="008C7733"/>
    <w:rsid w:val="00992554"/>
    <w:rsid w:val="009F6DE6"/>
    <w:rsid w:val="00A162BC"/>
    <w:rsid w:val="00A3418D"/>
    <w:rsid w:val="00A62135"/>
    <w:rsid w:val="00A706C8"/>
    <w:rsid w:val="00A71841"/>
    <w:rsid w:val="00A91C86"/>
    <w:rsid w:val="00AA21C9"/>
    <w:rsid w:val="00AA63DE"/>
    <w:rsid w:val="00AB4E00"/>
    <w:rsid w:val="00B17EA5"/>
    <w:rsid w:val="00BA00CC"/>
    <w:rsid w:val="00BE06C9"/>
    <w:rsid w:val="00C174D1"/>
    <w:rsid w:val="00C361B2"/>
    <w:rsid w:val="00D010DF"/>
    <w:rsid w:val="00D12569"/>
    <w:rsid w:val="00D80C8D"/>
    <w:rsid w:val="00D94365"/>
    <w:rsid w:val="00DF6AFD"/>
    <w:rsid w:val="00E73196"/>
    <w:rsid w:val="00EF6185"/>
    <w:rsid w:val="00F947A2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106"/>
  <w15:docId w15:val="{4EBCD718-6C62-42A7-AFB5-F5B7E3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0B54-B77C-4CC0-B833-7AC96144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3077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5</cp:revision>
  <cp:lastPrinted>2022-04-12T10:58:00Z</cp:lastPrinted>
  <dcterms:created xsi:type="dcterms:W3CDTF">2023-04-26T10:18:00Z</dcterms:created>
  <dcterms:modified xsi:type="dcterms:W3CDTF">2023-05-18T07:00:00Z</dcterms:modified>
</cp:coreProperties>
</file>