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369B" w14:textId="1625C118"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POVEIKIO KONKURENCIJAI IR ATITIKTIES VALSTYBĖS PAGALBOS REIKALAVIMAMS VERTINIMO KLAUSIMYNAS</w:t>
      </w:r>
    </w:p>
    <w:p w14:paraId="2E13BF1D" w14:textId="46210EBB"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BE5F71">
        <w:rPr>
          <w:rFonts w:ascii="Times New Roman" w:eastAsia="Times New Roman" w:hAnsi="Times New Roman" w:cs="Times New Roman"/>
          <w:sz w:val="24"/>
          <w:szCs w:val="24"/>
          <w:lang w:eastAsia="lt-LT"/>
        </w:rPr>
        <w:t>6-</w:t>
      </w:r>
      <w:r w:rsidR="00097C84">
        <w:rPr>
          <w:rFonts w:ascii="Times New Roman" w:eastAsia="Times New Roman" w:hAnsi="Times New Roman" w:cs="Times New Roman"/>
          <w:sz w:val="24"/>
          <w:szCs w:val="24"/>
          <w:lang w:eastAsia="lt-LT"/>
        </w:rPr>
        <w:t>04-20</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16E68FE6" w:rsidR="0016073B" w:rsidRPr="0016073B" w:rsidRDefault="00097C84" w:rsidP="00097C84">
            <w:pPr>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314947C" w14:textId="1729FF35" w:rsidR="0016073B" w:rsidRPr="00097C84" w:rsidRDefault="00097C84" w:rsidP="00097C84">
            <w:pPr>
              <w:pStyle w:val="Betarp"/>
              <w:rPr>
                <w:rFonts w:ascii="Times New Roman" w:eastAsia="Times New Roman" w:hAnsi="Times New Roman" w:cs="Times New Roman"/>
                <w:sz w:val="24"/>
                <w:szCs w:val="24"/>
                <w:lang w:eastAsia="lt-LT"/>
              </w:rPr>
            </w:pPr>
            <w:r w:rsidRPr="00097C84">
              <w:rPr>
                <w:rFonts w:ascii="Times New Roman" w:hAnsi="Times New Roman" w:cs="Times New Roman"/>
                <w:sz w:val="24"/>
                <w:szCs w:val="24"/>
              </w:rPr>
              <w:t>18,8</w:t>
            </w:r>
            <w:r w:rsidR="000C1893">
              <w:rPr>
                <w:rFonts w:ascii="Times New Roman" w:hAnsi="Times New Roman" w:cs="Times New Roman"/>
                <w:sz w:val="24"/>
                <w:szCs w:val="24"/>
              </w:rPr>
              <w:t>7</w:t>
            </w:r>
            <w:r w:rsidRPr="00097C84">
              <w:rPr>
                <w:rFonts w:ascii="Times New Roman" w:hAnsi="Times New Roman" w:cs="Times New Roman"/>
                <w:sz w:val="24"/>
                <w:szCs w:val="24"/>
              </w:rPr>
              <w:t xml:space="preserve"> kv. m patalpas katilinės pastate (unikalus Nr. 6697-5021-9012, inventorinis Nr. 100010-2, įsigijimo savikaina 15 329,94 Eur, balansinė vertė 9 424,61 Eur) adresu: Taikos g. 2, Miežiškių mstl., Panevėžio r. sav.</w:t>
            </w:r>
          </w:p>
        </w:tc>
      </w:tr>
      <w:tr w:rsidR="00FD5DAB"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451B31E7" w:rsidR="0016073B" w:rsidRPr="0016073B" w:rsidRDefault="00CD35CC" w:rsidP="0016073B">
            <w:pPr>
              <w:spacing w:after="0" w:line="240" w:lineRule="auto"/>
              <w:jc w:val="both"/>
              <w:rPr>
                <w:rFonts w:ascii="Times New Roman" w:eastAsia="Times New Roman" w:hAnsi="Times New Roman" w:cs="Times New Roman"/>
                <w:sz w:val="24"/>
                <w:szCs w:val="24"/>
                <w:lang w:eastAsia="lt-LT"/>
              </w:rPr>
            </w:pPr>
            <w:r w:rsidRPr="00CD35CC">
              <w:rPr>
                <w:rFonts w:ascii="Times New Roman" w:eastAsia="Times New Roman" w:hAnsi="Times New Roman" w:cs="Times New Roman"/>
                <w:iCs/>
                <w:sz w:val="24"/>
                <w:szCs w:val="24"/>
                <w:lang w:eastAsia="lt-LT"/>
              </w:rPr>
              <w:t>VšĮ Velžio komunalinis ūkis</w:t>
            </w:r>
            <w:r w:rsidR="00BE5F71">
              <w:rPr>
                <w:rFonts w:ascii="Times New Roman" w:eastAsia="Times New Roman" w:hAnsi="Times New Roman" w:cs="Times New Roman"/>
                <w:iCs/>
                <w:sz w:val="24"/>
                <w:szCs w:val="24"/>
                <w:lang w:eastAsia="lt-LT"/>
              </w:rPr>
              <w:t xml:space="preserve"> (kodas 168967899</w:t>
            </w:r>
            <w:r w:rsidR="00490C26">
              <w:rPr>
                <w:rFonts w:ascii="Times New Roman" w:eastAsia="Times New Roman" w:hAnsi="Times New Roman" w:cs="Times New Roman"/>
                <w:iCs/>
                <w:sz w:val="24"/>
                <w:szCs w:val="24"/>
                <w:lang w:eastAsia="lt-LT"/>
              </w:rPr>
              <w:t>)</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29DA4B29" w:rsidR="0016073B" w:rsidRPr="00E94B5E" w:rsidRDefault="008B3DFC" w:rsidP="005B7CA8">
            <w:pPr>
              <w:spacing w:after="0" w:line="240" w:lineRule="auto"/>
              <w:jc w:val="both"/>
              <w:rPr>
                <w:rFonts w:ascii="Times New Roman" w:eastAsia="Times New Roman" w:hAnsi="Times New Roman" w:cs="Times New Roman"/>
                <w:sz w:val="24"/>
                <w:szCs w:val="24"/>
                <w:lang w:eastAsia="lt-LT"/>
              </w:rPr>
            </w:pPr>
            <w:r w:rsidRPr="008B3DFC">
              <w:rPr>
                <w:rFonts w:ascii="Times New Roman" w:hAnsi="Times New Roman" w:cs="Times New Roman"/>
                <w:sz w:val="24"/>
                <w:szCs w:val="24"/>
              </w:rPr>
              <w:t xml:space="preserve">įstatuose numatytai </w:t>
            </w:r>
            <w:r w:rsidR="00F639EE">
              <w:rPr>
                <w:rFonts w:ascii="Times New Roman" w:hAnsi="Times New Roman" w:cs="Times New Roman"/>
                <w:sz w:val="24"/>
                <w:szCs w:val="24"/>
              </w:rPr>
              <w:t>šilumos tiekimo</w:t>
            </w:r>
            <w:r w:rsidR="003214CB">
              <w:rPr>
                <w:rFonts w:ascii="Times New Roman" w:hAnsi="Times New Roman" w:cs="Times New Roman"/>
                <w:sz w:val="24"/>
                <w:szCs w:val="24"/>
              </w:rPr>
              <w:t xml:space="preserve"> paslaugų </w:t>
            </w:r>
            <w:r w:rsidR="00C54152">
              <w:rPr>
                <w:rFonts w:ascii="Times New Roman" w:hAnsi="Times New Roman" w:cs="Times New Roman"/>
                <w:sz w:val="24"/>
                <w:szCs w:val="24"/>
              </w:rPr>
              <w:t>veiklai</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de minimis</w:t>
            </w:r>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de minimis</w:t>
      </w:r>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97C84"/>
    <w:rsid w:val="000A3268"/>
    <w:rsid w:val="000C1893"/>
    <w:rsid w:val="000C277B"/>
    <w:rsid w:val="000D7732"/>
    <w:rsid w:val="001205B0"/>
    <w:rsid w:val="0016073B"/>
    <w:rsid w:val="00172C60"/>
    <w:rsid w:val="002D34DA"/>
    <w:rsid w:val="003214CB"/>
    <w:rsid w:val="003A5362"/>
    <w:rsid w:val="003F1267"/>
    <w:rsid w:val="004059C4"/>
    <w:rsid w:val="00490C26"/>
    <w:rsid w:val="00505F61"/>
    <w:rsid w:val="0057164E"/>
    <w:rsid w:val="005823C2"/>
    <w:rsid w:val="005B7CA8"/>
    <w:rsid w:val="006504FC"/>
    <w:rsid w:val="007B624D"/>
    <w:rsid w:val="00822FA7"/>
    <w:rsid w:val="0083536A"/>
    <w:rsid w:val="0084395F"/>
    <w:rsid w:val="008827C6"/>
    <w:rsid w:val="008B3DFC"/>
    <w:rsid w:val="00965A17"/>
    <w:rsid w:val="0097108F"/>
    <w:rsid w:val="00A714EB"/>
    <w:rsid w:val="00B92ECB"/>
    <w:rsid w:val="00B958B0"/>
    <w:rsid w:val="00BE5F71"/>
    <w:rsid w:val="00C11BFA"/>
    <w:rsid w:val="00C54152"/>
    <w:rsid w:val="00C81576"/>
    <w:rsid w:val="00CD35CC"/>
    <w:rsid w:val="00D15EBA"/>
    <w:rsid w:val="00E10D08"/>
    <w:rsid w:val="00E94B5E"/>
    <w:rsid w:val="00E96A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2171</Words>
  <Characters>1239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4</cp:revision>
  <cp:lastPrinted>2022-12-20T06:09:00Z</cp:lastPrinted>
  <dcterms:created xsi:type="dcterms:W3CDTF">2026-04-20T08:27:00Z</dcterms:created>
  <dcterms:modified xsi:type="dcterms:W3CDTF">2026-04-20T11:28:00Z</dcterms:modified>
</cp:coreProperties>
</file>