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3BF329E9"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5448D38A" w:rsidR="000A08FD" w:rsidRPr="00DA23CD" w:rsidRDefault="000A08FD" w:rsidP="00DA23CD">
      <w:pPr>
        <w:jc w:val="center"/>
        <w:rPr>
          <w:b/>
          <w:sz w:val="24"/>
          <w:szCs w:val="24"/>
          <w:lang w:eastAsia="en-US"/>
        </w:rPr>
      </w:pPr>
      <w:r w:rsidRPr="00DA23CD">
        <w:rPr>
          <w:b/>
          <w:sz w:val="24"/>
          <w:szCs w:val="24"/>
        </w:rPr>
        <w:t>DĖL TURTO 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3FBF175C"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D719A2">
        <w:rPr>
          <w:sz w:val="24"/>
          <w:szCs w:val="24"/>
        </w:rPr>
        <w:t>kovo</w:t>
      </w:r>
      <w:r w:rsidR="006C12AB">
        <w:rPr>
          <w:sz w:val="24"/>
          <w:szCs w:val="24"/>
        </w:rPr>
        <w:t xml:space="preserve"> 2</w:t>
      </w:r>
      <w:r w:rsidR="00D719A2">
        <w:rPr>
          <w:sz w:val="24"/>
          <w:szCs w:val="24"/>
        </w:rPr>
        <w:t>6</w:t>
      </w:r>
      <w:r w:rsidRPr="00DA23CD">
        <w:rPr>
          <w:sz w:val="24"/>
          <w:szCs w:val="24"/>
        </w:rPr>
        <w:t xml:space="preserve"> d. Nr. T-</w:t>
      </w:r>
      <w:r w:rsidR="007A06B0">
        <w:rPr>
          <w:sz w:val="24"/>
          <w:szCs w:val="24"/>
        </w:rPr>
        <w:t>68</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2FCF28D" w14:textId="3AE31F6C" w:rsidR="005A3BBD" w:rsidRPr="002A17E6" w:rsidRDefault="005A3BBD" w:rsidP="007A26FD">
      <w:pPr>
        <w:ind w:firstLine="720"/>
        <w:jc w:val="both"/>
        <w:rPr>
          <w:sz w:val="24"/>
          <w:szCs w:val="24"/>
        </w:rPr>
      </w:pPr>
      <w:r w:rsidRPr="002A17E6">
        <w:rPr>
          <w:sz w:val="24"/>
          <w:szCs w:val="24"/>
        </w:rPr>
        <w:t>Vadovaudamasi Lietuvos Respublikos vietos savivaldos įstatymo 6</w:t>
      </w:r>
      <w:r w:rsidR="00625882" w:rsidRPr="002A17E6">
        <w:rPr>
          <w:sz w:val="24"/>
          <w:szCs w:val="24"/>
        </w:rPr>
        <w:t xml:space="preserve"> straipsnio </w:t>
      </w:r>
      <w:r w:rsidR="00534DF2">
        <w:rPr>
          <w:sz w:val="24"/>
          <w:szCs w:val="24"/>
        </w:rPr>
        <w:t>13</w:t>
      </w:r>
      <w:r w:rsidR="00C61B0D" w:rsidRPr="002A17E6">
        <w:rPr>
          <w:sz w:val="24"/>
          <w:szCs w:val="24"/>
        </w:rPr>
        <w:t xml:space="preserve"> ir </w:t>
      </w:r>
      <w:r w:rsidR="00534DF2">
        <w:rPr>
          <w:sz w:val="24"/>
          <w:szCs w:val="24"/>
        </w:rPr>
        <w:br/>
        <w:t>24</w:t>
      </w:r>
      <w:r w:rsidR="00A77792" w:rsidRPr="002A17E6">
        <w:rPr>
          <w:sz w:val="24"/>
          <w:szCs w:val="24"/>
        </w:rPr>
        <w:t xml:space="preserve"> </w:t>
      </w:r>
      <w:r w:rsidR="007A26FD" w:rsidRPr="002A17E6">
        <w:rPr>
          <w:sz w:val="24"/>
          <w:szCs w:val="24"/>
        </w:rPr>
        <w:t>p</w:t>
      </w:r>
      <w:r w:rsidRPr="002A17E6">
        <w:rPr>
          <w:sz w:val="24"/>
          <w:szCs w:val="24"/>
        </w:rPr>
        <w:t>unkt</w:t>
      </w:r>
      <w:r w:rsidR="00C61B0D" w:rsidRPr="002A17E6">
        <w:rPr>
          <w:sz w:val="24"/>
          <w:szCs w:val="24"/>
        </w:rPr>
        <w:t>ais</w:t>
      </w:r>
      <w:r w:rsidRPr="002A17E6">
        <w:rPr>
          <w:sz w:val="24"/>
          <w:szCs w:val="24"/>
        </w:rPr>
        <w:t xml:space="preserve">, </w:t>
      </w:r>
      <w:r w:rsidR="002C0247">
        <w:rPr>
          <w:sz w:val="24"/>
          <w:szCs w:val="24"/>
        </w:rPr>
        <w:t xml:space="preserve">15 straipsnio 2 dalies </w:t>
      </w:r>
      <w:r w:rsidR="00534DF2">
        <w:rPr>
          <w:sz w:val="24"/>
          <w:szCs w:val="24"/>
        </w:rPr>
        <w:t>20</w:t>
      </w:r>
      <w:r w:rsidR="002C0247">
        <w:rPr>
          <w:sz w:val="24"/>
          <w:szCs w:val="24"/>
        </w:rPr>
        <w:t xml:space="preserve"> punktu, 16 straipsnio 1 dalimi, </w:t>
      </w:r>
      <w:r w:rsidRPr="002A17E6">
        <w:rPr>
          <w:sz w:val="24"/>
          <w:szCs w:val="24"/>
        </w:rPr>
        <w:t>Lietuvos Respublikos valstybės ir savivaldybių turto valdymo, naudojimo ir disponavimo juo įstatymo 6 straipsnio 2 punktu,</w:t>
      </w:r>
      <w:r w:rsidR="002C0247">
        <w:rPr>
          <w:sz w:val="24"/>
          <w:szCs w:val="24"/>
        </w:rPr>
        <w:t xml:space="preserve"> </w:t>
      </w:r>
      <w:r w:rsidR="0061750D">
        <w:rPr>
          <w:sz w:val="24"/>
          <w:szCs w:val="24"/>
        </w:rPr>
        <w:br/>
      </w:r>
      <w:r w:rsidR="002C0247">
        <w:rPr>
          <w:sz w:val="24"/>
          <w:szCs w:val="24"/>
        </w:rPr>
        <w:t>12 straipsnio 1 ir 2 dalimis,</w:t>
      </w:r>
      <w:r w:rsidRPr="002A17E6">
        <w:rPr>
          <w:sz w:val="24"/>
          <w:szCs w:val="24"/>
        </w:rPr>
        <w:t xml:space="preserve"> 20 straipsnio 1 dalies 4 punktu</w:t>
      </w:r>
      <w:r w:rsidR="002C0247">
        <w:rPr>
          <w:sz w:val="24"/>
          <w:szCs w:val="24"/>
        </w:rPr>
        <w:t xml:space="preserve">, </w:t>
      </w:r>
      <w:r w:rsidRPr="002A17E6">
        <w:rPr>
          <w:sz w:val="24"/>
          <w:szCs w:val="24"/>
        </w:rPr>
        <w:t xml:space="preserve"> </w:t>
      </w:r>
      <w:r w:rsidR="002C0247" w:rsidRPr="006D3BA8">
        <w:rPr>
          <w:sz w:val="24"/>
          <w:szCs w:val="24"/>
        </w:rPr>
        <w:t>Panevėžio rajono savivaldybės turto perdavimo valdyti, naudoti ir disponuoti juo patikėjimo teise tvarkos apraš</w:t>
      </w:r>
      <w:r w:rsidR="002C0247">
        <w:rPr>
          <w:sz w:val="24"/>
          <w:szCs w:val="24"/>
        </w:rPr>
        <w:t>o</w:t>
      </w:r>
      <w:r w:rsidR="002C0247" w:rsidRPr="006D3BA8">
        <w:rPr>
          <w:sz w:val="24"/>
          <w:szCs w:val="24"/>
        </w:rPr>
        <w:t>, patvirtint</w:t>
      </w:r>
      <w:r w:rsidR="002C0247">
        <w:rPr>
          <w:sz w:val="24"/>
          <w:szCs w:val="24"/>
        </w:rPr>
        <w:t>o</w:t>
      </w:r>
      <w:r w:rsidR="002C0247"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0" w:name="_Hlk183697461"/>
      <w:r w:rsidR="002C0247">
        <w:rPr>
          <w:sz w:val="24"/>
          <w:szCs w:val="24"/>
        </w:rPr>
        <w:t>, 4.1 papunkčiu</w:t>
      </w:r>
      <w:r w:rsidR="00C70BD0">
        <w:rPr>
          <w:sz w:val="24"/>
          <w:szCs w:val="24"/>
        </w:rPr>
        <w:t>,</w:t>
      </w:r>
      <w:r w:rsidR="002C0247">
        <w:rPr>
          <w:sz w:val="24"/>
          <w:szCs w:val="24"/>
        </w:rPr>
        <w:t xml:space="preserve"> 5 punktu</w:t>
      </w:r>
      <w:bookmarkEnd w:id="0"/>
      <w:r w:rsidR="00C70BD0">
        <w:rPr>
          <w:sz w:val="24"/>
          <w:szCs w:val="24"/>
        </w:rPr>
        <w:t xml:space="preserve"> ir</w:t>
      </w:r>
      <w:r w:rsidR="00CD4A7D">
        <w:rPr>
          <w:sz w:val="24"/>
          <w:szCs w:val="24"/>
        </w:rPr>
        <w:t xml:space="preserve"> 10.2 papunkčiu</w:t>
      </w:r>
      <w:bookmarkStart w:id="1" w:name="_Hlk140064203"/>
      <w:r w:rsidR="0061750D">
        <w:rPr>
          <w:sz w:val="24"/>
          <w:szCs w:val="24"/>
        </w:rPr>
        <w:t xml:space="preserve"> bei</w:t>
      </w:r>
      <w:r w:rsidR="008E0EC5" w:rsidRPr="008E0EC5">
        <w:rPr>
          <w:sz w:val="24"/>
          <w:szCs w:val="24"/>
        </w:rPr>
        <w:t xml:space="preserve"> </w:t>
      </w:r>
      <w:r w:rsidR="008E0EC5" w:rsidRPr="002A17E6">
        <w:rPr>
          <w:sz w:val="24"/>
          <w:szCs w:val="24"/>
        </w:rPr>
        <w:t xml:space="preserve">atsižvelgdama </w:t>
      </w:r>
      <w:r w:rsidR="008E0EC5" w:rsidRPr="00DA23CD">
        <w:rPr>
          <w:sz w:val="24"/>
          <w:szCs w:val="24"/>
        </w:rPr>
        <w:t xml:space="preserve">į </w:t>
      </w:r>
      <w:bookmarkStart w:id="2" w:name="_Hlk140049297"/>
      <w:r w:rsidR="008E0EC5">
        <w:rPr>
          <w:sz w:val="24"/>
          <w:szCs w:val="24"/>
        </w:rPr>
        <w:t>Lietuvos nacionalinės Martyno Mažvydo bibliotek</w:t>
      </w:r>
      <w:bookmarkEnd w:id="1"/>
      <w:r w:rsidR="008E0EC5">
        <w:rPr>
          <w:sz w:val="24"/>
          <w:szCs w:val="24"/>
        </w:rPr>
        <w:t>os</w:t>
      </w:r>
      <w:r w:rsidR="008E0EC5" w:rsidRPr="00DA23CD">
        <w:rPr>
          <w:sz w:val="24"/>
          <w:szCs w:val="24"/>
        </w:rPr>
        <w:t xml:space="preserve"> </w:t>
      </w:r>
      <w:bookmarkEnd w:id="2"/>
      <w:r w:rsidR="008E0EC5" w:rsidRPr="00DA23CD">
        <w:rPr>
          <w:sz w:val="24"/>
          <w:szCs w:val="24"/>
        </w:rPr>
        <w:t>20</w:t>
      </w:r>
      <w:r w:rsidR="008E0EC5">
        <w:rPr>
          <w:sz w:val="24"/>
          <w:szCs w:val="24"/>
        </w:rPr>
        <w:t>2</w:t>
      </w:r>
      <w:r w:rsidR="00534DF2">
        <w:rPr>
          <w:sz w:val="24"/>
          <w:szCs w:val="24"/>
        </w:rPr>
        <w:t>6</w:t>
      </w:r>
      <w:r w:rsidR="008E0EC5" w:rsidRPr="00DA23CD">
        <w:rPr>
          <w:sz w:val="24"/>
          <w:szCs w:val="24"/>
        </w:rPr>
        <w:t xml:space="preserve"> m. </w:t>
      </w:r>
      <w:r w:rsidR="008E0EC5">
        <w:rPr>
          <w:sz w:val="24"/>
          <w:szCs w:val="24"/>
        </w:rPr>
        <w:t xml:space="preserve">kovo </w:t>
      </w:r>
      <w:r w:rsidR="00534DF2">
        <w:rPr>
          <w:sz w:val="24"/>
          <w:szCs w:val="24"/>
        </w:rPr>
        <w:t>3</w:t>
      </w:r>
      <w:r w:rsidR="008E0EC5" w:rsidRPr="00DA23CD">
        <w:rPr>
          <w:sz w:val="24"/>
          <w:szCs w:val="24"/>
        </w:rPr>
        <w:t xml:space="preserve"> d. raštą</w:t>
      </w:r>
      <w:r w:rsidR="008E0EC5">
        <w:rPr>
          <w:sz w:val="24"/>
          <w:szCs w:val="24"/>
        </w:rPr>
        <w:t xml:space="preserve"> </w:t>
      </w:r>
      <w:r w:rsidR="008E0EC5" w:rsidRPr="00DA23CD">
        <w:rPr>
          <w:sz w:val="24"/>
          <w:szCs w:val="24"/>
        </w:rPr>
        <w:t>Nr. S</w:t>
      </w:r>
      <w:r w:rsidR="008E0EC5">
        <w:rPr>
          <w:sz w:val="24"/>
          <w:szCs w:val="24"/>
        </w:rPr>
        <w:t>D-2</w:t>
      </w:r>
      <w:r w:rsidR="001A679A">
        <w:rPr>
          <w:sz w:val="24"/>
          <w:szCs w:val="24"/>
        </w:rPr>
        <w:t>6</w:t>
      </w:r>
      <w:r w:rsidR="008E0EC5">
        <w:rPr>
          <w:sz w:val="24"/>
          <w:szCs w:val="24"/>
        </w:rPr>
        <w:t>-</w:t>
      </w:r>
      <w:r w:rsidR="00534DF2">
        <w:rPr>
          <w:sz w:val="24"/>
          <w:szCs w:val="24"/>
        </w:rPr>
        <w:t>198</w:t>
      </w:r>
      <w:r w:rsidR="008E0EC5">
        <w:rPr>
          <w:sz w:val="24"/>
          <w:szCs w:val="24"/>
        </w:rPr>
        <w:t xml:space="preserve"> </w:t>
      </w:r>
      <w:r w:rsidR="008E0EC5" w:rsidRPr="00DA23CD">
        <w:rPr>
          <w:sz w:val="24"/>
          <w:szCs w:val="24"/>
        </w:rPr>
        <w:t>„Dėl</w:t>
      </w:r>
      <w:r w:rsidR="008E0EC5">
        <w:rPr>
          <w:sz w:val="24"/>
          <w:szCs w:val="24"/>
        </w:rPr>
        <w:t xml:space="preserve"> </w:t>
      </w:r>
      <w:r w:rsidR="0061750D">
        <w:rPr>
          <w:sz w:val="24"/>
          <w:szCs w:val="24"/>
        </w:rPr>
        <w:t>S</w:t>
      </w:r>
      <w:r w:rsidR="008E0EC5">
        <w:rPr>
          <w:sz w:val="24"/>
          <w:szCs w:val="24"/>
        </w:rPr>
        <w:t>utikimo perimti valstybės turtą</w:t>
      </w:r>
      <w:r w:rsidR="008E0EC5" w:rsidRPr="00DA23CD">
        <w:rPr>
          <w:sz w:val="24"/>
          <w:szCs w:val="24"/>
        </w:rPr>
        <w:t xml:space="preserve">“, </w:t>
      </w:r>
      <w:r w:rsidRPr="002A17E6">
        <w:rPr>
          <w:sz w:val="24"/>
          <w:szCs w:val="24"/>
        </w:rPr>
        <w:t xml:space="preserve"> Savivaldybės taryba </w:t>
      </w:r>
      <w:r w:rsidRPr="002A17E6">
        <w:rPr>
          <w:spacing w:val="60"/>
          <w:sz w:val="24"/>
          <w:szCs w:val="24"/>
        </w:rPr>
        <w:t>nusprendži</w:t>
      </w:r>
      <w:r w:rsidRPr="002A17E6">
        <w:rPr>
          <w:sz w:val="24"/>
          <w:szCs w:val="24"/>
        </w:rPr>
        <w:t>a:</w:t>
      </w:r>
    </w:p>
    <w:p w14:paraId="2680AA53" w14:textId="3DAA8553" w:rsidR="00D719A2" w:rsidRDefault="005A3BBD" w:rsidP="00D719A2">
      <w:pPr>
        <w:ind w:firstLine="720"/>
        <w:jc w:val="both"/>
        <w:rPr>
          <w:sz w:val="24"/>
          <w:szCs w:val="24"/>
        </w:rPr>
      </w:pPr>
      <w:r w:rsidRPr="002A17E6">
        <w:rPr>
          <w:sz w:val="24"/>
          <w:szCs w:val="24"/>
        </w:rPr>
        <w:t xml:space="preserve">1. </w:t>
      </w:r>
      <w:r w:rsidR="008E0EC5">
        <w:rPr>
          <w:sz w:val="24"/>
          <w:szCs w:val="24"/>
        </w:rPr>
        <w:t>S</w:t>
      </w:r>
      <w:r w:rsidR="00D719A2" w:rsidRPr="00DA23CD">
        <w:rPr>
          <w:sz w:val="24"/>
          <w:szCs w:val="24"/>
        </w:rPr>
        <w:t>utikti perimti Panevėžio rajono savivaldybės nuosavybėn</w:t>
      </w:r>
      <w:r w:rsidR="00B11A66">
        <w:rPr>
          <w:sz w:val="24"/>
          <w:szCs w:val="24"/>
        </w:rPr>
        <w:t xml:space="preserve"> </w:t>
      </w:r>
      <w:r w:rsidR="00B11A66" w:rsidRPr="00B11A66">
        <w:rPr>
          <w:sz w:val="24"/>
          <w:szCs w:val="24"/>
        </w:rPr>
        <w:t>savarankiškosioms funkcijoms įgyvendinti</w:t>
      </w:r>
      <w:r w:rsidR="00B11A66">
        <w:t xml:space="preserve"> </w:t>
      </w:r>
      <w:r w:rsidR="00D719A2" w:rsidRPr="00DA23CD">
        <w:rPr>
          <w:sz w:val="24"/>
          <w:szCs w:val="24"/>
        </w:rPr>
        <w:t xml:space="preserve"> valstybei nuosavybės teise priklausantį ir šiuo metu </w:t>
      </w:r>
      <w:r w:rsidR="00D719A2">
        <w:rPr>
          <w:sz w:val="24"/>
          <w:szCs w:val="24"/>
        </w:rPr>
        <w:t>Lietuvos nacionalinės Martyno Mažvydo bibliotekos</w:t>
      </w:r>
      <w:r w:rsidR="00D719A2" w:rsidRPr="00DA23CD">
        <w:rPr>
          <w:sz w:val="24"/>
          <w:szCs w:val="24"/>
        </w:rPr>
        <w:t xml:space="preserve"> patikėjimo teise valdomą turtą</w:t>
      </w:r>
      <w:r w:rsidR="00D719A2">
        <w:rPr>
          <w:sz w:val="24"/>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0"/>
        <w:gridCol w:w="1701"/>
        <w:gridCol w:w="850"/>
        <w:gridCol w:w="1117"/>
        <w:gridCol w:w="1224"/>
        <w:gridCol w:w="1479"/>
      </w:tblGrid>
      <w:tr w:rsidR="00D719A2" w:rsidRPr="00DA23CD" w14:paraId="7B0F2C9D" w14:textId="77777777" w:rsidTr="00E6614D">
        <w:tc>
          <w:tcPr>
            <w:tcW w:w="556" w:type="dxa"/>
            <w:vAlign w:val="center"/>
          </w:tcPr>
          <w:p w14:paraId="31130314" w14:textId="77777777" w:rsidR="00D719A2" w:rsidRPr="009D130C" w:rsidRDefault="00D719A2" w:rsidP="00E6614D">
            <w:pPr>
              <w:rPr>
                <w:color w:val="000000"/>
                <w:sz w:val="22"/>
                <w:szCs w:val="22"/>
                <w:lang w:eastAsia="lt-LT"/>
              </w:rPr>
            </w:pPr>
            <w:r w:rsidRPr="009D130C">
              <w:rPr>
                <w:color w:val="000000"/>
                <w:sz w:val="22"/>
                <w:szCs w:val="22"/>
                <w:lang w:eastAsia="lt-LT"/>
              </w:rPr>
              <w:t>Eil. Nr.</w:t>
            </w:r>
          </w:p>
        </w:tc>
        <w:tc>
          <w:tcPr>
            <w:tcW w:w="2700" w:type="dxa"/>
            <w:vAlign w:val="center"/>
          </w:tcPr>
          <w:p w14:paraId="4169E757" w14:textId="77777777" w:rsidR="00D719A2" w:rsidRPr="009D130C" w:rsidRDefault="00D719A2" w:rsidP="00E6614D">
            <w:pPr>
              <w:rPr>
                <w:color w:val="000000"/>
                <w:sz w:val="22"/>
                <w:szCs w:val="22"/>
                <w:lang w:eastAsia="lt-LT"/>
              </w:rPr>
            </w:pPr>
            <w:r w:rsidRPr="009D130C">
              <w:rPr>
                <w:color w:val="000000"/>
                <w:sz w:val="22"/>
                <w:szCs w:val="22"/>
                <w:lang w:eastAsia="lt-LT"/>
              </w:rPr>
              <w:t>Perduodamo turto pavadinimas</w:t>
            </w:r>
          </w:p>
        </w:tc>
        <w:tc>
          <w:tcPr>
            <w:tcW w:w="1701" w:type="dxa"/>
            <w:vAlign w:val="center"/>
          </w:tcPr>
          <w:p w14:paraId="16DCBC9D" w14:textId="77777777" w:rsidR="00D719A2" w:rsidRPr="009D130C" w:rsidRDefault="00D719A2" w:rsidP="00E6614D">
            <w:pPr>
              <w:jc w:val="center"/>
              <w:rPr>
                <w:color w:val="000000"/>
                <w:sz w:val="22"/>
                <w:szCs w:val="22"/>
                <w:lang w:eastAsia="lt-LT"/>
              </w:rPr>
            </w:pPr>
            <w:r w:rsidRPr="009D130C">
              <w:rPr>
                <w:color w:val="000000"/>
                <w:sz w:val="22"/>
                <w:szCs w:val="22"/>
                <w:lang w:eastAsia="lt-LT"/>
              </w:rPr>
              <w:t>Inventorinis numeris</w:t>
            </w:r>
          </w:p>
        </w:tc>
        <w:tc>
          <w:tcPr>
            <w:tcW w:w="850" w:type="dxa"/>
            <w:vAlign w:val="center"/>
          </w:tcPr>
          <w:p w14:paraId="2D3C9BDE" w14:textId="77777777" w:rsidR="00D719A2" w:rsidRPr="009D130C" w:rsidRDefault="00D719A2" w:rsidP="00E6614D">
            <w:pPr>
              <w:jc w:val="center"/>
              <w:rPr>
                <w:color w:val="000000"/>
                <w:sz w:val="22"/>
                <w:szCs w:val="22"/>
                <w:lang w:eastAsia="lt-LT"/>
              </w:rPr>
            </w:pPr>
            <w:r w:rsidRPr="009D130C">
              <w:rPr>
                <w:color w:val="000000"/>
                <w:sz w:val="22"/>
                <w:szCs w:val="22"/>
                <w:lang w:eastAsia="lt-LT"/>
              </w:rPr>
              <w:t>Kiekis vnt.</w:t>
            </w:r>
          </w:p>
        </w:tc>
        <w:tc>
          <w:tcPr>
            <w:tcW w:w="1117" w:type="dxa"/>
            <w:vAlign w:val="center"/>
          </w:tcPr>
          <w:p w14:paraId="09345C68" w14:textId="77777777" w:rsidR="00D719A2" w:rsidRPr="009D130C" w:rsidRDefault="00D719A2" w:rsidP="00E6614D">
            <w:pPr>
              <w:jc w:val="center"/>
              <w:rPr>
                <w:rFonts w:eastAsia="Calibri"/>
                <w:b/>
                <w:bCs/>
                <w:color w:val="000000"/>
                <w:sz w:val="22"/>
                <w:szCs w:val="22"/>
              </w:rPr>
            </w:pPr>
            <w:r w:rsidRPr="009D130C">
              <w:rPr>
                <w:color w:val="000000"/>
                <w:sz w:val="22"/>
                <w:szCs w:val="22"/>
                <w:lang w:eastAsia="lt-LT"/>
              </w:rPr>
              <w:t>Vieneto įsigijimo vertė (eurais)</w:t>
            </w:r>
          </w:p>
        </w:tc>
        <w:tc>
          <w:tcPr>
            <w:tcW w:w="1224" w:type="dxa"/>
          </w:tcPr>
          <w:p w14:paraId="38C9C392" w14:textId="77777777" w:rsidR="00D719A2" w:rsidRPr="009D130C" w:rsidRDefault="00D719A2" w:rsidP="00E6614D">
            <w:pPr>
              <w:jc w:val="center"/>
              <w:rPr>
                <w:color w:val="000000"/>
                <w:sz w:val="22"/>
                <w:szCs w:val="22"/>
                <w:lang w:eastAsia="lt-LT"/>
              </w:rPr>
            </w:pPr>
            <w:r w:rsidRPr="009D130C">
              <w:rPr>
                <w:color w:val="000000"/>
                <w:sz w:val="22"/>
                <w:szCs w:val="22"/>
                <w:lang w:eastAsia="lt-LT"/>
              </w:rPr>
              <w:t>Vieneto likutinė vertė (eurais)</w:t>
            </w:r>
          </w:p>
        </w:tc>
        <w:tc>
          <w:tcPr>
            <w:tcW w:w="1479" w:type="dxa"/>
            <w:vAlign w:val="center"/>
          </w:tcPr>
          <w:p w14:paraId="2F607DF3" w14:textId="6F0D7A57" w:rsidR="00D719A2" w:rsidRPr="009D130C" w:rsidRDefault="00D719A2" w:rsidP="00E6614D">
            <w:pPr>
              <w:jc w:val="center"/>
              <w:rPr>
                <w:color w:val="000000"/>
                <w:sz w:val="22"/>
                <w:szCs w:val="22"/>
                <w:lang w:eastAsia="lt-LT"/>
              </w:rPr>
            </w:pPr>
            <w:r w:rsidRPr="009D130C">
              <w:rPr>
                <w:color w:val="000000"/>
                <w:sz w:val="22"/>
                <w:szCs w:val="22"/>
                <w:lang w:eastAsia="lt-LT"/>
              </w:rPr>
              <w:t>Bendra likutinė vertė 202</w:t>
            </w:r>
            <w:r w:rsidR="00691DAA">
              <w:rPr>
                <w:color w:val="000000"/>
                <w:sz w:val="22"/>
                <w:szCs w:val="22"/>
                <w:lang w:eastAsia="lt-LT"/>
              </w:rPr>
              <w:t>6</w:t>
            </w:r>
            <w:r w:rsidRPr="009D130C">
              <w:rPr>
                <w:color w:val="000000"/>
                <w:sz w:val="22"/>
                <w:szCs w:val="22"/>
                <w:lang w:eastAsia="lt-LT"/>
              </w:rPr>
              <w:t xml:space="preserve"> m.</w:t>
            </w:r>
          </w:p>
          <w:p w14:paraId="23CC98D0" w14:textId="6156FDD9" w:rsidR="00D719A2" w:rsidRPr="009D130C" w:rsidRDefault="00691DAA" w:rsidP="00E6614D">
            <w:pPr>
              <w:jc w:val="center"/>
              <w:rPr>
                <w:color w:val="000000"/>
                <w:sz w:val="22"/>
                <w:szCs w:val="22"/>
                <w:lang w:eastAsia="lt-LT"/>
              </w:rPr>
            </w:pPr>
            <w:r>
              <w:rPr>
                <w:color w:val="000000"/>
                <w:sz w:val="22"/>
                <w:szCs w:val="22"/>
                <w:lang w:eastAsia="lt-LT"/>
              </w:rPr>
              <w:t>vasario</w:t>
            </w:r>
            <w:r w:rsidR="00D719A2" w:rsidRPr="009D130C">
              <w:rPr>
                <w:color w:val="000000"/>
                <w:sz w:val="22"/>
                <w:szCs w:val="22"/>
                <w:lang w:eastAsia="lt-LT"/>
              </w:rPr>
              <w:t xml:space="preserve"> </w:t>
            </w:r>
            <w:r>
              <w:rPr>
                <w:color w:val="000000"/>
                <w:sz w:val="22"/>
                <w:szCs w:val="22"/>
                <w:lang w:eastAsia="lt-LT"/>
              </w:rPr>
              <w:t>23</w:t>
            </w:r>
            <w:r w:rsidR="00D719A2" w:rsidRPr="009D130C">
              <w:rPr>
                <w:color w:val="000000"/>
                <w:sz w:val="22"/>
                <w:szCs w:val="22"/>
                <w:lang w:eastAsia="lt-LT"/>
              </w:rPr>
              <w:t xml:space="preserve"> d. (eurais)</w:t>
            </w:r>
          </w:p>
        </w:tc>
      </w:tr>
      <w:tr w:rsidR="00D719A2" w:rsidRPr="00DA23CD" w14:paraId="267DE753" w14:textId="77777777" w:rsidTr="00E6614D">
        <w:tc>
          <w:tcPr>
            <w:tcW w:w="556" w:type="dxa"/>
            <w:vAlign w:val="center"/>
          </w:tcPr>
          <w:p w14:paraId="102F8710" w14:textId="77777777" w:rsidR="00D719A2" w:rsidRPr="009D130C" w:rsidRDefault="00D719A2" w:rsidP="00E6614D">
            <w:pPr>
              <w:rPr>
                <w:color w:val="000000"/>
                <w:sz w:val="22"/>
                <w:szCs w:val="22"/>
                <w:lang w:eastAsia="lt-LT"/>
              </w:rPr>
            </w:pPr>
            <w:r w:rsidRPr="009D130C">
              <w:rPr>
                <w:color w:val="000000"/>
                <w:sz w:val="22"/>
                <w:szCs w:val="22"/>
                <w:lang w:eastAsia="lt-LT"/>
              </w:rPr>
              <w:t>1.</w:t>
            </w:r>
          </w:p>
        </w:tc>
        <w:tc>
          <w:tcPr>
            <w:tcW w:w="2700" w:type="dxa"/>
            <w:vAlign w:val="center"/>
          </w:tcPr>
          <w:p w14:paraId="0A5D2664" w14:textId="77777777" w:rsidR="00D719A2" w:rsidRPr="009D130C" w:rsidRDefault="00D719A2" w:rsidP="00E6614D">
            <w:pPr>
              <w:rPr>
                <w:sz w:val="22"/>
                <w:szCs w:val="22"/>
              </w:rPr>
            </w:pPr>
            <w:r w:rsidRPr="009D130C">
              <w:rPr>
                <w:sz w:val="22"/>
                <w:szCs w:val="22"/>
              </w:rPr>
              <w:t xml:space="preserve">Stacionarusis kompiuteris  </w:t>
            </w:r>
          </w:p>
          <w:p w14:paraId="329678EF" w14:textId="22916BA9" w:rsidR="00D719A2" w:rsidRPr="009D130C" w:rsidRDefault="00D719A2" w:rsidP="00E6614D">
            <w:pPr>
              <w:rPr>
                <w:color w:val="000000"/>
                <w:sz w:val="22"/>
                <w:szCs w:val="22"/>
              </w:rPr>
            </w:pPr>
            <w:r w:rsidRPr="009D130C">
              <w:rPr>
                <w:sz w:val="22"/>
                <w:szCs w:val="22"/>
              </w:rPr>
              <w:t xml:space="preserve">HP </w:t>
            </w:r>
            <w:proofErr w:type="spellStart"/>
            <w:r w:rsidRPr="009D130C">
              <w:rPr>
                <w:sz w:val="22"/>
                <w:szCs w:val="22"/>
              </w:rPr>
              <w:t>Pro</w:t>
            </w:r>
            <w:r w:rsidR="00691DAA">
              <w:rPr>
                <w:sz w:val="22"/>
                <w:szCs w:val="22"/>
              </w:rPr>
              <w:t>Studio</w:t>
            </w:r>
            <w:proofErr w:type="spellEnd"/>
            <w:r w:rsidRPr="009D130C">
              <w:rPr>
                <w:sz w:val="22"/>
                <w:szCs w:val="22"/>
              </w:rPr>
              <w:t xml:space="preserve"> 4</w:t>
            </w:r>
            <w:r w:rsidR="00691DAA">
              <w:rPr>
                <w:sz w:val="22"/>
                <w:szCs w:val="22"/>
              </w:rPr>
              <w:t xml:space="preserve"> AI</w:t>
            </w:r>
            <w:r w:rsidRPr="009D130C">
              <w:rPr>
                <w:sz w:val="22"/>
                <w:szCs w:val="22"/>
              </w:rPr>
              <w:t>O</w:t>
            </w:r>
            <w:r w:rsidR="00691DAA">
              <w:rPr>
                <w:sz w:val="22"/>
                <w:szCs w:val="22"/>
              </w:rPr>
              <w:t xml:space="preserve"> G</w:t>
            </w:r>
            <w:r w:rsidR="00553295">
              <w:rPr>
                <w:sz w:val="22"/>
                <w:szCs w:val="22"/>
              </w:rPr>
              <w:t>1</w:t>
            </w:r>
            <w:r w:rsidR="00691DAA">
              <w:rPr>
                <w:sz w:val="22"/>
                <w:szCs w:val="22"/>
              </w:rPr>
              <w:t>i</w:t>
            </w:r>
          </w:p>
        </w:tc>
        <w:tc>
          <w:tcPr>
            <w:tcW w:w="1701" w:type="dxa"/>
            <w:vAlign w:val="center"/>
          </w:tcPr>
          <w:p w14:paraId="51AA41EA" w14:textId="54A9D728" w:rsidR="00D719A2" w:rsidRPr="009D130C" w:rsidRDefault="00D719A2" w:rsidP="00E6614D">
            <w:pPr>
              <w:ind w:right="247"/>
              <w:jc w:val="center"/>
              <w:rPr>
                <w:color w:val="FF0000"/>
                <w:sz w:val="22"/>
                <w:szCs w:val="22"/>
              </w:rPr>
            </w:pPr>
            <w:r w:rsidRPr="009D130C">
              <w:rPr>
                <w:sz w:val="22"/>
                <w:szCs w:val="22"/>
              </w:rPr>
              <w:t>IT-00</w:t>
            </w:r>
            <w:r w:rsidR="00691DAA">
              <w:rPr>
                <w:sz w:val="22"/>
                <w:szCs w:val="22"/>
              </w:rPr>
              <w:t>4940</w:t>
            </w:r>
            <w:r w:rsidRPr="009D130C">
              <w:rPr>
                <w:sz w:val="22"/>
                <w:szCs w:val="22"/>
              </w:rPr>
              <w:t>–IT-00</w:t>
            </w:r>
            <w:r w:rsidR="00691DAA">
              <w:rPr>
                <w:sz w:val="22"/>
                <w:szCs w:val="22"/>
              </w:rPr>
              <w:t>4941</w:t>
            </w:r>
          </w:p>
        </w:tc>
        <w:tc>
          <w:tcPr>
            <w:tcW w:w="850" w:type="dxa"/>
            <w:vAlign w:val="center"/>
          </w:tcPr>
          <w:p w14:paraId="0BAF86BA" w14:textId="77777777" w:rsidR="00D719A2" w:rsidRPr="009D130C" w:rsidRDefault="00D719A2" w:rsidP="00E6614D">
            <w:pPr>
              <w:jc w:val="center"/>
              <w:rPr>
                <w:color w:val="000000"/>
                <w:sz w:val="22"/>
                <w:szCs w:val="22"/>
              </w:rPr>
            </w:pPr>
            <w:r w:rsidRPr="009D130C">
              <w:rPr>
                <w:color w:val="000000"/>
                <w:sz w:val="22"/>
                <w:szCs w:val="22"/>
              </w:rPr>
              <w:t>2</w:t>
            </w:r>
          </w:p>
        </w:tc>
        <w:tc>
          <w:tcPr>
            <w:tcW w:w="1117" w:type="dxa"/>
            <w:vAlign w:val="center"/>
          </w:tcPr>
          <w:p w14:paraId="67D04371" w14:textId="3C46EC81" w:rsidR="00D719A2" w:rsidRPr="009D130C" w:rsidRDefault="00691DAA" w:rsidP="00E6614D">
            <w:pPr>
              <w:rPr>
                <w:color w:val="000000"/>
                <w:sz w:val="22"/>
                <w:szCs w:val="22"/>
              </w:rPr>
            </w:pPr>
            <w:r>
              <w:rPr>
                <w:color w:val="000000"/>
                <w:sz w:val="22"/>
                <w:szCs w:val="22"/>
              </w:rPr>
              <w:t>1 075,69</w:t>
            </w:r>
          </w:p>
        </w:tc>
        <w:tc>
          <w:tcPr>
            <w:tcW w:w="1224" w:type="dxa"/>
            <w:vAlign w:val="center"/>
          </w:tcPr>
          <w:p w14:paraId="3BB836E5" w14:textId="4C5C6967" w:rsidR="00D719A2" w:rsidRPr="009D130C" w:rsidRDefault="00691DAA" w:rsidP="00E6614D">
            <w:pPr>
              <w:jc w:val="center"/>
              <w:rPr>
                <w:color w:val="000000"/>
                <w:sz w:val="22"/>
                <w:szCs w:val="22"/>
              </w:rPr>
            </w:pPr>
            <w:r>
              <w:rPr>
                <w:color w:val="000000"/>
                <w:sz w:val="22"/>
                <w:szCs w:val="22"/>
              </w:rPr>
              <w:t>1 075,69</w:t>
            </w:r>
          </w:p>
        </w:tc>
        <w:tc>
          <w:tcPr>
            <w:tcW w:w="1479" w:type="dxa"/>
            <w:vAlign w:val="center"/>
          </w:tcPr>
          <w:p w14:paraId="251EB7CD" w14:textId="0A664220" w:rsidR="00D719A2" w:rsidRPr="009D130C" w:rsidRDefault="00691DAA" w:rsidP="00E6614D">
            <w:pPr>
              <w:jc w:val="center"/>
              <w:rPr>
                <w:color w:val="000000"/>
                <w:sz w:val="22"/>
                <w:szCs w:val="22"/>
              </w:rPr>
            </w:pPr>
            <w:r>
              <w:rPr>
                <w:color w:val="000000"/>
                <w:sz w:val="22"/>
                <w:szCs w:val="22"/>
              </w:rPr>
              <w:t>2 151,38</w:t>
            </w:r>
          </w:p>
        </w:tc>
      </w:tr>
      <w:tr w:rsidR="00D719A2" w:rsidRPr="00DA23CD" w14:paraId="2F00AFE9" w14:textId="77777777" w:rsidTr="00E6614D">
        <w:tc>
          <w:tcPr>
            <w:tcW w:w="556" w:type="dxa"/>
            <w:vAlign w:val="center"/>
          </w:tcPr>
          <w:p w14:paraId="4720294D" w14:textId="77777777" w:rsidR="00D719A2" w:rsidRPr="009D130C" w:rsidRDefault="00D719A2" w:rsidP="00E6614D">
            <w:pPr>
              <w:rPr>
                <w:color w:val="000000"/>
                <w:sz w:val="22"/>
                <w:szCs w:val="22"/>
                <w:lang w:eastAsia="lt-LT"/>
              </w:rPr>
            </w:pPr>
            <w:r w:rsidRPr="009D130C">
              <w:rPr>
                <w:color w:val="000000"/>
                <w:sz w:val="22"/>
                <w:szCs w:val="22"/>
                <w:lang w:eastAsia="lt-LT"/>
              </w:rPr>
              <w:t xml:space="preserve">2. </w:t>
            </w:r>
          </w:p>
        </w:tc>
        <w:tc>
          <w:tcPr>
            <w:tcW w:w="2700" w:type="dxa"/>
            <w:vAlign w:val="center"/>
          </w:tcPr>
          <w:p w14:paraId="37DD5A1F" w14:textId="2F8F6E03" w:rsidR="00D719A2" w:rsidRPr="009D130C" w:rsidRDefault="00D719A2" w:rsidP="00E6614D">
            <w:pPr>
              <w:rPr>
                <w:sz w:val="22"/>
                <w:szCs w:val="22"/>
              </w:rPr>
            </w:pPr>
            <w:r w:rsidRPr="009D130C">
              <w:rPr>
                <w:sz w:val="22"/>
                <w:szCs w:val="22"/>
              </w:rPr>
              <w:t>Nešiojamas</w:t>
            </w:r>
            <w:r w:rsidR="0061750D">
              <w:rPr>
                <w:sz w:val="22"/>
                <w:szCs w:val="22"/>
              </w:rPr>
              <w:t>is</w:t>
            </w:r>
            <w:r w:rsidRPr="009D130C">
              <w:rPr>
                <w:sz w:val="22"/>
                <w:szCs w:val="22"/>
              </w:rPr>
              <w:t xml:space="preserve"> kompiuteris </w:t>
            </w:r>
          </w:p>
          <w:p w14:paraId="41D7275C" w14:textId="54637DFF" w:rsidR="00D719A2" w:rsidRPr="009D130C" w:rsidRDefault="00D719A2" w:rsidP="00E6614D">
            <w:pPr>
              <w:rPr>
                <w:sz w:val="22"/>
                <w:szCs w:val="22"/>
              </w:rPr>
            </w:pPr>
            <w:r w:rsidRPr="009D130C">
              <w:rPr>
                <w:sz w:val="22"/>
                <w:szCs w:val="22"/>
              </w:rPr>
              <w:t>HP ELITEBOOK 6 G1</w:t>
            </w:r>
            <w:r w:rsidR="00691DAA">
              <w:rPr>
                <w:sz w:val="22"/>
                <w:szCs w:val="22"/>
              </w:rPr>
              <w:t>a</w:t>
            </w:r>
          </w:p>
        </w:tc>
        <w:tc>
          <w:tcPr>
            <w:tcW w:w="1701" w:type="dxa"/>
            <w:vAlign w:val="center"/>
          </w:tcPr>
          <w:p w14:paraId="760DD4ED" w14:textId="6C7D1B0F" w:rsidR="00D719A2" w:rsidRPr="009D130C" w:rsidRDefault="00D719A2" w:rsidP="00E6614D">
            <w:pPr>
              <w:ind w:right="247"/>
              <w:jc w:val="center"/>
              <w:rPr>
                <w:sz w:val="22"/>
                <w:szCs w:val="22"/>
              </w:rPr>
            </w:pPr>
            <w:r w:rsidRPr="009D130C">
              <w:rPr>
                <w:sz w:val="22"/>
                <w:szCs w:val="22"/>
              </w:rPr>
              <w:t>IT-00</w:t>
            </w:r>
            <w:r w:rsidR="00691DAA">
              <w:rPr>
                <w:sz w:val="22"/>
                <w:szCs w:val="22"/>
              </w:rPr>
              <w:t>4812</w:t>
            </w:r>
            <w:r w:rsidRPr="009D130C">
              <w:rPr>
                <w:sz w:val="22"/>
                <w:szCs w:val="22"/>
              </w:rPr>
              <w:t>–IT-00</w:t>
            </w:r>
            <w:r w:rsidR="00691DAA">
              <w:rPr>
                <w:sz w:val="22"/>
                <w:szCs w:val="22"/>
              </w:rPr>
              <w:t>4813</w:t>
            </w:r>
          </w:p>
        </w:tc>
        <w:tc>
          <w:tcPr>
            <w:tcW w:w="850" w:type="dxa"/>
            <w:vAlign w:val="center"/>
          </w:tcPr>
          <w:p w14:paraId="0BAE8681" w14:textId="6332EE6A" w:rsidR="00D719A2" w:rsidRPr="009D130C" w:rsidRDefault="00691DAA" w:rsidP="00E6614D">
            <w:pPr>
              <w:jc w:val="center"/>
              <w:rPr>
                <w:color w:val="000000"/>
                <w:sz w:val="22"/>
                <w:szCs w:val="22"/>
              </w:rPr>
            </w:pPr>
            <w:r>
              <w:rPr>
                <w:color w:val="000000"/>
                <w:sz w:val="22"/>
                <w:szCs w:val="22"/>
              </w:rPr>
              <w:t>2</w:t>
            </w:r>
          </w:p>
        </w:tc>
        <w:tc>
          <w:tcPr>
            <w:tcW w:w="1117" w:type="dxa"/>
            <w:vAlign w:val="center"/>
          </w:tcPr>
          <w:p w14:paraId="416AC6D3" w14:textId="6BD875AA" w:rsidR="00D719A2" w:rsidRPr="009D130C" w:rsidRDefault="00691DAA" w:rsidP="00E6614D">
            <w:pPr>
              <w:rPr>
                <w:color w:val="000000"/>
                <w:sz w:val="22"/>
                <w:szCs w:val="22"/>
              </w:rPr>
            </w:pPr>
            <w:r>
              <w:rPr>
                <w:color w:val="000000"/>
                <w:sz w:val="22"/>
                <w:szCs w:val="22"/>
              </w:rPr>
              <w:t>1 006,91</w:t>
            </w:r>
          </w:p>
        </w:tc>
        <w:tc>
          <w:tcPr>
            <w:tcW w:w="1224" w:type="dxa"/>
            <w:vAlign w:val="center"/>
          </w:tcPr>
          <w:p w14:paraId="385A5CD4" w14:textId="36696922" w:rsidR="00D719A2" w:rsidRPr="009D130C" w:rsidRDefault="00691DAA" w:rsidP="00E6614D">
            <w:pPr>
              <w:jc w:val="center"/>
              <w:rPr>
                <w:color w:val="000000"/>
                <w:sz w:val="22"/>
                <w:szCs w:val="22"/>
              </w:rPr>
            </w:pPr>
            <w:r>
              <w:rPr>
                <w:color w:val="000000"/>
                <w:sz w:val="22"/>
                <w:szCs w:val="22"/>
              </w:rPr>
              <w:t>1 006,</w:t>
            </w:r>
            <w:r w:rsidR="006C569B">
              <w:rPr>
                <w:color w:val="000000"/>
                <w:sz w:val="22"/>
                <w:szCs w:val="22"/>
              </w:rPr>
              <w:t>9</w:t>
            </w:r>
            <w:r>
              <w:rPr>
                <w:color w:val="000000"/>
                <w:sz w:val="22"/>
                <w:szCs w:val="22"/>
              </w:rPr>
              <w:t>1</w:t>
            </w:r>
          </w:p>
        </w:tc>
        <w:tc>
          <w:tcPr>
            <w:tcW w:w="1479" w:type="dxa"/>
            <w:vAlign w:val="center"/>
          </w:tcPr>
          <w:p w14:paraId="7DA7F220" w14:textId="364D3EF5" w:rsidR="00D719A2" w:rsidRPr="009D130C" w:rsidRDefault="00691DAA" w:rsidP="00E6614D">
            <w:pPr>
              <w:jc w:val="center"/>
              <w:rPr>
                <w:color w:val="000000"/>
                <w:sz w:val="22"/>
                <w:szCs w:val="22"/>
              </w:rPr>
            </w:pPr>
            <w:r>
              <w:rPr>
                <w:color w:val="000000"/>
                <w:sz w:val="22"/>
                <w:szCs w:val="22"/>
              </w:rPr>
              <w:t>2 013,82</w:t>
            </w:r>
          </w:p>
        </w:tc>
      </w:tr>
      <w:tr w:rsidR="00D719A2" w:rsidRPr="00DA23CD" w14:paraId="425DBDBF" w14:textId="77777777" w:rsidTr="00691DAA">
        <w:trPr>
          <w:trHeight w:val="164"/>
        </w:trPr>
        <w:tc>
          <w:tcPr>
            <w:tcW w:w="4957" w:type="dxa"/>
            <w:gridSpan w:val="3"/>
            <w:vAlign w:val="center"/>
          </w:tcPr>
          <w:p w14:paraId="486941E7" w14:textId="77777777" w:rsidR="00D719A2" w:rsidRPr="009D130C" w:rsidRDefault="00D719A2" w:rsidP="00E6614D">
            <w:pPr>
              <w:ind w:right="247"/>
              <w:jc w:val="center"/>
              <w:rPr>
                <w:sz w:val="22"/>
                <w:szCs w:val="22"/>
              </w:rPr>
            </w:pPr>
            <w:r w:rsidRPr="009D130C">
              <w:rPr>
                <w:sz w:val="22"/>
                <w:szCs w:val="22"/>
              </w:rPr>
              <w:t>Iš viso</w:t>
            </w:r>
          </w:p>
        </w:tc>
        <w:tc>
          <w:tcPr>
            <w:tcW w:w="850" w:type="dxa"/>
            <w:vAlign w:val="center"/>
          </w:tcPr>
          <w:p w14:paraId="091226F8" w14:textId="481F66C1" w:rsidR="00D719A2" w:rsidRPr="009D130C" w:rsidRDefault="00691DAA" w:rsidP="00E6614D">
            <w:pPr>
              <w:jc w:val="center"/>
              <w:rPr>
                <w:color w:val="000000"/>
                <w:sz w:val="22"/>
                <w:szCs w:val="22"/>
              </w:rPr>
            </w:pPr>
            <w:r>
              <w:rPr>
                <w:color w:val="000000"/>
                <w:sz w:val="22"/>
                <w:szCs w:val="22"/>
              </w:rPr>
              <w:t>4</w:t>
            </w:r>
          </w:p>
        </w:tc>
        <w:tc>
          <w:tcPr>
            <w:tcW w:w="1117" w:type="dxa"/>
            <w:vAlign w:val="center"/>
          </w:tcPr>
          <w:p w14:paraId="186DA8BA" w14:textId="77777777" w:rsidR="00D719A2" w:rsidRPr="009D130C" w:rsidRDefault="00D719A2" w:rsidP="00E6614D">
            <w:pPr>
              <w:jc w:val="center"/>
              <w:rPr>
                <w:color w:val="000000"/>
                <w:sz w:val="22"/>
                <w:szCs w:val="22"/>
              </w:rPr>
            </w:pPr>
            <w:r w:rsidRPr="009D130C">
              <w:rPr>
                <w:color w:val="000000"/>
                <w:sz w:val="22"/>
                <w:szCs w:val="22"/>
              </w:rPr>
              <w:t>x</w:t>
            </w:r>
          </w:p>
        </w:tc>
        <w:tc>
          <w:tcPr>
            <w:tcW w:w="1224" w:type="dxa"/>
            <w:vAlign w:val="center"/>
          </w:tcPr>
          <w:p w14:paraId="41EE96A0" w14:textId="77777777" w:rsidR="00D719A2" w:rsidRPr="009D130C" w:rsidRDefault="00D719A2" w:rsidP="00E6614D">
            <w:pPr>
              <w:jc w:val="center"/>
              <w:rPr>
                <w:color w:val="000000"/>
                <w:sz w:val="22"/>
                <w:szCs w:val="22"/>
              </w:rPr>
            </w:pPr>
            <w:r w:rsidRPr="009D130C">
              <w:rPr>
                <w:color w:val="000000"/>
                <w:sz w:val="22"/>
                <w:szCs w:val="22"/>
              </w:rPr>
              <w:t>x</w:t>
            </w:r>
          </w:p>
        </w:tc>
        <w:tc>
          <w:tcPr>
            <w:tcW w:w="1479" w:type="dxa"/>
            <w:vAlign w:val="center"/>
          </w:tcPr>
          <w:p w14:paraId="791554A9" w14:textId="393F1ECA" w:rsidR="00D719A2" w:rsidRPr="009D130C" w:rsidRDefault="00691DAA" w:rsidP="00E6614D">
            <w:pPr>
              <w:jc w:val="center"/>
              <w:rPr>
                <w:color w:val="000000"/>
                <w:sz w:val="22"/>
                <w:szCs w:val="22"/>
              </w:rPr>
            </w:pPr>
            <w:r>
              <w:rPr>
                <w:color w:val="000000"/>
                <w:sz w:val="22"/>
                <w:szCs w:val="22"/>
              </w:rPr>
              <w:t>4 165,20</w:t>
            </w:r>
          </w:p>
        </w:tc>
      </w:tr>
    </w:tbl>
    <w:p w14:paraId="21452706" w14:textId="77777777" w:rsidR="00D719A2" w:rsidRPr="00DA23CD" w:rsidRDefault="00D719A2" w:rsidP="00D719A2">
      <w:pPr>
        <w:ind w:firstLine="720"/>
        <w:jc w:val="both"/>
        <w:rPr>
          <w:sz w:val="24"/>
          <w:szCs w:val="24"/>
        </w:rPr>
      </w:pPr>
      <w:r w:rsidRPr="00DA23CD">
        <w:rPr>
          <w:sz w:val="24"/>
          <w:szCs w:val="24"/>
        </w:rPr>
        <w:t>2. Perimtą savivaldybės nuosavybėn sprendimo 1 punkte nurodytą turtą perduoti Panevėžio rajono savivaldybės viešajai bibliotekai valdyti, naudoti ir disponuoti juo patikėjimo teise.</w:t>
      </w:r>
    </w:p>
    <w:p w14:paraId="74F6D476" w14:textId="77777777" w:rsidR="00D719A2" w:rsidRPr="00DA23CD" w:rsidRDefault="00D719A2" w:rsidP="00D719A2">
      <w:pPr>
        <w:ind w:firstLine="720"/>
        <w:jc w:val="both"/>
        <w:rPr>
          <w:sz w:val="24"/>
          <w:szCs w:val="24"/>
        </w:rPr>
      </w:pPr>
      <w:r w:rsidRPr="00DA23CD">
        <w:rPr>
          <w:sz w:val="24"/>
          <w:szCs w:val="24"/>
        </w:rPr>
        <w:t>3.  Savivaldybės nuosavybėn  perduotas turtas bus naudojamas Panevėžio rajono savivaldybės viešosios bibliotekos veikloje savivaldybės savarankiškajai funkcijai</w:t>
      </w:r>
      <w:r>
        <w:rPr>
          <w:sz w:val="24"/>
          <w:szCs w:val="24"/>
        </w:rPr>
        <w:t xml:space="preserve"> </w:t>
      </w:r>
      <w:bookmarkStart w:id="3" w:name="_Hlk140063474"/>
      <w:r>
        <w:rPr>
          <w:sz w:val="24"/>
          <w:szCs w:val="24"/>
        </w:rPr>
        <w:t xml:space="preserve">įgyvendinti, plėtojant viešosios interneto prieigos paslaugų teikimą. </w:t>
      </w:r>
    </w:p>
    <w:bookmarkEnd w:id="3"/>
    <w:p w14:paraId="3C41B76A" w14:textId="0AC429C8" w:rsidR="00D719A2" w:rsidRPr="00DA23CD" w:rsidRDefault="00D719A2" w:rsidP="00D719A2">
      <w:pPr>
        <w:autoSpaceDE w:val="0"/>
        <w:ind w:firstLine="720"/>
        <w:jc w:val="both"/>
        <w:rPr>
          <w:sz w:val="24"/>
          <w:szCs w:val="24"/>
        </w:rPr>
      </w:pPr>
      <w:r w:rsidRPr="00DA23CD">
        <w:rPr>
          <w:sz w:val="24"/>
          <w:szCs w:val="24"/>
        </w:rPr>
        <w:t>4. Įgalioti Panevėžio rajono savivaldybės administracijos Švietimo, kultūros ir sporto  skyriaus vedėją Panevėžio rajono savivaldybės vardu pasirašyti sprendimo</w:t>
      </w:r>
      <w:r w:rsidR="009D6032">
        <w:rPr>
          <w:sz w:val="24"/>
          <w:szCs w:val="24"/>
        </w:rPr>
        <w:t xml:space="preserve"> </w:t>
      </w:r>
      <w:r w:rsidRPr="00DA23CD">
        <w:rPr>
          <w:sz w:val="24"/>
          <w:szCs w:val="24"/>
        </w:rPr>
        <w:t xml:space="preserve">1 </w:t>
      </w:r>
      <w:r>
        <w:rPr>
          <w:sz w:val="24"/>
          <w:szCs w:val="24"/>
        </w:rPr>
        <w:t xml:space="preserve"> </w:t>
      </w:r>
      <w:r w:rsidR="00183A62">
        <w:rPr>
          <w:sz w:val="24"/>
          <w:szCs w:val="24"/>
        </w:rPr>
        <w:t xml:space="preserve">ir 2 </w:t>
      </w:r>
      <w:r w:rsidR="0048787C" w:rsidRPr="00DA23CD">
        <w:rPr>
          <w:sz w:val="24"/>
          <w:szCs w:val="24"/>
        </w:rPr>
        <w:t>punk</w:t>
      </w:r>
      <w:r w:rsidR="0048787C">
        <w:rPr>
          <w:sz w:val="24"/>
          <w:szCs w:val="24"/>
        </w:rPr>
        <w:t>tuose</w:t>
      </w:r>
      <w:r w:rsidRPr="00DA23CD">
        <w:rPr>
          <w:sz w:val="24"/>
          <w:szCs w:val="24"/>
        </w:rPr>
        <w:t xml:space="preserve"> nurodyto turto perdavimo–priėmimo ak</w:t>
      </w:r>
      <w:r w:rsidR="009D6032">
        <w:rPr>
          <w:sz w:val="24"/>
          <w:szCs w:val="24"/>
        </w:rPr>
        <w:t>tą</w:t>
      </w:r>
      <w:r w:rsidRPr="00DA23CD">
        <w:rPr>
          <w:sz w:val="24"/>
          <w:szCs w:val="24"/>
        </w:rPr>
        <w:t>.</w:t>
      </w:r>
    </w:p>
    <w:p w14:paraId="16E6FC3D" w14:textId="77777777" w:rsidR="007A06B0"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p>
    <w:p w14:paraId="39E1794E" w14:textId="77777777" w:rsidR="007A06B0" w:rsidRDefault="007A06B0" w:rsidP="002C0247">
      <w:pPr>
        <w:suppressAutoHyphens w:val="0"/>
        <w:ind w:firstLine="720"/>
        <w:jc w:val="both"/>
        <w:rPr>
          <w:rFonts w:eastAsia="Calibri"/>
          <w:sz w:val="24"/>
          <w:szCs w:val="24"/>
          <w:lang w:eastAsia="lt-LT"/>
        </w:rPr>
      </w:pPr>
    </w:p>
    <w:p w14:paraId="7F9A5786" w14:textId="36677432" w:rsidR="002C0247" w:rsidRDefault="002C0247" w:rsidP="007A06B0">
      <w:pPr>
        <w:suppressAutoHyphens w:val="0"/>
        <w:jc w:val="both"/>
        <w:rPr>
          <w:rFonts w:eastAsia="Calibri"/>
          <w:sz w:val="24"/>
          <w:szCs w:val="24"/>
          <w:lang w:eastAsia="lt-LT"/>
        </w:rPr>
      </w:pPr>
      <w:r w:rsidRPr="007B7DA4">
        <w:rPr>
          <w:rFonts w:eastAsia="Calibri"/>
          <w:sz w:val="24"/>
          <w:szCs w:val="24"/>
          <w:lang w:eastAsia="lt-LT"/>
        </w:rPr>
        <w:lastRenderedPageBreak/>
        <w:t>Panevėžio rūmams (Respublikos g. 62, 35158 Panevėžys) Lietuvos Respublikos administracinių bylų teisenos įstatymo nustatyta tvarka.</w:t>
      </w:r>
    </w:p>
    <w:p w14:paraId="4EC34B0B" w14:textId="77777777" w:rsidR="007A06B0" w:rsidRDefault="007A06B0" w:rsidP="007A06B0">
      <w:pPr>
        <w:suppressAutoHyphens w:val="0"/>
        <w:jc w:val="both"/>
        <w:rPr>
          <w:rFonts w:eastAsia="Calibri"/>
          <w:sz w:val="24"/>
          <w:szCs w:val="24"/>
          <w:lang w:eastAsia="lt-LT"/>
        </w:rPr>
      </w:pPr>
    </w:p>
    <w:p w14:paraId="07613059" w14:textId="77777777" w:rsidR="007A06B0" w:rsidRDefault="007A06B0" w:rsidP="007A06B0">
      <w:pPr>
        <w:suppressAutoHyphens w:val="0"/>
        <w:jc w:val="both"/>
        <w:rPr>
          <w:rFonts w:eastAsia="Calibri"/>
          <w:sz w:val="24"/>
          <w:szCs w:val="24"/>
          <w:lang w:eastAsia="lt-LT"/>
        </w:rPr>
      </w:pPr>
    </w:p>
    <w:p w14:paraId="2A7405DE" w14:textId="6B714A78" w:rsidR="007A06B0" w:rsidRDefault="007A06B0" w:rsidP="007A06B0">
      <w:pPr>
        <w:suppressAutoHyphens w:val="0"/>
        <w:jc w:val="both"/>
        <w:rPr>
          <w:rFonts w:eastAsia="Calibri"/>
          <w:sz w:val="24"/>
          <w:szCs w:val="24"/>
          <w:lang w:eastAsia="lt-LT"/>
        </w:rPr>
      </w:pPr>
      <w:r>
        <w:rPr>
          <w:rFonts w:eastAsia="Calibri"/>
          <w:sz w:val="24"/>
          <w:szCs w:val="24"/>
          <w:lang w:eastAsia="lt-LT"/>
        </w:rPr>
        <w:t xml:space="preserve">Savivaldybės meras                                                                                                       Antanas Pocius </w:t>
      </w:r>
    </w:p>
    <w:p w14:paraId="08B35BE4" w14:textId="77777777" w:rsidR="007A06B0" w:rsidRPr="007B7DA4" w:rsidRDefault="007A06B0" w:rsidP="007A06B0">
      <w:pPr>
        <w:suppressAutoHyphens w:val="0"/>
        <w:jc w:val="both"/>
        <w:rPr>
          <w:rFonts w:eastAsia="Calibri"/>
          <w:sz w:val="24"/>
          <w:szCs w:val="24"/>
          <w:lang w:eastAsia="lt-LT"/>
        </w:rPr>
      </w:pPr>
    </w:p>
    <w:sectPr w:rsidR="007A06B0" w:rsidRPr="007B7DA4"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4E53" w14:textId="77777777" w:rsidR="002477D8" w:rsidRDefault="002477D8">
      <w:r>
        <w:separator/>
      </w:r>
    </w:p>
  </w:endnote>
  <w:endnote w:type="continuationSeparator" w:id="0">
    <w:p w14:paraId="5403B88C" w14:textId="77777777" w:rsidR="002477D8" w:rsidRDefault="0024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39C1" w14:textId="77777777" w:rsidR="002477D8" w:rsidRDefault="002477D8">
      <w:r>
        <w:separator/>
      </w:r>
    </w:p>
  </w:footnote>
  <w:footnote w:type="continuationSeparator" w:id="0">
    <w:p w14:paraId="41D29EA9" w14:textId="77777777" w:rsidR="002477D8" w:rsidRDefault="0024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D72C6"/>
    <w:rsid w:val="000F2C4F"/>
    <w:rsid w:val="000F536F"/>
    <w:rsid w:val="00146AC7"/>
    <w:rsid w:val="00150293"/>
    <w:rsid w:val="00154C66"/>
    <w:rsid w:val="00172E97"/>
    <w:rsid w:val="00183417"/>
    <w:rsid w:val="00183A62"/>
    <w:rsid w:val="001A679A"/>
    <w:rsid w:val="001C60BA"/>
    <w:rsid w:val="001C678E"/>
    <w:rsid w:val="001D137B"/>
    <w:rsid w:val="001D6A82"/>
    <w:rsid w:val="002179E6"/>
    <w:rsid w:val="0024050A"/>
    <w:rsid w:val="002477D8"/>
    <w:rsid w:val="00252C8D"/>
    <w:rsid w:val="00263A79"/>
    <w:rsid w:val="0026656E"/>
    <w:rsid w:val="0026677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74CEB"/>
    <w:rsid w:val="003959DA"/>
    <w:rsid w:val="003B3CC6"/>
    <w:rsid w:val="003D4CEE"/>
    <w:rsid w:val="003E2BCB"/>
    <w:rsid w:val="003E558D"/>
    <w:rsid w:val="003E6E6B"/>
    <w:rsid w:val="00406F1C"/>
    <w:rsid w:val="0041657F"/>
    <w:rsid w:val="00423437"/>
    <w:rsid w:val="00427088"/>
    <w:rsid w:val="004277F9"/>
    <w:rsid w:val="004405E9"/>
    <w:rsid w:val="00447922"/>
    <w:rsid w:val="00457DD5"/>
    <w:rsid w:val="00462CFA"/>
    <w:rsid w:val="00467708"/>
    <w:rsid w:val="00476434"/>
    <w:rsid w:val="00486FC1"/>
    <w:rsid w:val="0048787C"/>
    <w:rsid w:val="004915B5"/>
    <w:rsid w:val="004A6B54"/>
    <w:rsid w:val="004E19A6"/>
    <w:rsid w:val="004E37D3"/>
    <w:rsid w:val="004F1A14"/>
    <w:rsid w:val="004F381D"/>
    <w:rsid w:val="004F68A8"/>
    <w:rsid w:val="00504632"/>
    <w:rsid w:val="005067D5"/>
    <w:rsid w:val="0052095E"/>
    <w:rsid w:val="00521032"/>
    <w:rsid w:val="00534DF2"/>
    <w:rsid w:val="00544D40"/>
    <w:rsid w:val="00546A36"/>
    <w:rsid w:val="00553295"/>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1750D"/>
    <w:rsid w:val="00625882"/>
    <w:rsid w:val="00637ECA"/>
    <w:rsid w:val="006473A0"/>
    <w:rsid w:val="00662E12"/>
    <w:rsid w:val="00664BE7"/>
    <w:rsid w:val="00680E6F"/>
    <w:rsid w:val="00682E1E"/>
    <w:rsid w:val="00691DAA"/>
    <w:rsid w:val="00697736"/>
    <w:rsid w:val="006B3DB6"/>
    <w:rsid w:val="006C12AB"/>
    <w:rsid w:val="006C569B"/>
    <w:rsid w:val="006E5DCF"/>
    <w:rsid w:val="006E7BD0"/>
    <w:rsid w:val="006F43F4"/>
    <w:rsid w:val="006F57A5"/>
    <w:rsid w:val="00717C8F"/>
    <w:rsid w:val="007230E7"/>
    <w:rsid w:val="007313C3"/>
    <w:rsid w:val="0074089C"/>
    <w:rsid w:val="0074275C"/>
    <w:rsid w:val="00747406"/>
    <w:rsid w:val="00757C77"/>
    <w:rsid w:val="00766132"/>
    <w:rsid w:val="0079080A"/>
    <w:rsid w:val="00792C67"/>
    <w:rsid w:val="007A02DD"/>
    <w:rsid w:val="007A06B0"/>
    <w:rsid w:val="007A26FD"/>
    <w:rsid w:val="007A5B9B"/>
    <w:rsid w:val="007B14FC"/>
    <w:rsid w:val="007C031F"/>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0EC5"/>
    <w:rsid w:val="008E4AB0"/>
    <w:rsid w:val="008F1888"/>
    <w:rsid w:val="008F35B5"/>
    <w:rsid w:val="008F5633"/>
    <w:rsid w:val="00907F14"/>
    <w:rsid w:val="00916844"/>
    <w:rsid w:val="00930B42"/>
    <w:rsid w:val="00935FF7"/>
    <w:rsid w:val="00943060"/>
    <w:rsid w:val="009445EB"/>
    <w:rsid w:val="00954057"/>
    <w:rsid w:val="00960129"/>
    <w:rsid w:val="009C6670"/>
    <w:rsid w:val="009D417D"/>
    <w:rsid w:val="009D5E43"/>
    <w:rsid w:val="009D6032"/>
    <w:rsid w:val="009E3E1B"/>
    <w:rsid w:val="009F14D5"/>
    <w:rsid w:val="009F4B68"/>
    <w:rsid w:val="009F776F"/>
    <w:rsid w:val="00A158DF"/>
    <w:rsid w:val="00A34964"/>
    <w:rsid w:val="00A417E5"/>
    <w:rsid w:val="00A51CDD"/>
    <w:rsid w:val="00A77792"/>
    <w:rsid w:val="00AA28D7"/>
    <w:rsid w:val="00AE73A6"/>
    <w:rsid w:val="00AF68C8"/>
    <w:rsid w:val="00AF78FA"/>
    <w:rsid w:val="00B07D2D"/>
    <w:rsid w:val="00B11A66"/>
    <w:rsid w:val="00B13E47"/>
    <w:rsid w:val="00B179A7"/>
    <w:rsid w:val="00B26591"/>
    <w:rsid w:val="00B30D79"/>
    <w:rsid w:val="00B401B9"/>
    <w:rsid w:val="00B432EB"/>
    <w:rsid w:val="00B52EC0"/>
    <w:rsid w:val="00B57AC7"/>
    <w:rsid w:val="00B60A39"/>
    <w:rsid w:val="00B63DF1"/>
    <w:rsid w:val="00B678CD"/>
    <w:rsid w:val="00B71A48"/>
    <w:rsid w:val="00BB4296"/>
    <w:rsid w:val="00BB4B46"/>
    <w:rsid w:val="00BC4686"/>
    <w:rsid w:val="00BD0565"/>
    <w:rsid w:val="00BD43A4"/>
    <w:rsid w:val="00BD5CF4"/>
    <w:rsid w:val="00BE161C"/>
    <w:rsid w:val="00BE166A"/>
    <w:rsid w:val="00BE1783"/>
    <w:rsid w:val="00BE3684"/>
    <w:rsid w:val="00BE7ABE"/>
    <w:rsid w:val="00BF08C9"/>
    <w:rsid w:val="00BF134F"/>
    <w:rsid w:val="00BF2487"/>
    <w:rsid w:val="00C046DD"/>
    <w:rsid w:val="00C06D50"/>
    <w:rsid w:val="00C15BCA"/>
    <w:rsid w:val="00C15C46"/>
    <w:rsid w:val="00C308A9"/>
    <w:rsid w:val="00C406BB"/>
    <w:rsid w:val="00C4124A"/>
    <w:rsid w:val="00C4187B"/>
    <w:rsid w:val="00C4464C"/>
    <w:rsid w:val="00C47680"/>
    <w:rsid w:val="00C51919"/>
    <w:rsid w:val="00C61B0D"/>
    <w:rsid w:val="00C67326"/>
    <w:rsid w:val="00C70BD0"/>
    <w:rsid w:val="00C71AE0"/>
    <w:rsid w:val="00C76DD8"/>
    <w:rsid w:val="00C81592"/>
    <w:rsid w:val="00C91DFD"/>
    <w:rsid w:val="00CA4DFC"/>
    <w:rsid w:val="00CA6BA1"/>
    <w:rsid w:val="00CB1387"/>
    <w:rsid w:val="00CB2534"/>
    <w:rsid w:val="00CB34F0"/>
    <w:rsid w:val="00CB53FB"/>
    <w:rsid w:val="00CC70BF"/>
    <w:rsid w:val="00CD28E2"/>
    <w:rsid w:val="00CD2930"/>
    <w:rsid w:val="00CD4A7D"/>
    <w:rsid w:val="00CE78EA"/>
    <w:rsid w:val="00CF17DB"/>
    <w:rsid w:val="00CF2869"/>
    <w:rsid w:val="00CF3250"/>
    <w:rsid w:val="00D01222"/>
    <w:rsid w:val="00D11212"/>
    <w:rsid w:val="00D12F12"/>
    <w:rsid w:val="00D14283"/>
    <w:rsid w:val="00D2496D"/>
    <w:rsid w:val="00D340BE"/>
    <w:rsid w:val="00D42D5E"/>
    <w:rsid w:val="00D46FD2"/>
    <w:rsid w:val="00D47E3E"/>
    <w:rsid w:val="00D710A5"/>
    <w:rsid w:val="00D719A2"/>
    <w:rsid w:val="00D72E2B"/>
    <w:rsid w:val="00DA23CD"/>
    <w:rsid w:val="00DC750E"/>
    <w:rsid w:val="00DD28DC"/>
    <w:rsid w:val="00DE68EE"/>
    <w:rsid w:val="00DF467E"/>
    <w:rsid w:val="00DF4B97"/>
    <w:rsid w:val="00E0442B"/>
    <w:rsid w:val="00E13D1E"/>
    <w:rsid w:val="00E20E1B"/>
    <w:rsid w:val="00E478FE"/>
    <w:rsid w:val="00E57A72"/>
    <w:rsid w:val="00E622DC"/>
    <w:rsid w:val="00E6439F"/>
    <w:rsid w:val="00E66A06"/>
    <w:rsid w:val="00E768F1"/>
    <w:rsid w:val="00E85480"/>
    <w:rsid w:val="00EA16C1"/>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4159"/>
    <w:rsid w:val="00F77ED7"/>
    <w:rsid w:val="00F83733"/>
    <w:rsid w:val="00F83CA0"/>
    <w:rsid w:val="00F90CFB"/>
    <w:rsid w:val="00F95529"/>
    <w:rsid w:val="00FA02C9"/>
    <w:rsid w:val="00FA7D89"/>
    <w:rsid w:val="00FB4CE7"/>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40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1996</Words>
  <Characters>1138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Ruta Vaitkuniene</cp:lastModifiedBy>
  <cp:revision>2</cp:revision>
  <cp:lastPrinted>2026-03-25T09:22:00Z</cp:lastPrinted>
  <dcterms:created xsi:type="dcterms:W3CDTF">2026-04-14T07:51:00Z</dcterms:created>
  <dcterms:modified xsi:type="dcterms:W3CDTF">2026-04-14T07:51:00Z</dcterms:modified>
</cp:coreProperties>
</file>