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ZSFP-181197</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ŽILVINAS KUNŠINSKAS; dokumento įrodančio žemės valdos projekto rengėjo teisę rengti žemės valdos projektus 2R-FP-990</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Projekto sprendiniai neprieštarauja kompleksinio ir specialiojo teritorijų planavimo dokumentų sprendiniams, įstatymams ir kitiems teisės aktams. Nustatyti mažareikšmiai trūkumai:1. Atkreiptinas dėmesys, kad Nacionalinės žemės tarnybos prie Aplinkos ministerijos 2025-06-30 Žemės sklypų formavimo ir pertvarkymo projekto rengimo reikalavimai (paslaugos byla Nr. ZSFP-181197) Nr. 1PLS-1474-(5.84 E.) išduoti anksčiau nei priimtas   Panevėžio rajono savivaldybės administracijos direktoriaus 2025 m. liepos 30 d.  įsakymas Nr. A-306 „Dėl valstybinės žemės sklypų formavimo ir pertvarkymo rengimo“.  Priėmus minėtą sprendimą organizuoti Projektą, nesikreipta į Nacionalinę žemės tarnybą prie Aplinkos ministerijos dėl reikalavimų išdavimo. 2. Pastebėtina, kad Projekto aiškinamajame rašte nurodytos ,,Žemės sklypų formavimo ir pertvarkymo projektų rengimo taisyklės, patvirtintos LR žemės ūkio ministro ir LR aplinkos ministro 2004-10-04 įsakymu Nr. 3D452/D1-513 „Dėl Žemės sklypų formavimo ir pertvarkymo projektų rengimo taisyklių patvirtinimo“ yra negaliojančios nuo 2025-11-27  turi būti  Žemės sklypų formavimo ir pertvarkymo projektų rengimo taisyklės, patvirtintos Lietuvos Respublikos aplinkos ministro 2025 m. lapkričio 27 d. įsakymu Nr. D1-190 „Dėl Žemės sklypų formavimo ir pertvarkymo projektų rengimo taisyklių patvirtinimo“. Taip pat nurodytas neaktualus nutarimas, turi būti Kitos paskirties valstybinės žemės sklypų pardavimo ir nuomos taisyklės, patvirtintos Lietuvos Respublikos Vyriausybės 2024 m. kovo 27 d. nutarimu Nr. 260 ,,Dėl kitos paskirties valstybinės žemės sklypų pardavimo ir nuomos taisyklių patvirtinimo“.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patikslinus aiškinamąjį raštą.</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Kristina Arnašienė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