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F1E579" w14:textId="77777777" w:rsidR="00F029E6" w:rsidRDefault="00F029E6">
      <w:pPr>
        <w:pStyle w:val="Antrats"/>
        <w:jc w:val="center"/>
      </w:pPr>
      <w:r>
        <w:rPr>
          <w:b/>
          <w:sz w:val="28"/>
        </w:rPr>
        <w:t>SPRENDIMAS</w:t>
      </w:r>
    </w:p>
    <w:p w14:paraId="39FD569B" w14:textId="77777777" w:rsidR="00F029E6" w:rsidRDefault="00F029E6">
      <w:pPr>
        <w:pStyle w:val="Pavadinimas"/>
      </w:pPr>
      <w:r>
        <w:t xml:space="preserve">DĖL PANEVĖŽIO RAJONO SAVIVALDYBĖS TARYBOS ETIKOS KOMISIJOS </w:t>
      </w:r>
    </w:p>
    <w:p w14:paraId="46F057B1" w14:textId="4AC33143" w:rsidR="00F029E6" w:rsidRDefault="00FC72D8">
      <w:pPr>
        <w:pStyle w:val="Pavadinimas"/>
      </w:pPr>
      <w:r>
        <w:t>20</w:t>
      </w:r>
      <w:r w:rsidR="00F87A39">
        <w:t>2</w:t>
      </w:r>
      <w:r w:rsidR="00362C0F">
        <w:t>5</w:t>
      </w:r>
      <w:r w:rsidR="00F029E6">
        <w:t xml:space="preserve"> METŲ VEIKLOS ATASKAITOS PATVIRTINIMO </w:t>
      </w:r>
    </w:p>
    <w:p w14:paraId="0D6103E9" w14:textId="77777777" w:rsidR="00F029E6" w:rsidRDefault="00F029E6">
      <w:pPr>
        <w:jc w:val="center"/>
        <w:rPr>
          <w:b/>
        </w:rPr>
      </w:pPr>
    </w:p>
    <w:p w14:paraId="5DDFB69E" w14:textId="77777777" w:rsidR="00F029E6" w:rsidRDefault="00F029E6">
      <w:pPr>
        <w:jc w:val="center"/>
      </w:pPr>
      <w:r>
        <w:t xml:space="preserve"> </w:t>
      </w:r>
    </w:p>
    <w:p w14:paraId="6A6DB558" w14:textId="681F3A7E" w:rsidR="00F029E6" w:rsidRDefault="00FC72D8">
      <w:pPr>
        <w:jc w:val="center"/>
      </w:pPr>
      <w:r>
        <w:t>202</w:t>
      </w:r>
      <w:r w:rsidR="0078290D">
        <w:t>6</w:t>
      </w:r>
      <w:r w:rsidR="00F87A39">
        <w:t xml:space="preserve"> </w:t>
      </w:r>
      <w:r w:rsidR="00591989">
        <w:t>m. vasario 19</w:t>
      </w:r>
      <w:r w:rsidR="00B71719">
        <w:t xml:space="preserve"> d. Nr. T</w:t>
      </w:r>
      <w:r w:rsidR="00F029E6">
        <w:t>-</w:t>
      </w:r>
      <w:r w:rsidR="004F4020">
        <w:t>43</w:t>
      </w:r>
      <w:r w:rsidR="00F029E6">
        <w:t xml:space="preserve">    </w:t>
      </w:r>
    </w:p>
    <w:p w14:paraId="0DD2EB08" w14:textId="77777777" w:rsidR="00F029E6" w:rsidRDefault="00F029E6">
      <w:pPr>
        <w:jc w:val="center"/>
      </w:pPr>
      <w:r>
        <w:t>Panevėžys</w:t>
      </w:r>
    </w:p>
    <w:p w14:paraId="6F8F4142" w14:textId="77777777" w:rsidR="00F029E6" w:rsidRDefault="00F029E6">
      <w:pPr>
        <w:jc w:val="center"/>
      </w:pPr>
    </w:p>
    <w:p w14:paraId="65C77962" w14:textId="77777777" w:rsidR="00F029E6" w:rsidRDefault="00F029E6">
      <w:pPr>
        <w:jc w:val="center"/>
      </w:pPr>
    </w:p>
    <w:p w14:paraId="3088A0E9" w14:textId="77777777"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14:paraId="0491CB3D" w14:textId="56FD3A55" w:rsidR="00F029E6" w:rsidRDefault="00F029E6">
      <w:pPr>
        <w:jc w:val="both"/>
      </w:pPr>
      <w:r>
        <w:tab/>
        <w:t>Patvirtinti Panevėžio rajono savivaldybės tarybos etikos komisijos 20</w:t>
      </w:r>
      <w:r w:rsidR="007620BB">
        <w:t>25</w:t>
      </w:r>
      <w:r>
        <w:t xml:space="preserve"> metų veiklos ataskaitą (pridedama).</w:t>
      </w:r>
    </w:p>
    <w:p w14:paraId="682E864D" w14:textId="77777777" w:rsidR="00F029E6" w:rsidRDefault="00F029E6">
      <w:pPr>
        <w:jc w:val="both"/>
      </w:pPr>
    </w:p>
    <w:p w14:paraId="5BE31914" w14:textId="77777777" w:rsidR="00F029E6" w:rsidRDefault="00F029E6">
      <w:pPr>
        <w:jc w:val="both"/>
      </w:pPr>
    </w:p>
    <w:p w14:paraId="3245FDB1" w14:textId="0FD60BF0" w:rsidR="00F029E6" w:rsidRDefault="004F4020">
      <w:r>
        <w:t>Savivaldybės meras</w:t>
      </w:r>
      <w:r>
        <w:tab/>
      </w:r>
      <w:r>
        <w:tab/>
      </w:r>
      <w:r>
        <w:tab/>
      </w:r>
      <w:r>
        <w:tab/>
      </w:r>
      <w:r>
        <w:tab/>
      </w:r>
      <w:r>
        <w:tab/>
      </w:r>
      <w:r>
        <w:tab/>
      </w:r>
      <w:r>
        <w:tab/>
      </w:r>
      <w:r>
        <w:tab/>
        <w:t xml:space="preserve">      Antanas Pocius</w:t>
      </w:r>
    </w:p>
    <w:p w14:paraId="42223895" w14:textId="77777777" w:rsidR="00F029E6" w:rsidRDefault="00F029E6">
      <w:pPr>
        <w:jc w:val="center"/>
      </w:pPr>
    </w:p>
    <w:p w14:paraId="35E17855" w14:textId="77777777" w:rsidR="00F029E6" w:rsidRDefault="00F029E6">
      <w:pPr>
        <w:jc w:val="center"/>
      </w:pPr>
    </w:p>
    <w:p w14:paraId="25D2244E" w14:textId="77777777" w:rsidR="00F029E6" w:rsidRDefault="00F029E6">
      <w:pPr>
        <w:jc w:val="center"/>
      </w:pPr>
    </w:p>
    <w:p w14:paraId="09C78C7F" w14:textId="77777777" w:rsidR="00F029E6" w:rsidRDefault="00F029E6">
      <w:pPr>
        <w:jc w:val="center"/>
      </w:pPr>
    </w:p>
    <w:p w14:paraId="4765948A" w14:textId="77777777" w:rsidR="00F029E6" w:rsidRDefault="00F029E6">
      <w:pPr>
        <w:jc w:val="center"/>
      </w:pPr>
    </w:p>
    <w:p w14:paraId="1F005903" w14:textId="77777777" w:rsidR="00F029E6" w:rsidRDefault="00F029E6">
      <w:pPr>
        <w:jc w:val="center"/>
      </w:pPr>
    </w:p>
    <w:p w14:paraId="6B638AA0" w14:textId="77777777" w:rsidR="00F029E6" w:rsidRDefault="00F029E6">
      <w:pPr>
        <w:jc w:val="center"/>
      </w:pPr>
    </w:p>
    <w:p w14:paraId="64CA015A" w14:textId="77777777" w:rsidR="00F029E6" w:rsidRDefault="00F029E6"/>
    <w:p w14:paraId="34A2C2D2" w14:textId="77777777" w:rsidR="00F029E6" w:rsidRDefault="00F029E6"/>
    <w:p w14:paraId="6318C60F" w14:textId="77777777" w:rsidR="00F029E6" w:rsidRDefault="00F029E6"/>
    <w:p w14:paraId="48730A23" w14:textId="6CE5311B" w:rsidR="00F029E6" w:rsidRDefault="0087653C" w:rsidP="0087653C">
      <w:pPr>
        <w:tabs>
          <w:tab w:val="left" w:pos="6330"/>
        </w:tabs>
      </w:pPr>
      <w:r>
        <w:tab/>
      </w:r>
    </w:p>
    <w:p w14:paraId="0058AEA5" w14:textId="77777777" w:rsidR="00F029E6" w:rsidRDefault="00F029E6"/>
    <w:p w14:paraId="65309FD2" w14:textId="77777777" w:rsidR="00F029E6" w:rsidRDefault="00F029E6"/>
    <w:p w14:paraId="157017C1" w14:textId="77777777" w:rsidR="00F029E6" w:rsidRDefault="00F029E6"/>
    <w:p w14:paraId="084C0E86" w14:textId="77777777" w:rsidR="00F029E6" w:rsidRDefault="00F029E6"/>
    <w:p w14:paraId="68D5E220" w14:textId="77777777" w:rsidR="00F029E6" w:rsidRDefault="00F029E6"/>
    <w:p w14:paraId="7050CF59" w14:textId="77777777" w:rsidR="00F029E6" w:rsidRDefault="00F029E6"/>
    <w:p w14:paraId="672F6E7C" w14:textId="77777777" w:rsidR="00F029E6" w:rsidRDefault="00F029E6"/>
    <w:p w14:paraId="21AE6D48" w14:textId="77777777" w:rsidR="00F029E6" w:rsidRDefault="00F029E6"/>
    <w:p w14:paraId="3BA31BA7" w14:textId="77777777" w:rsidR="00F029E6" w:rsidRDefault="00F029E6"/>
    <w:p w14:paraId="7B68ADDB" w14:textId="77777777" w:rsidR="00F029E6" w:rsidRDefault="00F029E6"/>
    <w:p w14:paraId="79E2A2BE" w14:textId="77777777" w:rsidR="00F029E6" w:rsidRDefault="00F029E6"/>
    <w:p w14:paraId="068A3A5A" w14:textId="77777777" w:rsidR="00F029E6" w:rsidRDefault="00F029E6"/>
    <w:p w14:paraId="4ED94395" w14:textId="2194BEB8" w:rsidR="00F029E6" w:rsidRDefault="00F029E6">
      <w:pPr>
        <w:rPr>
          <w:bCs/>
          <w:color w:val="000000"/>
          <w:lang w:val="en-US"/>
        </w:rPr>
        <w:sectPr w:rsidR="00F029E6" w:rsidSect="00AA60D0">
          <w:headerReference w:type="default" r:id="rId8"/>
          <w:headerReference w:type="first" r:id="rId9"/>
          <w:pgSz w:w="11906" w:h="16838" w:code="9"/>
          <w:pgMar w:top="1134" w:right="567" w:bottom="1134" w:left="1701" w:header="1138" w:footer="567" w:gutter="0"/>
          <w:cols w:space="1296"/>
          <w:titlePg/>
          <w:docGrid w:linePitch="600" w:charSpace="32768"/>
        </w:sectPr>
      </w:pPr>
    </w:p>
    <w:p w14:paraId="00029276" w14:textId="77777777"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14:paraId="7DB9587C" w14:textId="77777777" w:rsidR="00F029E6" w:rsidRDefault="00F029E6">
      <w:pPr>
        <w:ind w:right="-1260"/>
      </w:pPr>
      <w:r>
        <w:tab/>
      </w:r>
      <w:r>
        <w:tab/>
      </w:r>
      <w:r>
        <w:tab/>
      </w:r>
      <w:r>
        <w:tab/>
      </w:r>
      <w:r>
        <w:tab/>
      </w:r>
      <w:r>
        <w:tab/>
      </w:r>
      <w:r>
        <w:tab/>
      </w:r>
      <w:r>
        <w:tab/>
        <w:t>Panevėžio rajono savivaldybės tarybos</w:t>
      </w:r>
    </w:p>
    <w:p w14:paraId="4A847FEA" w14:textId="67F080A0" w:rsidR="00F029E6" w:rsidRDefault="00F029E6">
      <w:pPr>
        <w:ind w:right="-1440"/>
      </w:pPr>
      <w:r>
        <w:tab/>
      </w:r>
      <w:r>
        <w:tab/>
      </w:r>
      <w:r>
        <w:tab/>
      </w:r>
      <w:r>
        <w:tab/>
      </w:r>
      <w:r>
        <w:tab/>
      </w:r>
      <w:r>
        <w:tab/>
      </w:r>
      <w:r>
        <w:tab/>
      </w:r>
      <w:r>
        <w:tab/>
        <w:t>20</w:t>
      </w:r>
      <w:r w:rsidR="00697C3C">
        <w:t>2</w:t>
      </w:r>
      <w:r w:rsidR="007620BB">
        <w:t>6 m. vasario 19</w:t>
      </w:r>
      <w:r w:rsidR="00697C3C">
        <w:t xml:space="preserve"> </w:t>
      </w:r>
      <w:r>
        <w:t>d. sprendimu Nr. T-</w:t>
      </w:r>
      <w:r w:rsidR="004F4020">
        <w:t>43</w:t>
      </w:r>
    </w:p>
    <w:p w14:paraId="2C0DDBA9" w14:textId="77777777" w:rsidR="00095C63" w:rsidRDefault="00095C63" w:rsidP="00644928"/>
    <w:p w14:paraId="2AB0BF88" w14:textId="77777777" w:rsidR="00095C63" w:rsidRDefault="00095C63">
      <w:pPr>
        <w:ind w:left="30"/>
      </w:pPr>
    </w:p>
    <w:p w14:paraId="59B095C7" w14:textId="77777777" w:rsidR="00095C63" w:rsidRDefault="00095C63">
      <w:pPr>
        <w:ind w:left="30"/>
      </w:pPr>
    </w:p>
    <w:p w14:paraId="666ED72C" w14:textId="77777777" w:rsidR="00F029E6" w:rsidRDefault="00F029E6">
      <w:pPr>
        <w:jc w:val="center"/>
        <w:rPr>
          <w:b/>
          <w:color w:val="000000"/>
        </w:rPr>
      </w:pPr>
      <w:r>
        <w:rPr>
          <w:b/>
        </w:rPr>
        <w:t>PANEVĖŽIO RAJONO SAVIVALDYBĖS TARYBOS ETIKOS KOMISIJOS</w:t>
      </w:r>
    </w:p>
    <w:p w14:paraId="454191B2" w14:textId="7A311948" w:rsidR="00F029E6" w:rsidRDefault="00025FB9">
      <w:pPr>
        <w:jc w:val="center"/>
        <w:rPr>
          <w:b/>
          <w:color w:val="000000"/>
        </w:rPr>
      </w:pPr>
      <w:r>
        <w:rPr>
          <w:b/>
          <w:color w:val="000000"/>
        </w:rPr>
        <w:t>20</w:t>
      </w:r>
      <w:r w:rsidR="00B60A18">
        <w:rPr>
          <w:b/>
          <w:color w:val="000000"/>
        </w:rPr>
        <w:t>2</w:t>
      </w:r>
      <w:r w:rsidR="007620BB">
        <w:rPr>
          <w:b/>
          <w:color w:val="000000"/>
        </w:rPr>
        <w:t>5</w:t>
      </w:r>
      <w:r w:rsidR="00F029E6">
        <w:rPr>
          <w:b/>
          <w:color w:val="000000"/>
        </w:rPr>
        <w:t xml:space="preserve"> METŲ VEIKLOS ATASKAITA</w:t>
      </w:r>
    </w:p>
    <w:p w14:paraId="7F7F23EA" w14:textId="77777777" w:rsidR="0073163E" w:rsidRDefault="0073163E" w:rsidP="002323EA">
      <w:pPr>
        <w:ind w:firstLine="709"/>
        <w:jc w:val="both"/>
        <w:rPr>
          <w:color w:val="000000"/>
        </w:rPr>
      </w:pPr>
    </w:p>
    <w:p w14:paraId="4B91C86F" w14:textId="77777777" w:rsidR="00095C63" w:rsidRDefault="00095C63" w:rsidP="002323EA">
      <w:pPr>
        <w:ind w:firstLine="709"/>
        <w:jc w:val="both"/>
        <w:rPr>
          <w:color w:val="000000"/>
        </w:rPr>
      </w:pPr>
    </w:p>
    <w:p w14:paraId="26278B80" w14:textId="2C0FA0E0" w:rsidR="00D426B0" w:rsidRDefault="002323EA" w:rsidP="00D426B0">
      <w:pPr>
        <w:ind w:firstLine="709"/>
        <w:jc w:val="both"/>
        <w:rPr>
          <w:color w:val="000000"/>
        </w:rPr>
      </w:pPr>
      <w:r w:rsidRPr="009E3FC9">
        <w:rPr>
          <w:color w:val="000000"/>
        </w:rPr>
        <w:t>Ataskaitiniu laikotarpiu</w:t>
      </w:r>
      <w:r w:rsidR="000D0757">
        <w:rPr>
          <w:color w:val="000000"/>
        </w:rPr>
        <w:t xml:space="preserve"> veikė Savivaldybės tarybos 2023 m. kovo 5</w:t>
      </w:r>
      <w:r w:rsidRPr="009E3FC9">
        <w:rPr>
          <w:color w:val="000000"/>
        </w:rPr>
        <w:t xml:space="preserve"> </w:t>
      </w:r>
      <w:r w:rsidR="000D0757">
        <w:rPr>
          <w:color w:val="000000"/>
        </w:rPr>
        <w:t>d. sprendimu Nr. T-126</w:t>
      </w:r>
      <w:r w:rsidRPr="009E3FC9">
        <w:rPr>
          <w:color w:val="000000"/>
        </w:rPr>
        <w:t xml:space="preserve"> „Dėl Panevėžio rajono savivaldybės tarybos etikos komisijos sudarymo ir jos veiklos nuostatų</w:t>
      </w:r>
      <w:r w:rsidR="00BB063A">
        <w:rPr>
          <w:color w:val="000000"/>
        </w:rPr>
        <w:t xml:space="preserve"> patvirtinimo“</w:t>
      </w:r>
      <w:r w:rsidR="007620BB">
        <w:rPr>
          <w:color w:val="000000"/>
        </w:rPr>
        <w:t xml:space="preserve"> ir 2024 m. sausio 25 d.</w:t>
      </w:r>
      <w:r w:rsidR="00EF43CA">
        <w:rPr>
          <w:color w:val="000000"/>
        </w:rPr>
        <w:t xml:space="preserve"> Savivaldybės tarybos sprendimu</w:t>
      </w:r>
      <w:r w:rsidR="007620BB">
        <w:rPr>
          <w:color w:val="000000"/>
        </w:rPr>
        <w:t xml:space="preserve"> Nr. T-196 „Dėl Panevėžio rajono savivaldybės tarybos etikos komisijos sudarymo ir jos veiklos nuostatų patvirtinimo“ pakeitimo“, </w:t>
      </w:r>
      <w:r w:rsidR="00BB063A">
        <w:rPr>
          <w:color w:val="000000"/>
        </w:rPr>
        <w:t>sudaryta komisija</w:t>
      </w:r>
      <w:r w:rsidR="000D0757">
        <w:rPr>
          <w:color w:val="000000"/>
        </w:rPr>
        <w:t xml:space="preserve"> Savivaldybės tarybos įgaliojimų laikui</w:t>
      </w:r>
      <w:r w:rsidR="00644928">
        <w:rPr>
          <w:color w:val="000000"/>
        </w:rPr>
        <w:t>. Jos</w:t>
      </w:r>
      <w:r w:rsidR="00BB063A">
        <w:rPr>
          <w:color w:val="000000"/>
        </w:rPr>
        <w:t xml:space="preserve"> sudėtis</w:t>
      </w:r>
      <w:r w:rsidR="000D0757">
        <w:rPr>
          <w:color w:val="000000"/>
        </w:rPr>
        <w:t xml:space="preserve">: komisijos pirmininkas – Jonas Masiokas, </w:t>
      </w:r>
      <w:proofErr w:type="spellStart"/>
      <w:r w:rsidR="000D0757">
        <w:rPr>
          <w:color w:val="000000"/>
        </w:rPr>
        <w:t>pirminimo</w:t>
      </w:r>
      <w:proofErr w:type="spellEnd"/>
      <w:r w:rsidR="000D0757">
        <w:rPr>
          <w:color w:val="000000"/>
        </w:rPr>
        <w:t xml:space="preserve"> pavaduotoja</w:t>
      </w:r>
      <w:r w:rsidR="007620BB">
        <w:rPr>
          <w:color w:val="000000"/>
        </w:rPr>
        <w:t xml:space="preserve">s – Jonas Kaušakys, </w:t>
      </w:r>
      <w:r w:rsidR="000D0757">
        <w:rPr>
          <w:color w:val="000000"/>
        </w:rPr>
        <w:t xml:space="preserve">nariai: Alfonsas Bakšys, Genė </w:t>
      </w:r>
      <w:proofErr w:type="spellStart"/>
      <w:r w:rsidR="000D0757">
        <w:rPr>
          <w:color w:val="000000"/>
        </w:rPr>
        <w:t>Jakaitienė</w:t>
      </w:r>
      <w:proofErr w:type="spellEnd"/>
      <w:r w:rsidR="000D0757">
        <w:rPr>
          <w:color w:val="000000"/>
        </w:rPr>
        <w:t xml:space="preserve">, Jūratė </w:t>
      </w:r>
      <w:proofErr w:type="spellStart"/>
      <w:r w:rsidR="000D0757">
        <w:rPr>
          <w:color w:val="000000"/>
        </w:rPr>
        <w:t>Januškienė</w:t>
      </w:r>
      <w:proofErr w:type="spellEnd"/>
      <w:r w:rsidR="000D0757">
        <w:rPr>
          <w:color w:val="000000"/>
        </w:rPr>
        <w:t xml:space="preserve">, Ramutė Kavaliauskaitė, Donatas Tumas. </w:t>
      </w:r>
    </w:p>
    <w:p w14:paraId="1F07DDF6" w14:textId="77777777" w:rsidR="00D426B0" w:rsidRDefault="00391119" w:rsidP="00D426B0">
      <w:pPr>
        <w:ind w:firstLine="709"/>
        <w:jc w:val="both"/>
        <w:rPr>
          <w:color w:val="000000"/>
        </w:rPr>
      </w:pPr>
      <w:r w:rsidRPr="007D4536">
        <w:rPr>
          <w:rFonts w:eastAsia="Times New Roman" w:cs="Times New Roman"/>
          <w:kern w:val="0"/>
          <w:lang w:eastAsia="lt-LT" w:bidi="ar-SA"/>
        </w:rPr>
        <w:t>Panevėžio rajono savivaldybės tarybos etikos komisija (toliau – Komisija) 2025 metais vykdė veiklą vadovaudamasi Lietuvos Respublikos vietos savivaldos įstatymu, Valstybės politikų elgesio kodeksu, Viešųjų ir privačių interesų derinimo įstatymu, Savivaldybės tarybos veiklos reglamentu ir kitais teisės aktais, reglamentuojančiais valstybės politikų elgesio standartus bei etikos priežiūrą.</w:t>
      </w:r>
    </w:p>
    <w:p w14:paraId="084C5812" w14:textId="0BDAE5FC" w:rsidR="00236D0E" w:rsidRPr="00D426B0" w:rsidRDefault="006B0D5E" w:rsidP="00D426B0">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w:t>
      </w:r>
      <w:r w:rsidR="00391119">
        <w:rPr>
          <w:color w:val="000000"/>
        </w:rPr>
        <w:t>.</w:t>
      </w:r>
      <w:r w:rsidR="006A2645">
        <w:rPr>
          <w:color w:val="000000"/>
        </w:rPr>
        <w:t xml:space="preserve"> Dalyvauta nuotoliniuose susitikimuose su Vyriausiosios tarnybinės etikos komisijos specialistais.</w:t>
      </w:r>
    </w:p>
    <w:p w14:paraId="53739808" w14:textId="77777777" w:rsidR="006B0D5E" w:rsidRDefault="00236D0E" w:rsidP="00D426B0">
      <w:pPr>
        <w:ind w:firstLine="709"/>
        <w:jc w:val="both"/>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14:paraId="6219409C" w14:textId="610463B2" w:rsidR="00D6286A" w:rsidRPr="00236D0E" w:rsidRDefault="00D6286A" w:rsidP="00D426B0">
      <w:pPr>
        <w:ind w:firstLine="709"/>
        <w:jc w:val="both"/>
        <w:rPr>
          <w:highlight w:val="green"/>
        </w:rPr>
      </w:pPr>
      <w:r>
        <w:rPr>
          <w:bCs/>
        </w:rPr>
        <w:t xml:space="preserve">Savivaldybės tarybos nariai elektroniniu laišku buvo supažindinti su Deklaruojančių asmenų pareigomis nusišalinti vadovaujantis Rekomendacija dėl Savivaldybės tarybos narių nusišalinimo tvarkos, patvirtintos Vyriausiosios tarnybinės etikos komisijos 2023 m. gegužės 10 d. </w:t>
      </w:r>
      <w:r w:rsidR="002464CC">
        <w:rPr>
          <w:bCs/>
        </w:rPr>
        <w:t xml:space="preserve">              </w:t>
      </w:r>
      <w:r>
        <w:rPr>
          <w:bCs/>
        </w:rPr>
        <w:t>sprendimu Nr. KS-84 „Dėl rekomendacijų dėl Savivaldybės mero nusišalinimo tvarkos ir Savivaldybės tarybos narių nusišalinimo tvarkos patvirtinimo ir Vyriausiosios tarnybinės etikos komisijos 2024 m. lapkričio 13 d. sprendimu Nr. KS-2024/106 „Dėl  Vyriausiosios tarnybinės etikos komisijos 2023 m. gegužės 10 d. sprendimo Nr. KS-84 „Dėl rekomendacijų dėl Savivaldybės mero nusišalinimo tvarkos ir Savivaldybės tarybos narių nusišalinimo tvarkos patvirtinimo“ pakeitimo“.</w:t>
      </w:r>
    </w:p>
    <w:p w14:paraId="149C48DF" w14:textId="77777777" w:rsidR="00095C63" w:rsidRPr="006A2645" w:rsidRDefault="003658EE" w:rsidP="00D426B0">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14:paraId="4AA43DF2" w14:textId="4165F22E" w:rsidR="006705E0" w:rsidRPr="002607AA" w:rsidRDefault="001F2287" w:rsidP="00D426B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7620BB">
        <w:rPr>
          <w:color w:val="000000"/>
        </w:rPr>
        <w:t>5</w:t>
      </w:r>
      <w:r w:rsidR="006705E0" w:rsidRPr="002607AA">
        <w:rPr>
          <w:color w:val="000000"/>
        </w:rPr>
        <w:t xml:space="preserve"> m. Tarybos narių pareikštus nusišalinimus ir jų priėmimą ar nepriėmimą. </w:t>
      </w:r>
    </w:p>
    <w:p w14:paraId="19E949D4" w14:textId="77777777" w:rsidR="006705E0" w:rsidRPr="006E31C2" w:rsidRDefault="006705E0" w:rsidP="00D426B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14:paraId="03A13766" w14:textId="77777777" w:rsidTr="00E00347">
        <w:tc>
          <w:tcPr>
            <w:tcW w:w="5580" w:type="dxa"/>
            <w:tcBorders>
              <w:top w:val="single" w:sz="1" w:space="0" w:color="000000"/>
              <w:left w:val="single" w:sz="1" w:space="0" w:color="000000"/>
              <w:bottom w:val="single" w:sz="1" w:space="0" w:color="000000"/>
            </w:tcBorders>
          </w:tcPr>
          <w:p w14:paraId="25C2067C" w14:textId="77777777" w:rsidR="006705E0" w:rsidRPr="004E5C1A" w:rsidRDefault="006705E0" w:rsidP="00D426B0">
            <w:pPr>
              <w:pStyle w:val="TableContents"/>
              <w:jc w:val="both"/>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tcPr>
          <w:p w14:paraId="1F7F8CEE" w14:textId="77777777" w:rsidR="006705E0" w:rsidRPr="004E5C1A" w:rsidRDefault="006705E0" w:rsidP="00D426B0">
            <w:pPr>
              <w:pStyle w:val="TableContents"/>
              <w:snapToGrid w:val="0"/>
              <w:jc w:val="both"/>
            </w:pPr>
          </w:p>
          <w:p w14:paraId="7B4E3DAE" w14:textId="77777777" w:rsidR="006705E0" w:rsidRPr="004E5C1A" w:rsidRDefault="006705E0" w:rsidP="00D426B0">
            <w:pPr>
              <w:pStyle w:val="TableContents"/>
              <w:jc w:val="both"/>
            </w:pPr>
            <w:r w:rsidRPr="004E5C1A">
              <w:t>Nusišalinimo atvejai</w:t>
            </w:r>
          </w:p>
        </w:tc>
      </w:tr>
      <w:tr w:rsidR="006705E0" w:rsidRPr="006E31C2" w14:paraId="6C6CE984" w14:textId="77777777" w:rsidTr="00E00347">
        <w:trPr>
          <w:trHeight w:val="293"/>
        </w:trPr>
        <w:tc>
          <w:tcPr>
            <w:tcW w:w="5580" w:type="dxa"/>
            <w:vMerge w:val="restart"/>
            <w:tcBorders>
              <w:left w:val="single" w:sz="1" w:space="0" w:color="000000"/>
              <w:bottom w:val="single" w:sz="1" w:space="0" w:color="000000"/>
            </w:tcBorders>
          </w:tcPr>
          <w:p w14:paraId="5AD6E8D8" w14:textId="77777777" w:rsidR="006705E0" w:rsidRPr="006E31C2" w:rsidRDefault="006705E0" w:rsidP="00D426B0">
            <w:pPr>
              <w:pStyle w:val="TableContents"/>
              <w:snapToGrid w:val="0"/>
              <w:jc w:val="both"/>
              <w:rPr>
                <w:highlight w:val="yellow"/>
              </w:rPr>
            </w:pPr>
          </w:p>
          <w:p w14:paraId="01AF876E" w14:textId="60CE96F5" w:rsidR="006705E0" w:rsidRPr="006E31C2" w:rsidRDefault="007E195C" w:rsidP="00D426B0">
            <w:pPr>
              <w:pStyle w:val="TableContents"/>
              <w:jc w:val="center"/>
              <w:rPr>
                <w:highlight w:val="yellow"/>
              </w:rPr>
            </w:pPr>
            <w:r>
              <w:t>23</w:t>
            </w:r>
          </w:p>
        </w:tc>
        <w:tc>
          <w:tcPr>
            <w:tcW w:w="4060" w:type="dxa"/>
            <w:gridSpan w:val="2"/>
            <w:tcBorders>
              <w:left w:val="single" w:sz="1" w:space="0" w:color="000000"/>
              <w:bottom w:val="single" w:sz="1" w:space="0" w:color="000000"/>
              <w:right w:val="single" w:sz="1" w:space="0" w:color="000000"/>
            </w:tcBorders>
          </w:tcPr>
          <w:p w14:paraId="45EB3C16" w14:textId="6196391D" w:rsidR="006705E0" w:rsidRPr="00DB4668" w:rsidRDefault="00DB4668" w:rsidP="00D426B0">
            <w:pPr>
              <w:pStyle w:val="TableContents"/>
              <w:snapToGrid w:val="0"/>
              <w:jc w:val="center"/>
              <w:rPr>
                <w:rStyle w:val="Grietas"/>
                <w:highlight w:val="yellow"/>
              </w:rPr>
            </w:pPr>
            <w:r>
              <w:t>441</w:t>
            </w:r>
          </w:p>
        </w:tc>
      </w:tr>
      <w:tr w:rsidR="006705E0" w:rsidRPr="006E31C2" w14:paraId="090610AB" w14:textId="77777777" w:rsidTr="00E00347">
        <w:trPr>
          <w:trHeight w:val="240"/>
        </w:trPr>
        <w:tc>
          <w:tcPr>
            <w:tcW w:w="5580" w:type="dxa"/>
            <w:vMerge/>
            <w:tcBorders>
              <w:left w:val="single" w:sz="1" w:space="0" w:color="000000"/>
              <w:bottom w:val="single" w:sz="1" w:space="0" w:color="000000"/>
            </w:tcBorders>
          </w:tcPr>
          <w:p w14:paraId="29474F69" w14:textId="77777777" w:rsidR="006705E0" w:rsidRPr="006E31C2" w:rsidRDefault="006705E0" w:rsidP="00D426B0">
            <w:pPr>
              <w:pStyle w:val="TableContents"/>
              <w:jc w:val="both"/>
              <w:rPr>
                <w:highlight w:val="yellow"/>
              </w:rPr>
            </w:pPr>
          </w:p>
        </w:tc>
        <w:tc>
          <w:tcPr>
            <w:tcW w:w="2037" w:type="dxa"/>
            <w:tcBorders>
              <w:left w:val="single" w:sz="1" w:space="0" w:color="000000"/>
              <w:bottom w:val="single" w:sz="1" w:space="0" w:color="000000"/>
            </w:tcBorders>
          </w:tcPr>
          <w:p w14:paraId="2FBE3CB2" w14:textId="77777777" w:rsidR="006705E0" w:rsidRPr="004E5C1A" w:rsidRDefault="006705E0" w:rsidP="00D426B0">
            <w:pPr>
              <w:pStyle w:val="TableContents"/>
              <w:jc w:val="both"/>
            </w:pPr>
            <w:r w:rsidRPr="004E5C1A">
              <w:t>priimti</w:t>
            </w:r>
          </w:p>
        </w:tc>
        <w:tc>
          <w:tcPr>
            <w:tcW w:w="2023" w:type="dxa"/>
            <w:tcBorders>
              <w:left w:val="single" w:sz="1" w:space="0" w:color="000000"/>
              <w:bottom w:val="single" w:sz="1" w:space="0" w:color="000000"/>
              <w:right w:val="single" w:sz="1" w:space="0" w:color="000000"/>
            </w:tcBorders>
          </w:tcPr>
          <w:p w14:paraId="302B526E" w14:textId="77777777" w:rsidR="006705E0" w:rsidRPr="004E5C1A" w:rsidRDefault="006705E0" w:rsidP="00D426B0">
            <w:pPr>
              <w:pStyle w:val="TableContents"/>
              <w:jc w:val="both"/>
            </w:pPr>
            <w:r w:rsidRPr="004E5C1A">
              <w:t>nepriimti</w:t>
            </w:r>
          </w:p>
        </w:tc>
      </w:tr>
      <w:tr w:rsidR="006705E0" w:rsidRPr="006E31C2" w14:paraId="5255CF86" w14:textId="77777777" w:rsidTr="00E00347">
        <w:trPr>
          <w:trHeight w:val="249"/>
        </w:trPr>
        <w:tc>
          <w:tcPr>
            <w:tcW w:w="5580" w:type="dxa"/>
            <w:vMerge/>
            <w:tcBorders>
              <w:left w:val="single" w:sz="1" w:space="0" w:color="000000"/>
              <w:bottom w:val="single" w:sz="1" w:space="0" w:color="000000"/>
            </w:tcBorders>
          </w:tcPr>
          <w:p w14:paraId="48BA2745" w14:textId="77777777" w:rsidR="006705E0" w:rsidRPr="006E31C2" w:rsidRDefault="006705E0" w:rsidP="00D426B0">
            <w:pPr>
              <w:pStyle w:val="TableContents"/>
              <w:snapToGrid w:val="0"/>
              <w:jc w:val="both"/>
              <w:rPr>
                <w:highlight w:val="yellow"/>
              </w:rPr>
            </w:pPr>
          </w:p>
        </w:tc>
        <w:tc>
          <w:tcPr>
            <w:tcW w:w="2037" w:type="dxa"/>
            <w:tcBorders>
              <w:left w:val="single" w:sz="1" w:space="0" w:color="000000"/>
              <w:bottom w:val="single" w:sz="1" w:space="0" w:color="000000"/>
            </w:tcBorders>
          </w:tcPr>
          <w:p w14:paraId="28814FEB" w14:textId="67AB7E83" w:rsidR="006705E0" w:rsidRPr="006E31C2" w:rsidRDefault="00DB4668" w:rsidP="00D426B0">
            <w:pPr>
              <w:pStyle w:val="TableContents"/>
              <w:jc w:val="center"/>
              <w:rPr>
                <w:highlight w:val="yellow"/>
              </w:rPr>
            </w:pPr>
            <w:r>
              <w:t>247</w:t>
            </w:r>
          </w:p>
        </w:tc>
        <w:tc>
          <w:tcPr>
            <w:tcW w:w="2023" w:type="dxa"/>
            <w:tcBorders>
              <w:left w:val="single" w:sz="1" w:space="0" w:color="000000"/>
              <w:bottom w:val="single" w:sz="1" w:space="0" w:color="000000"/>
              <w:right w:val="single" w:sz="1" w:space="0" w:color="000000"/>
            </w:tcBorders>
          </w:tcPr>
          <w:p w14:paraId="03E3B9A6" w14:textId="7267A839" w:rsidR="006705E0" w:rsidRPr="006E31C2" w:rsidRDefault="00DB4668" w:rsidP="00D426B0">
            <w:pPr>
              <w:pStyle w:val="TableContents"/>
              <w:jc w:val="center"/>
              <w:rPr>
                <w:highlight w:val="yellow"/>
              </w:rPr>
            </w:pPr>
            <w:r w:rsidRPr="00235C51">
              <w:t>194</w:t>
            </w:r>
          </w:p>
        </w:tc>
      </w:tr>
    </w:tbl>
    <w:p w14:paraId="410726B0" w14:textId="77777777" w:rsidR="00F47063" w:rsidRDefault="00F47063" w:rsidP="00D426B0">
      <w:pPr>
        <w:ind w:firstLine="709"/>
        <w:jc w:val="both"/>
      </w:pPr>
    </w:p>
    <w:p w14:paraId="4A641410" w14:textId="0F6D7CAC" w:rsidR="00DE4944" w:rsidRDefault="00DD7AAB" w:rsidP="00D426B0">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D426B0">
        <w:t>Savivaldybės</w:t>
      </w:r>
      <w:r w:rsidR="008E0FA1">
        <w:t xml:space="preserve"> </w:t>
      </w:r>
      <w:r w:rsidR="008F08AE">
        <w:br/>
      </w:r>
      <w:r w:rsidR="008E0FA1">
        <w:t xml:space="preserve">2023–2025 m. strateginio veiklos plano patvirtinimo, </w:t>
      </w:r>
      <w:r w:rsidR="002323EA" w:rsidRPr="00A77ADB">
        <w:t>Savivaldybės 202</w:t>
      </w:r>
      <w:r w:rsidR="00362C0F">
        <w:t>5</w:t>
      </w:r>
      <w:r w:rsidR="00391119">
        <w:t>–2027</w:t>
      </w:r>
      <w:r w:rsidR="00D461BD">
        <w:t xml:space="preserve"> metų</w:t>
      </w:r>
      <w:r w:rsidR="0067256C" w:rsidRPr="00A77ADB">
        <w:t xml:space="preserve"> biudžeto patvirtinimo</w:t>
      </w:r>
      <w:r w:rsidR="00D0418E">
        <w:t xml:space="preserve"> ir jo pakeitimo</w:t>
      </w:r>
      <w:r w:rsidR="00BA181E">
        <w:t>,</w:t>
      </w:r>
      <w:r w:rsidR="00886D69">
        <w:t xml:space="preserve"> įvairių projektų rengimo,</w:t>
      </w:r>
      <w:r w:rsidR="00BA181E">
        <w:rPr>
          <w:bCs/>
        </w:rPr>
        <w:t xml:space="preserve"> dėl turto perėmimo</w:t>
      </w:r>
      <w:r w:rsidR="00391119">
        <w:rPr>
          <w:bCs/>
        </w:rPr>
        <w:t>, dėl sutikimo reorganizuoti Panevėžio rajono savivaldybės biudžetines įstaigas</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w:t>
      </w:r>
      <w:r w:rsidR="004D17E3">
        <w:t>ebūtų įmanoma priimti spren</w:t>
      </w:r>
      <w:r w:rsidR="00391119">
        <w:t>dimų</w:t>
      </w:r>
      <w:r w:rsidR="004D17E3" w:rsidRPr="004D17E3">
        <w:t>.</w:t>
      </w:r>
    </w:p>
    <w:p w14:paraId="48C3EC5B" w14:textId="007187FF" w:rsidR="00D426B0" w:rsidRPr="002464CC" w:rsidRDefault="0059744D" w:rsidP="00D426B0">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r w:rsidR="002B1770">
        <w:rPr>
          <w:color w:val="000000"/>
        </w:rPr>
        <w:t>Nors interesų konfliktas pats savaime dar nėra etikos principų pažeidimas, tačiau jis neišvengiamai atsiranda ten, kur konfliktai tarp privačių interesų ir viešųjų pareigų sprendžiami netinkamai arba visai nesprendžiami.</w:t>
      </w:r>
      <w:r w:rsidR="008A0225">
        <w:rPr>
          <w:color w:val="000000"/>
        </w:rPr>
        <w:t xml:space="preserve"> </w:t>
      </w:r>
      <w:r w:rsidR="008E0FA1">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FF13A9">
        <w:rPr>
          <w:color w:val="000000"/>
          <w:shd w:val="clear" w:color="auto" w:fill="FFFFFF"/>
        </w:rPr>
        <w:t>daug dėmesio buvo skiriama</w:t>
      </w:r>
      <w:r w:rsidR="00B839AE">
        <w:rPr>
          <w:color w:val="000000"/>
          <w:shd w:val="clear" w:color="auto" w:fill="FFFFFF"/>
        </w:rPr>
        <w:t xml:space="preserve">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362C0F">
        <w:rPr>
          <w:color w:val="000000"/>
        </w:rPr>
        <w:t xml:space="preserve">tvarkos ir </w:t>
      </w:r>
      <w:r w:rsidR="00AF611D" w:rsidRPr="00B913CD">
        <w:rPr>
          <w:color w:val="000000"/>
        </w:rPr>
        <w:t>nus</w:t>
      </w:r>
      <w:r w:rsidR="00B913CD" w:rsidRPr="00B913CD">
        <w:rPr>
          <w:color w:val="000000"/>
        </w:rPr>
        <w:t>išalinimo nepriėmimo procedūrų.</w:t>
      </w:r>
      <w:r w:rsidR="00362C0F">
        <w:rPr>
          <w:color w:val="000000"/>
        </w:rPr>
        <w:t xml:space="preserve"> </w:t>
      </w:r>
      <w:r w:rsidR="00362C0F" w:rsidRPr="007D4536">
        <w:rPr>
          <w:rFonts w:eastAsia="Times New Roman" w:cs="Times New Roman"/>
          <w:kern w:val="0"/>
          <w:lang w:eastAsia="lt-LT" w:bidi="ar-SA"/>
        </w:rPr>
        <w:t xml:space="preserve">Bendras etikos normų laikymosi lygis vertintinas kaip </w:t>
      </w:r>
      <w:r w:rsidR="00D426B0" w:rsidRPr="002464CC">
        <w:rPr>
          <w:rFonts w:eastAsia="Times New Roman" w:cs="Times New Roman"/>
          <w:bCs/>
          <w:kern w:val="0"/>
          <w:lang w:eastAsia="lt-LT" w:bidi="ar-SA"/>
        </w:rPr>
        <w:t>stabilus ir</w:t>
      </w:r>
      <w:r w:rsidR="002464CC" w:rsidRPr="002464CC">
        <w:rPr>
          <w:rFonts w:eastAsia="Times New Roman" w:cs="Times New Roman"/>
          <w:bCs/>
          <w:kern w:val="0"/>
          <w:lang w:eastAsia="lt-LT" w:bidi="ar-SA"/>
        </w:rPr>
        <w:t xml:space="preserve"> </w:t>
      </w:r>
      <w:r w:rsidR="00362C0F" w:rsidRPr="002464CC">
        <w:rPr>
          <w:rFonts w:eastAsia="Times New Roman" w:cs="Times New Roman"/>
          <w:bCs/>
          <w:kern w:val="0"/>
          <w:lang w:eastAsia="lt-LT" w:bidi="ar-SA"/>
        </w:rPr>
        <w:t>atitinkantis teisės aktų reikalavimus</w:t>
      </w:r>
      <w:r w:rsidR="00362C0F" w:rsidRPr="002464CC">
        <w:rPr>
          <w:rFonts w:eastAsia="Times New Roman" w:cs="Times New Roman"/>
          <w:kern w:val="0"/>
          <w:lang w:eastAsia="lt-LT" w:bidi="ar-SA"/>
        </w:rPr>
        <w:t>.</w:t>
      </w:r>
    </w:p>
    <w:p w14:paraId="79EBF18A" w14:textId="1F4F2BF0" w:rsidR="00362C0F" w:rsidRPr="00D426B0" w:rsidRDefault="00362C0F" w:rsidP="00D426B0">
      <w:pPr>
        <w:ind w:firstLine="709"/>
        <w:jc w:val="both"/>
        <w:rPr>
          <w:color w:val="000000"/>
        </w:rPr>
      </w:pPr>
      <w:r w:rsidRPr="00391119">
        <w:rPr>
          <w:rFonts w:eastAsia="Times New Roman" w:cs="Times New Roman"/>
          <w:kern w:val="0"/>
          <w:lang w:eastAsia="lt-LT" w:bidi="ar-SA"/>
        </w:rPr>
        <w:t>Komisija konstatuoja, kad 2025 metais jai pavestos funkcijos buvo įvykdytos tinkamai, sprendimai priimti laikantis teisės aktų reikalavimų, o Komisijos veikla prisidėjo prie skaidrumo, atsakomybės ir etikos standartų stiprinimo Panevėžio rajono savivaldybės taryboje.</w:t>
      </w:r>
    </w:p>
    <w:p w14:paraId="4A1D3BD1" w14:textId="77777777" w:rsidR="00EB7DC8" w:rsidRDefault="00EB7DC8" w:rsidP="006F12EC">
      <w:pPr>
        <w:spacing w:after="120"/>
        <w:jc w:val="center"/>
      </w:pPr>
      <w:r w:rsidRPr="00EB1066">
        <w:t>______________________</w:t>
      </w:r>
    </w:p>
    <w:p w14:paraId="5E8C919F" w14:textId="77777777" w:rsidR="00A07A25" w:rsidRDefault="00A07A25">
      <w:pPr>
        <w:ind w:firstLine="709"/>
        <w:jc w:val="both"/>
        <w:rPr>
          <w:color w:val="000000"/>
        </w:rPr>
      </w:pPr>
    </w:p>
    <w:p w14:paraId="51BB72A7" w14:textId="77777777" w:rsidR="00AA60D0" w:rsidRDefault="00AA60D0">
      <w:pPr>
        <w:jc w:val="center"/>
        <w:rPr>
          <w:b/>
          <w:bCs/>
        </w:rPr>
        <w:sectPr w:rsidR="00AA60D0" w:rsidSect="00AA60D0">
          <w:headerReference w:type="default" r:id="rId10"/>
          <w:headerReference w:type="first" r:id="rId11"/>
          <w:pgSz w:w="11906" w:h="16838" w:code="9"/>
          <w:pgMar w:top="1134" w:right="567" w:bottom="1134" w:left="1701" w:header="1135" w:footer="567" w:gutter="0"/>
          <w:pgNumType w:start="2"/>
          <w:cols w:space="1296"/>
          <w:titlePg/>
          <w:docGrid w:linePitch="600" w:charSpace="32768"/>
        </w:sectPr>
      </w:pPr>
    </w:p>
    <w:p w14:paraId="1F2A4E1B" w14:textId="77777777" w:rsidR="003B3BCC" w:rsidRDefault="003B3BCC">
      <w:pPr>
        <w:jc w:val="center"/>
        <w:rPr>
          <w:b/>
          <w:bCs/>
        </w:rPr>
      </w:pPr>
    </w:p>
    <w:p w14:paraId="350328B1" w14:textId="77777777" w:rsidR="00283AD2" w:rsidRDefault="00283AD2">
      <w:pPr>
        <w:jc w:val="center"/>
        <w:rPr>
          <w:b/>
          <w:bCs/>
        </w:rPr>
      </w:pPr>
    </w:p>
    <w:p w14:paraId="553CE1B2" w14:textId="77777777" w:rsidR="00283AD2" w:rsidRDefault="00283AD2">
      <w:pPr>
        <w:jc w:val="center"/>
        <w:rPr>
          <w:b/>
          <w:bCs/>
        </w:rPr>
      </w:pPr>
    </w:p>
    <w:p w14:paraId="1BAB49E0" w14:textId="77777777" w:rsidR="00283AD2" w:rsidRDefault="00283AD2">
      <w:pPr>
        <w:jc w:val="center"/>
        <w:rPr>
          <w:b/>
          <w:bCs/>
        </w:rPr>
      </w:pPr>
    </w:p>
    <w:p w14:paraId="153DD28C" w14:textId="77777777" w:rsidR="00283AD2" w:rsidRDefault="00283AD2">
      <w:pPr>
        <w:jc w:val="center"/>
        <w:rPr>
          <w:b/>
          <w:bCs/>
        </w:rPr>
      </w:pPr>
    </w:p>
    <w:p w14:paraId="0333A607" w14:textId="77777777" w:rsidR="00591989" w:rsidRDefault="00591989">
      <w:pPr>
        <w:jc w:val="center"/>
        <w:rPr>
          <w:b/>
          <w:bCs/>
        </w:rPr>
      </w:pPr>
    </w:p>
    <w:p w14:paraId="6F74FEE1" w14:textId="77777777" w:rsidR="00591989" w:rsidRDefault="00591989">
      <w:pPr>
        <w:jc w:val="center"/>
        <w:rPr>
          <w:b/>
          <w:bCs/>
        </w:rPr>
      </w:pPr>
    </w:p>
    <w:p w14:paraId="7663019D" w14:textId="77777777" w:rsidR="00591989" w:rsidRDefault="00591989">
      <w:pPr>
        <w:jc w:val="center"/>
        <w:rPr>
          <w:b/>
          <w:bCs/>
        </w:rPr>
      </w:pPr>
    </w:p>
    <w:p w14:paraId="4F41C8F7" w14:textId="77777777" w:rsidR="00591989" w:rsidRDefault="00591989">
      <w:pPr>
        <w:jc w:val="center"/>
        <w:rPr>
          <w:b/>
          <w:bCs/>
        </w:rPr>
      </w:pPr>
    </w:p>
    <w:p w14:paraId="29C778FC" w14:textId="77777777" w:rsidR="00591989" w:rsidRDefault="00591989">
      <w:pPr>
        <w:jc w:val="center"/>
        <w:rPr>
          <w:b/>
          <w:bCs/>
        </w:rPr>
      </w:pPr>
    </w:p>
    <w:p w14:paraId="7FC2F2DD" w14:textId="77777777" w:rsidR="005927BF" w:rsidRDefault="005927BF">
      <w:pPr>
        <w:jc w:val="center"/>
        <w:rPr>
          <w:b/>
          <w:bCs/>
        </w:rPr>
      </w:pPr>
    </w:p>
    <w:p w14:paraId="67B5B030" w14:textId="77777777" w:rsidR="00D426B0" w:rsidRDefault="00D426B0">
      <w:pPr>
        <w:jc w:val="center"/>
        <w:rPr>
          <w:b/>
          <w:bCs/>
        </w:rPr>
      </w:pPr>
    </w:p>
    <w:p w14:paraId="403511C1" w14:textId="77777777" w:rsidR="00D426B0" w:rsidRDefault="00D426B0">
      <w:pPr>
        <w:jc w:val="center"/>
        <w:rPr>
          <w:b/>
          <w:bCs/>
        </w:rPr>
      </w:pPr>
    </w:p>
    <w:p w14:paraId="4EF6FDAB" w14:textId="77777777" w:rsidR="00D426B0" w:rsidRDefault="00D426B0">
      <w:pPr>
        <w:jc w:val="center"/>
        <w:rPr>
          <w:b/>
          <w:bCs/>
        </w:rPr>
      </w:pPr>
    </w:p>
    <w:p w14:paraId="746E59D1" w14:textId="77777777" w:rsidR="00D426B0" w:rsidRDefault="00D426B0">
      <w:pPr>
        <w:jc w:val="center"/>
        <w:rPr>
          <w:b/>
          <w:bCs/>
        </w:rPr>
      </w:pPr>
    </w:p>
    <w:p w14:paraId="487898D1" w14:textId="77777777" w:rsidR="00D426B0" w:rsidRDefault="00D426B0">
      <w:pPr>
        <w:jc w:val="center"/>
        <w:rPr>
          <w:b/>
          <w:bCs/>
        </w:rPr>
      </w:pPr>
    </w:p>
    <w:p w14:paraId="1E7AFD6F" w14:textId="77777777" w:rsidR="002464CC" w:rsidRDefault="002464CC">
      <w:pPr>
        <w:jc w:val="center"/>
        <w:rPr>
          <w:b/>
          <w:bCs/>
        </w:rPr>
      </w:pPr>
    </w:p>
    <w:p w14:paraId="24E031D1" w14:textId="77777777" w:rsidR="008F08AE" w:rsidRDefault="008F08AE">
      <w:pPr>
        <w:jc w:val="center"/>
        <w:rPr>
          <w:b/>
          <w:bCs/>
        </w:rPr>
      </w:pPr>
    </w:p>
    <w:p w14:paraId="0B087FB6" w14:textId="77777777" w:rsidR="008F08AE" w:rsidRDefault="008F08AE">
      <w:pPr>
        <w:jc w:val="center"/>
        <w:rPr>
          <w:b/>
          <w:bCs/>
        </w:rPr>
      </w:pPr>
    </w:p>
    <w:p w14:paraId="1B216175" w14:textId="77777777" w:rsidR="008F08AE" w:rsidRDefault="008F08AE">
      <w:pPr>
        <w:jc w:val="center"/>
        <w:rPr>
          <w:b/>
          <w:bCs/>
        </w:rPr>
      </w:pPr>
    </w:p>
    <w:p w14:paraId="45F26220" w14:textId="77777777" w:rsidR="008F08AE" w:rsidRDefault="008F08AE">
      <w:pPr>
        <w:jc w:val="center"/>
        <w:rPr>
          <w:b/>
          <w:bCs/>
        </w:rPr>
      </w:pPr>
    </w:p>
    <w:p w14:paraId="0D71AA17" w14:textId="77777777" w:rsidR="008F08AE" w:rsidRDefault="008F08AE">
      <w:pPr>
        <w:jc w:val="center"/>
        <w:rPr>
          <w:b/>
          <w:bCs/>
        </w:rPr>
      </w:pPr>
    </w:p>
    <w:p w14:paraId="278482CF" w14:textId="77777777" w:rsidR="008F08AE" w:rsidRDefault="008F08AE">
      <w:pPr>
        <w:jc w:val="center"/>
        <w:rPr>
          <w:b/>
          <w:bCs/>
        </w:rPr>
      </w:pPr>
    </w:p>
    <w:p w14:paraId="50A76528" w14:textId="77777777" w:rsidR="008F08AE" w:rsidRDefault="008F08AE">
      <w:pPr>
        <w:jc w:val="center"/>
        <w:rPr>
          <w:b/>
          <w:bCs/>
        </w:rPr>
      </w:pPr>
    </w:p>
    <w:p w14:paraId="02224641" w14:textId="77777777" w:rsidR="008F08AE" w:rsidRDefault="008F08AE">
      <w:pPr>
        <w:jc w:val="center"/>
        <w:rPr>
          <w:b/>
          <w:bCs/>
        </w:rPr>
      </w:pPr>
      <w:bookmarkStart w:id="0" w:name="_GoBack"/>
      <w:bookmarkEnd w:id="0"/>
    </w:p>
    <w:sectPr w:rsidR="008F08AE" w:rsidSect="00AA60D0">
      <w:headerReference w:type="default" r:id="rId12"/>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B91DA" w14:textId="77777777" w:rsidR="00C21886" w:rsidRDefault="00C21886" w:rsidP="00D0274F">
      <w:r>
        <w:separator/>
      </w:r>
    </w:p>
  </w:endnote>
  <w:endnote w:type="continuationSeparator" w:id="0">
    <w:p w14:paraId="3380CC34" w14:textId="77777777" w:rsidR="00C21886" w:rsidRDefault="00C21886"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3C0C" w14:textId="77777777" w:rsidR="00C21886" w:rsidRDefault="00C21886" w:rsidP="00D0274F">
      <w:r>
        <w:separator/>
      </w:r>
    </w:p>
  </w:footnote>
  <w:footnote w:type="continuationSeparator" w:id="0">
    <w:p w14:paraId="7DEDA75E" w14:textId="77777777" w:rsidR="00C21886" w:rsidRDefault="00C21886"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295C" w14:textId="77777777" w:rsidR="002E591D" w:rsidRDefault="002E591D" w:rsidP="002E591D">
    <w:pPr>
      <w:pStyle w:val="Antrats"/>
    </w:pPr>
  </w:p>
  <w:p w14:paraId="1786A33D" w14:textId="77777777"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C8FD" w14:textId="62B66C54" w:rsidR="00AA60D0" w:rsidRDefault="00376984" w:rsidP="004F4020">
    <w:pPr>
      <w:ind w:firstLine="4395"/>
    </w:pPr>
    <w:r>
      <w:rPr>
        <w:noProof/>
        <w:lang w:eastAsia="lt-LT" w:bidi="ar-SA"/>
      </w:rPr>
      <w:drawing>
        <wp:inline distT="0" distB="0" distL="0" distR="0" wp14:anchorId="6433C4CC" wp14:editId="3111A352">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p>
  <w:p w14:paraId="6B126FCB" w14:textId="77777777" w:rsidR="00AA60D0" w:rsidRDefault="00AA60D0" w:rsidP="00AA60D0">
    <w:pPr>
      <w:pStyle w:val="Antrats"/>
      <w:jc w:val="center"/>
    </w:pPr>
  </w:p>
  <w:p w14:paraId="3D57AF70" w14:textId="77777777" w:rsidR="00AA60D0" w:rsidRDefault="00AA60D0" w:rsidP="00AA60D0">
    <w:pPr>
      <w:pStyle w:val="Antrats"/>
      <w:jc w:val="center"/>
      <w:rPr>
        <w:b/>
        <w:sz w:val="28"/>
      </w:rPr>
    </w:pPr>
    <w:r>
      <w:rPr>
        <w:b/>
        <w:sz w:val="28"/>
      </w:rPr>
      <w:t xml:space="preserve">PANEVĖŽIO RAJONO SAVIVALDYBĖS TARYBA </w:t>
    </w:r>
  </w:p>
  <w:p w14:paraId="67F23CB8" w14:textId="77777777"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F460" w14:textId="77777777" w:rsidR="00AA60D0" w:rsidRDefault="00CD0D06">
    <w:pPr>
      <w:pStyle w:val="Antrats"/>
      <w:jc w:val="center"/>
    </w:pPr>
    <w:r>
      <w:rPr>
        <w:noProof/>
      </w:rPr>
      <w:t>2</w:t>
    </w:r>
  </w:p>
  <w:p w14:paraId="469CD2B4" w14:textId="77777777"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BE01" w14:textId="77777777"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131A" w14:textId="77777777" w:rsidR="00ED4F81" w:rsidRDefault="00ED4F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B3D3F"/>
    <w:multiLevelType w:val="multilevel"/>
    <w:tmpl w:val="A6B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86BBE"/>
    <w:multiLevelType w:val="multilevel"/>
    <w:tmpl w:val="2F9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C1BC5"/>
    <w:multiLevelType w:val="multilevel"/>
    <w:tmpl w:val="FB1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260FA"/>
    <w:multiLevelType w:val="multilevel"/>
    <w:tmpl w:val="68C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6D5C"/>
    <w:multiLevelType w:val="multilevel"/>
    <w:tmpl w:val="6BF6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40170"/>
    <w:multiLevelType w:val="multilevel"/>
    <w:tmpl w:val="979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4668B"/>
    <w:multiLevelType w:val="multilevel"/>
    <w:tmpl w:val="40D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B23DA"/>
    <w:multiLevelType w:val="multilevel"/>
    <w:tmpl w:val="3AF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3BC7"/>
    <w:multiLevelType w:val="multilevel"/>
    <w:tmpl w:val="FC6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8"/>
  </w:num>
  <w:num w:numId="5">
    <w:abstractNumId w:val="7"/>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2B83"/>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0757"/>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A7F4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11D7"/>
    <w:rsid w:val="00203519"/>
    <w:rsid w:val="00203665"/>
    <w:rsid w:val="00203E0E"/>
    <w:rsid w:val="002063A8"/>
    <w:rsid w:val="00207824"/>
    <w:rsid w:val="00214EED"/>
    <w:rsid w:val="002165C8"/>
    <w:rsid w:val="0021663C"/>
    <w:rsid w:val="0022203D"/>
    <w:rsid w:val="0022362D"/>
    <w:rsid w:val="00224139"/>
    <w:rsid w:val="00225DEA"/>
    <w:rsid w:val="00226B88"/>
    <w:rsid w:val="00231A44"/>
    <w:rsid w:val="002323EA"/>
    <w:rsid w:val="00233AAC"/>
    <w:rsid w:val="00234E1C"/>
    <w:rsid w:val="00235C51"/>
    <w:rsid w:val="00236D0E"/>
    <w:rsid w:val="00237B43"/>
    <w:rsid w:val="002442C5"/>
    <w:rsid w:val="00245F60"/>
    <w:rsid w:val="002464CC"/>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70"/>
    <w:rsid w:val="002A5DE8"/>
    <w:rsid w:val="002A6E89"/>
    <w:rsid w:val="002A7D1C"/>
    <w:rsid w:val="002B1770"/>
    <w:rsid w:val="002C44AA"/>
    <w:rsid w:val="002C5017"/>
    <w:rsid w:val="002C7B32"/>
    <w:rsid w:val="002C7C1B"/>
    <w:rsid w:val="002D0FD5"/>
    <w:rsid w:val="002E0C0D"/>
    <w:rsid w:val="002E4BBB"/>
    <w:rsid w:val="002E591D"/>
    <w:rsid w:val="002F211E"/>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2C0F"/>
    <w:rsid w:val="003654FB"/>
    <w:rsid w:val="003658EE"/>
    <w:rsid w:val="00365F72"/>
    <w:rsid w:val="00371486"/>
    <w:rsid w:val="00376984"/>
    <w:rsid w:val="0037755A"/>
    <w:rsid w:val="003778D5"/>
    <w:rsid w:val="00380BA6"/>
    <w:rsid w:val="00381F96"/>
    <w:rsid w:val="0038364E"/>
    <w:rsid w:val="00391119"/>
    <w:rsid w:val="00392274"/>
    <w:rsid w:val="003935CC"/>
    <w:rsid w:val="00393816"/>
    <w:rsid w:val="00397FF5"/>
    <w:rsid w:val="003A09AA"/>
    <w:rsid w:val="003A6EFE"/>
    <w:rsid w:val="003A7B02"/>
    <w:rsid w:val="003B3BCC"/>
    <w:rsid w:val="003B499F"/>
    <w:rsid w:val="003B7C02"/>
    <w:rsid w:val="003C271F"/>
    <w:rsid w:val="003C45D2"/>
    <w:rsid w:val="003C47C7"/>
    <w:rsid w:val="003C4A7F"/>
    <w:rsid w:val="003D2875"/>
    <w:rsid w:val="003E3DFA"/>
    <w:rsid w:val="003E5BBB"/>
    <w:rsid w:val="003F0BB4"/>
    <w:rsid w:val="003F1ABF"/>
    <w:rsid w:val="00400293"/>
    <w:rsid w:val="004011F9"/>
    <w:rsid w:val="0040692F"/>
    <w:rsid w:val="00407E04"/>
    <w:rsid w:val="00412EFD"/>
    <w:rsid w:val="00417982"/>
    <w:rsid w:val="0043708F"/>
    <w:rsid w:val="00440765"/>
    <w:rsid w:val="00444E0C"/>
    <w:rsid w:val="00463F7F"/>
    <w:rsid w:val="00464D22"/>
    <w:rsid w:val="004658EE"/>
    <w:rsid w:val="00465909"/>
    <w:rsid w:val="00466740"/>
    <w:rsid w:val="00466B8D"/>
    <w:rsid w:val="00471B4E"/>
    <w:rsid w:val="00475EC3"/>
    <w:rsid w:val="0047705C"/>
    <w:rsid w:val="00480293"/>
    <w:rsid w:val="0048338D"/>
    <w:rsid w:val="00491645"/>
    <w:rsid w:val="0049570B"/>
    <w:rsid w:val="004A13BF"/>
    <w:rsid w:val="004A27C9"/>
    <w:rsid w:val="004A2D8B"/>
    <w:rsid w:val="004A4FD1"/>
    <w:rsid w:val="004B3608"/>
    <w:rsid w:val="004B4983"/>
    <w:rsid w:val="004C5A50"/>
    <w:rsid w:val="004C66F9"/>
    <w:rsid w:val="004C67C3"/>
    <w:rsid w:val="004D17E3"/>
    <w:rsid w:val="004D6C67"/>
    <w:rsid w:val="004E5C1A"/>
    <w:rsid w:val="004E62CD"/>
    <w:rsid w:val="004F4020"/>
    <w:rsid w:val="004F4191"/>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4721E"/>
    <w:rsid w:val="005507D4"/>
    <w:rsid w:val="00550988"/>
    <w:rsid w:val="00554C48"/>
    <w:rsid w:val="00555AD2"/>
    <w:rsid w:val="005560C0"/>
    <w:rsid w:val="0055630D"/>
    <w:rsid w:val="005626C7"/>
    <w:rsid w:val="005643F4"/>
    <w:rsid w:val="0056485A"/>
    <w:rsid w:val="00570161"/>
    <w:rsid w:val="0057356F"/>
    <w:rsid w:val="00574F70"/>
    <w:rsid w:val="0058253A"/>
    <w:rsid w:val="00585BCF"/>
    <w:rsid w:val="0059133F"/>
    <w:rsid w:val="00591989"/>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4928"/>
    <w:rsid w:val="00646188"/>
    <w:rsid w:val="0064744A"/>
    <w:rsid w:val="006528F2"/>
    <w:rsid w:val="006547F0"/>
    <w:rsid w:val="00655587"/>
    <w:rsid w:val="0066480B"/>
    <w:rsid w:val="006705E0"/>
    <w:rsid w:val="0067256C"/>
    <w:rsid w:val="00674E9F"/>
    <w:rsid w:val="00681B82"/>
    <w:rsid w:val="00683E49"/>
    <w:rsid w:val="00686954"/>
    <w:rsid w:val="00686DB3"/>
    <w:rsid w:val="0069104E"/>
    <w:rsid w:val="006969F2"/>
    <w:rsid w:val="00697C3C"/>
    <w:rsid w:val="006A2645"/>
    <w:rsid w:val="006A27DD"/>
    <w:rsid w:val="006B0894"/>
    <w:rsid w:val="006B0D5E"/>
    <w:rsid w:val="006B0E14"/>
    <w:rsid w:val="006B32CD"/>
    <w:rsid w:val="006B375E"/>
    <w:rsid w:val="006B401E"/>
    <w:rsid w:val="006B5E25"/>
    <w:rsid w:val="006B708A"/>
    <w:rsid w:val="006C4B1E"/>
    <w:rsid w:val="006C59FA"/>
    <w:rsid w:val="006D242D"/>
    <w:rsid w:val="006D60BC"/>
    <w:rsid w:val="006D63EA"/>
    <w:rsid w:val="006E099C"/>
    <w:rsid w:val="006E31C2"/>
    <w:rsid w:val="006E512B"/>
    <w:rsid w:val="006E556A"/>
    <w:rsid w:val="006E5E4E"/>
    <w:rsid w:val="006F12EC"/>
    <w:rsid w:val="006F21E2"/>
    <w:rsid w:val="006F42C5"/>
    <w:rsid w:val="006F6781"/>
    <w:rsid w:val="00701704"/>
    <w:rsid w:val="00703D05"/>
    <w:rsid w:val="0070415F"/>
    <w:rsid w:val="00704590"/>
    <w:rsid w:val="007135EE"/>
    <w:rsid w:val="0071491B"/>
    <w:rsid w:val="00716178"/>
    <w:rsid w:val="0072028B"/>
    <w:rsid w:val="00725085"/>
    <w:rsid w:val="00725B7C"/>
    <w:rsid w:val="0072672F"/>
    <w:rsid w:val="00727D01"/>
    <w:rsid w:val="0073163E"/>
    <w:rsid w:val="00734272"/>
    <w:rsid w:val="00735736"/>
    <w:rsid w:val="007406C9"/>
    <w:rsid w:val="00741A59"/>
    <w:rsid w:val="00742557"/>
    <w:rsid w:val="007433CF"/>
    <w:rsid w:val="0075079D"/>
    <w:rsid w:val="00756DE9"/>
    <w:rsid w:val="00760222"/>
    <w:rsid w:val="00760AA4"/>
    <w:rsid w:val="007611BD"/>
    <w:rsid w:val="007620BB"/>
    <w:rsid w:val="00765374"/>
    <w:rsid w:val="007756AF"/>
    <w:rsid w:val="00775FB8"/>
    <w:rsid w:val="0078072F"/>
    <w:rsid w:val="00780DC6"/>
    <w:rsid w:val="0078290D"/>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4536"/>
    <w:rsid w:val="007D683A"/>
    <w:rsid w:val="007E195C"/>
    <w:rsid w:val="007E4F33"/>
    <w:rsid w:val="007F134B"/>
    <w:rsid w:val="007F51F8"/>
    <w:rsid w:val="007F5758"/>
    <w:rsid w:val="007F7D9A"/>
    <w:rsid w:val="00804EA2"/>
    <w:rsid w:val="00806A1C"/>
    <w:rsid w:val="00806EFA"/>
    <w:rsid w:val="00811BA9"/>
    <w:rsid w:val="00812B92"/>
    <w:rsid w:val="0081615F"/>
    <w:rsid w:val="00823E49"/>
    <w:rsid w:val="008256FF"/>
    <w:rsid w:val="00840087"/>
    <w:rsid w:val="0084042C"/>
    <w:rsid w:val="0084125A"/>
    <w:rsid w:val="00843B3D"/>
    <w:rsid w:val="008443C6"/>
    <w:rsid w:val="00844F4C"/>
    <w:rsid w:val="00844FFF"/>
    <w:rsid w:val="008465F3"/>
    <w:rsid w:val="00850115"/>
    <w:rsid w:val="00851E09"/>
    <w:rsid w:val="00852AB1"/>
    <w:rsid w:val="00853966"/>
    <w:rsid w:val="00853B72"/>
    <w:rsid w:val="008624CA"/>
    <w:rsid w:val="00863A77"/>
    <w:rsid w:val="00864087"/>
    <w:rsid w:val="008656E0"/>
    <w:rsid w:val="008660D7"/>
    <w:rsid w:val="00873FD2"/>
    <w:rsid w:val="00874424"/>
    <w:rsid w:val="0087653C"/>
    <w:rsid w:val="00880314"/>
    <w:rsid w:val="00881153"/>
    <w:rsid w:val="00883775"/>
    <w:rsid w:val="00883BD0"/>
    <w:rsid w:val="00883F74"/>
    <w:rsid w:val="0088402D"/>
    <w:rsid w:val="0088581E"/>
    <w:rsid w:val="00886D69"/>
    <w:rsid w:val="0089217C"/>
    <w:rsid w:val="0089448A"/>
    <w:rsid w:val="0089601C"/>
    <w:rsid w:val="0089626E"/>
    <w:rsid w:val="00896865"/>
    <w:rsid w:val="008975EF"/>
    <w:rsid w:val="008A0225"/>
    <w:rsid w:val="008A0F83"/>
    <w:rsid w:val="008A136B"/>
    <w:rsid w:val="008B29C0"/>
    <w:rsid w:val="008B307F"/>
    <w:rsid w:val="008B52AD"/>
    <w:rsid w:val="008C079D"/>
    <w:rsid w:val="008C13EA"/>
    <w:rsid w:val="008C7505"/>
    <w:rsid w:val="008D01E2"/>
    <w:rsid w:val="008D1DB1"/>
    <w:rsid w:val="008D266B"/>
    <w:rsid w:val="008D4DEE"/>
    <w:rsid w:val="008D6BDA"/>
    <w:rsid w:val="008E0FA1"/>
    <w:rsid w:val="008E1DB9"/>
    <w:rsid w:val="008E2636"/>
    <w:rsid w:val="008E781D"/>
    <w:rsid w:val="008F08AE"/>
    <w:rsid w:val="008F37B5"/>
    <w:rsid w:val="008F5F59"/>
    <w:rsid w:val="008F6E62"/>
    <w:rsid w:val="009117D4"/>
    <w:rsid w:val="009136BA"/>
    <w:rsid w:val="00921182"/>
    <w:rsid w:val="00921685"/>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07DED"/>
    <w:rsid w:val="00A130D6"/>
    <w:rsid w:val="00A16501"/>
    <w:rsid w:val="00A21415"/>
    <w:rsid w:val="00A21D37"/>
    <w:rsid w:val="00A239F5"/>
    <w:rsid w:val="00A23ACA"/>
    <w:rsid w:val="00A25110"/>
    <w:rsid w:val="00A27A0D"/>
    <w:rsid w:val="00A31AEB"/>
    <w:rsid w:val="00A33FE2"/>
    <w:rsid w:val="00A34463"/>
    <w:rsid w:val="00A35F08"/>
    <w:rsid w:val="00A4337E"/>
    <w:rsid w:val="00A554F5"/>
    <w:rsid w:val="00A65465"/>
    <w:rsid w:val="00A7271A"/>
    <w:rsid w:val="00A73F76"/>
    <w:rsid w:val="00A75580"/>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67F"/>
    <w:rsid w:val="00B30218"/>
    <w:rsid w:val="00B314EF"/>
    <w:rsid w:val="00B31916"/>
    <w:rsid w:val="00B3288C"/>
    <w:rsid w:val="00B372E7"/>
    <w:rsid w:val="00B4378A"/>
    <w:rsid w:val="00B44CC6"/>
    <w:rsid w:val="00B60A18"/>
    <w:rsid w:val="00B64FB2"/>
    <w:rsid w:val="00B71719"/>
    <w:rsid w:val="00B74102"/>
    <w:rsid w:val="00B7572B"/>
    <w:rsid w:val="00B760F1"/>
    <w:rsid w:val="00B80502"/>
    <w:rsid w:val="00B83611"/>
    <w:rsid w:val="00B839AE"/>
    <w:rsid w:val="00B85400"/>
    <w:rsid w:val="00B86CFF"/>
    <w:rsid w:val="00B913CD"/>
    <w:rsid w:val="00B91C5A"/>
    <w:rsid w:val="00B920D8"/>
    <w:rsid w:val="00B96BE6"/>
    <w:rsid w:val="00B97E27"/>
    <w:rsid w:val="00BA181E"/>
    <w:rsid w:val="00BA4090"/>
    <w:rsid w:val="00BA5FE2"/>
    <w:rsid w:val="00BA6849"/>
    <w:rsid w:val="00BB063A"/>
    <w:rsid w:val="00BB2AA3"/>
    <w:rsid w:val="00BB3BEB"/>
    <w:rsid w:val="00BB48CA"/>
    <w:rsid w:val="00BB587A"/>
    <w:rsid w:val="00BC1362"/>
    <w:rsid w:val="00BC34D2"/>
    <w:rsid w:val="00BC41FF"/>
    <w:rsid w:val="00BC6B49"/>
    <w:rsid w:val="00BD1619"/>
    <w:rsid w:val="00BD322F"/>
    <w:rsid w:val="00BD50E3"/>
    <w:rsid w:val="00BE2E57"/>
    <w:rsid w:val="00BF34E4"/>
    <w:rsid w:val="00BF490E"/>
    <w:rsid w:val="00BF668D"/>
    <w:rsid w:val="00C016FA"/>
    <w:rsid w:val="00C078B7"/>
    <w:rsid w:val="00C12B14"/>
    <w:rsid w:val="00C172A3"/>
    <w:rsid w:val="00C21886"/>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27404"/>
    <w:rsid w:val="00D30151"/>
    <w:rsid w:val="00D31B7A"/>
    <w:rsid w:val="00D31E8A"/>
    <w:rsid w:val="00D426B0"/>
    <w:rsid w:val="00D461BD"/>
    <w:rsid w:val="00D515D1"/>
    <w:rsid w:val="00D54AD8"/>
    <w:rsid w:val="00D6286A"/>
    <w:rsid w:val="00D65955"/>
    <w:rsid w:val="00D71D6D"/>
    <w:rsid w:val="00D76872"/>
    <w:rsid w:val="00D77026"/>
    <w:rsid w:val="00D83C04"/>
    <w:rsid w:val="00D84DAC"/>
    <w:rsid w:val="00D857E6"/>
    <w:rsid w:val="00D936A2"/>
    <w:rsid w:val="00D96A19"/>
    <w:rsid w:val="00D973E5"/>
    <w:rsid w:val="00D973FD"/>
    <w:rsid w:val="00DA1F52"/>
    <w:rsid w:val="00DA5ED9"/>
    <w:rsid w:val="00DB19B2"/>
    <w:rsid w:val="00DB4668"/>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6BF8"/>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EE6E30"/>
    <w:rsid w:val="00EF43CA"/>
    <w:rsid w:val="00F029E6"/>
    <w:rsid w:val="00F03F22"/>
    <w:rsid w:val="00F10C23"/>
    <w:rsid w:val="00F1383A"/>
    <w:rsid w:val="00F13B17"/>
    <w:rsid w:val="00F16824"/>
    <w:rsid w:val="00F21A8A"/>
    <w:rsid w:val="00F23552"/>
    <w:rsid w:val="00F333F7"/>
    <w:rsid w:val="00F33C64"/>
    <w:rsid w:val="00F4009E"/>
    <w:rsid w:val="00F42D5D"/>
    <w:rsid w:val="00F47063"/>
    <w:rsid w:val="00F56541"/>
    <w:rsid w:val="00F608E9"/>
    <w:rsid w:val="00F60962"/>
    <w:rsid w:val="00F72AD1"/>
    <w:rsid w:val="00F7339C"/>
    <w:rsid w:val="00F839E5"/>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423"/>
    <w:rsid w:val="00FD65AA"/>
    <w:rsid w:val="00FE1BBB"/>
    <w:rsid w:val="00FE5A4C"/>
    <w:rsid w:val="00FE7CED"/>
    <w:rsid w:val="00FF01A5"/>
    <w:rsid w:val="00FF13A9"/>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6F26BF"/>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757"/>
    <w:pPr>
      <w:widowControl w:val="0"/>
      <w:suppressAutoHyphens/>
    </w:pPr>
    <w:rPr>
      <w:rFonts w:eastAsia="SimSun" w:cs="Mangal"/>
      <w:kern w:val="1"/>
      <w:sz w:val="24"/>
      <w:szCs w:val="24"/>
      <w:lang w:eastAsia="hi-IN" w:bidi="hi-IN"/>
    </w:rPr>
  </w:style>
  <w:style w:type="paragraph" w:styleId="Antrat1">
    <w:name w:val="heading 1"/>
    <w:basedOn w:val="prastasis"/>
    <w:next w:val="prastasis"/>
    <w:link w:val="Antrat1Diagrama"/>
    <w:uiPriority w:val="9"/>
    <w:qFormat/>
    <w:rsid w:val="007D4536"/>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 w:type="character" w:styleId="Grietas">
    <w:name w:val="Strong"/>
    <w:basedOn w:val="Numatytasispastraiposriftas"/>
    <w:uiPriority w:val="22"/>
    <w:qFormat/>
    <w:rsid w:val="00DB4668"/>
    <w:rPr>
      <w:b/>
      <w:bCs/>
    </w:rPr>
  </w:style>
  <w:style w:type="character" w:customStyle="1" w:styleId="Antrat1Diagrama">
    <w:name w:val="Antraštė 1 Diagrama"/>
    <w:basedOn w:val="Numatytasispastraiposriftas"/>
    <w:link w:val="Antrat1"/>
    <w:uiPriority w:val="9"/>
    <w:rsid w:val="007D4536"/>
    <w:rPr>
      <w:rFonts w:asciiTheme="majorHAnsi" w:eastAsiaTheme="majorEastAsia" w:hAnsiTheme="majorHAnsi" w:cs="Mangal"/>
      <w:color w:val="365F91"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430668792">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EDDE2-1D25-4E8C-BFBC-A246A8F5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4021</Words>
  <Characters>2292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Roma Krisciuniene</cp:lastModifiedBy>
  <cp:revision>2</cp:revision>
  <cp:lastPrinted>2026-01-29T06:44:00Z</cp:lastPrinted>
  <dcterms:created xsi:type="dcterms:W3CDTF">2026-02-19T09:09:00Z</dcterms:created>
  <dcterms:modified xsi:type="dcterms:W3CDTF">2026-02-19T09:09:00Z</dcterms:modified>
</cp:coreProperties>
</file>