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2F5600C1"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0165B4B0" w14:textId="63A768AC" w:rsidR="001C2F0A" w:rsidRPr="00615B22" w:rsidRDefault="001C2F0A" w:rsidP="00615B22">
      <w:pPr>
        <w:pStyle w:val="Betarp"/>
        <w:jc w:val="center"/>
        <w:rPr>
          <w:b/>
          <w:bCs/>
          <w:sz w:val="24"/>
          <w:szCs w:val="24"/>
        </w:rPr>
      </w:pPr>
      <w:r w:rsidRPr="00615B22">
        <w:rPr>
          <w:b/>
          <w:bCs/>
          <w:sz w:val="24"/>
          <w:szCs w:val="24"/>
        </w:rPr>
        <w:t>DĖL PANEVĖŽIO RAJONO SAVIVALDYBĖS TARYBOS 2025 M. BALANDŽIO 23 D. SPRENDIMO NR. T-113 „DĖL SUTIKIMO PERIMTI VALSTYBĖS TURTĄ PANEVĖŽIO RAJONO SAVIVALDYBĖS NUOSAVYBĖN“ PAKEITIMO</w:t>
      </w:r>
    </w:p>
    <w:p w14:paraId="35D172EB" w14:textId="77777777" w:rsidR="001C2F0A" w:rsidRPr="00615B22" w:rsidRDefault="001C2F0A" w:rsidP="00615B22">
      <w:pPr>
        <w:jc w:val="center"/>
        <w:rPr>
          <w:b/>
          <w:bCs/>
          <w:sz w:val="24"/>
          <w:szCs w:val="24"/>
        </w:rPr>
      </w:pPr>
    </w:p>
    <w:p w14:paraId="3F3276F1" w14:textId="728FBCD2" w:rsidR="001C2F0A" w:rsidRPr="001C2F0A" w:rsidRDefault="001C2F0A" w:rsidP="00615B22">
      <w:pPr>
        <w:jc w:val="center"/>
        <w:rPr>
          <w:bCs/>
          <w:sz w:val="24"/>
          <w:szCs w:val="24"/>
        </w:rPr>
      </w:pPr>
      <w:r w:rsidRPr="00F601F7">
        <w:rPr>
          <w:sz w:val="24"/>
          <w:szCs w:val="24"/>
        </w:rPr>
        <w:t xml:space="preserve">2025 </w:t>
      </w:r>
      <w:r w:rsidRPr="001C2F0A">
        <w:rPr>
          <w:bCs/>
          <w:sz w:val="24"/>
          <w:szCs w:val="24"/>
        </w:rPr>
        <w:t>m. spalio 30 d. Nr.</w:t>
      </w:r>
      <w:r w:rsidR="00621B40">
        <w:rPr>
          <w:bCs/>
          <w:sz w:val="24"/>
          <w:szCs w:val="24"/>
        </w:rPr>
        <w:t xml:space="preserve"> T-233</w:t>
      </w:r>
    </w:p>
    <w:p w14:paraId="0E09CB21" w14:textId="68182EC5" w:rsidR="001C2F0A" w:rsidRPr="001C2F0A" w:rsidRDefault="001C2F0A" w:rsidP="001C2F0A">
      <w:pPr>
        <w:jc w:val="center"/>
        <w:rPr>
          <w:bCs/>
          <w:sz w:val="24"/>
          <w:szCs w:val="24"/>
        </w:rPr>
      </w:pPr>
      <w:r w:rsidRPr="001C2F0A">
        <w:rPr>
          <w:bCs/>
          <w:sz w:val="24"/>
          <w:szCs w:val="24"/>
        </w:rPr>
        <w:t>Panevėž</w:t>
      </w:r>
      <w:r>
        <w:rPr>
          <w:bCs/>
          <w:sz w:val="24"/>
          <w:szCs w:val="24"/>
        </w:rPr>
        <w:t>ys</w:t>
      </w:r>
    </w:p>
    <w:p w14:paraId="28C260B8" w14:textId="77777777" w:rsidR="001C2F0A" w:rsidRPr="001C2F0A" w:rsidRDefault="001C2F0A" w:rsidP="001C2F0A">
      <w:pPr>
        <w:jc w:val="both"/>
        <w:rPr>
          <w:bCs/>
          <w:sz w:val="24"/>
          <w:szCs w:val="24"/>
        </w:rPr>
      </w:pPr>
    </w:p>
    <w:p w14:paraId="18A99AC7" w14:textId="2CC90EB8" w:rsidR="001C2F0A" w:rsidRPr="001C2F0A" w:rsidRDefault="001C2F0A" w:rsidP="001C2F0A">
      <w:pPr>
        <w:ind w:firstLine="1296"/>
        <w:jc w:val="both"/>
        <w:rPr>
          <w:bCs/>
          <w:sz w:val="24"/>
          <w:szCs w:val="24"/>
        </w:rPr>
      </w:pPr>
      <w:r w:rsidRPr="001C2F0A">
        <w:rPr>
          <w:bCs/>
          <w:sz w:val="24"/>
          <w:szCs w:val="24"/>
        </w:rPr>
        <w:t xml:space="preserve">Vadovaudamasi Lietuvos Respublikos vietos savivaldos įstatymo 6 straipsnio </w:t>
      </w:r>
      <w:r>
        <w:rPr>
          <w:bCs/>
          <w:sz w:val="24"/>
          <w:szCs w:val="24"/>
        </w:rPr>
        <w:br/>
      </w:r>
      <w:r w:rsidRPr="001C2F0A">
        <w:rPr>
          <w:bCs/>
          <w:sz w:val="24"/>
          <w:szCs w:val="24"/>
        </w:rPr>
        <w:t xml:space="preserve">29 punktu, 15 straipsnio 4 dalimi, Lietuvos Respublikos valstybės ir savivaldybių turto valdymo, naudojimo ir disponavimo juo įstatymo 6 straipsnio 5 ir 8 punktais, Panevėžio rajono savivaldybės taryba n u s p r e n d ž i a: </w:t>
      </w:r>
    </w:p>
    <w:p w14:paraId="3DA37FC9" w14:textId="77777777" w:rsidR="001C2F0A" w:rsidRPr="001C2F0A" w:rsidRDefault="001C2F0A" w:rsidP="001C2F0A">
      <w:pPr>
        <w:ind w:firstLine="1296"/>
        <w:jc w:val="both"/>
        <w:rPr>
          <w:bCs/>
          <w:sz w:val="24"/>
          <w:szCs w:val="24"/>
        </w:rPr>
      </w:pPr>
      <w:r w:rsidRPr="001C2F0A">
        <w:rPr>
          <w:bCs/>
          <w:sz w:val="24"/>
          <w:szCs w:val="24"/>
        </w:rPr>
        <w:t xml:space="preserve">1. Pakeisti Panevėžio rajono savivaldybės tarybos 2025 m. balandžio 23 d. sprendimo Nr. T-113 „Dėl sutikimo perimti valstybės turtą Panevėžio rajono savivaldybės nuosavybėn“: </w:t>
      </w:r>
    </w:p>
    <w:p w14:paraId="446A2467" w14:textId="77777777" w:rsidR="001C2F0A" w:rsidRPr="001C2F0A" w:rsidRDefault="001C2F0A" w:rsidP="001C2F0A">
      <w:pPr>
        <w:jc w:val="both"/>
        <w:rPr>
          <w:bCs/>
          <w:sz w:val="24"/>
          <w:szCs w:val="24"/>
        </w:rPr>
      </w:pPr>
      <w:r w:rsidRPr="001C2F0A">
        <w:rPr>
          <w:bCs/>
          <w:sz w:val="24"/>
          <w:szCs w:val="24"/>
        </w:rPr>
        <w:t xml:space="preserve">                      1. 1 punktą ir jį išdėstyti taip:</w:t>
      </w:r>
    </w:p>
    <w:p w14:paraId="370349DA" w14:textId="4C234A7E" w:rsidR="001C2F0A" w:rsidRPr="001C2F0A" w:rsidRDefault="001C2F0A" w:rsidP="001C2F0A">
      <w:pPr>
        <w:ind w:firstLine="1296"/>
        <w:jc w:val="both"/>
        <w:rPr>
          <w:bCs/>
          <w:sz w:val="24"/>
          <w:szCs w:val="24"/>
        </w:rPr>
      </w:pPr>
      <w:r w:rsidRPr="001C2F0A">
        <w:rPr>
          <w:bCs/>
          <w:sz w:val="24"/>
          <w:szCs w:val="24"/>
        </w:rPr>
        <w:t>„1. Sutikti perimti Panevėžio rajono savivaldybės nuosavybėn savarankiškosioms savivaldybių funkcijoms kūno kultūros ir sporto plėtojimui, gyventojų poilsio organizavimui įgyvendinti valstybei nuosavybės teise priklausantį ir šiuo metu valstybės įmonės Žemės ūkio duomenų centro patikėjimo teise valdomą nekilnojamąjį turtą</w:t>
      </w:r>
      <w:r w:rsidR="00F601F7" w:rsidRPr="00F601F7">
        <w:rPr>
          <w:bCs/>
          <w:sz w:val="24"/>
          <w:szCs w:val="24"/>
        </w:rPr>
        <w:t xml:space="preserve"> </w:t>
      </w:r>
      <w:r w:rsidR="00F601F7">
        <w:rPr>
          <w:bCs/>
          <w:sz w:val="24"/>
          <w:szCs w:val="24"/>
        </w:rPr>
        <w:t>(sąrašas pridedamas),</w:t>
      </w:r>
      <w:r w:rsidRPr="001C2F0A">
        <w:rPr>
          <w:bCs/>
          <w:sz w:val="24"/>
          <w:szCs w:val="24"/>
        </w:rPr>
        <w:t xml:space="preserve"> sukurtą 2019 m. liepos 26 d. Žemės konsolidacijos sutarties</w:t>
      </w:r>
      <w:r w:rsidR="00F0204C">
        <w:rPr>
          <w:bCs/>
          <w:sz w:val="24"/>
          <w:szCs w:val="24"/>
        </w:rPr>
        <w:t xml:space="preserve"> (</w:t>
      </w:r>
      <w:r w:rsidRPr="001C2F0A">
        <w:rPr>
          <w:bCs/>
          <w:sz w:val="24"/>
          <w:szCs w:val="24"/>
        </w:rPr>
        <w:t>notarinio registro Nr. 5021</w:t>
      </w:r>
      <w:r w:rsidR="00F0204C">
        <w:rPr>
          <w:bCs/>
          <w:sz w:val="24"/>
          <w:szCs w:val="24"/>
        </w:rPr>
        <w:t>)</w:t>
      </w:r>
      <w:r w:rsidRPr="001C2F0A">
        <w:rPr>
          <w:bCs/>
          <w:sz w:val="24"/>
          <w:szCs w:val="24"/>
        </w:rPr>
        <w:t xml:space="preserve"> pagrindu. Turtas perduodamas šalims pasirašant </w:t>
      </w:r>
      <w:r w:rsidR="00CC2264" w:rsidRPr="001C2F0A">
        <w:rPr>
          <w:bCs/>
          <w:sz w:val="24"/>
          <w:szCs w:val="24"/>
        </w:rPr>
        <w:t>perdavimo–</w:t>
      </w:r>
      <w:r w:rsidRPr="001C2F0A">
        <w:rPr>
          <w:bCs/>
          <w:sz w:val="24"/>
          <w:szCs w:val="24"/>
        </w:rPr>
        <w:t>priėmimo</w:t>
      </w:r>
      <w:r w:rsidR="00CC2264">
        <w:rPr>
          <w:bCs/>
          <w:sz w:val="24"/>
          <w:szCs w:val="24"/>
        </w:rPr>
        <w:t xml:space="preserve"> </w:t>
      </w:r>
      <w:r w:rsidRPr="001C2F0A">
        <w:rPr>
          <w:bCs/>
          <w:sz w:val="24"/>
          <w:szCs w:val="24"/>
        </w:rPr>
        <w:t>aktą.“</w:t>
      </w:r>
    </w:p>
    <w:p w14:paraId="14350026" w14:textId="77777777" w:rsidR="001C2F0A" w:rsidRPr="001C2F0A" w:rsidRDefault="001C2F0A" w:rsidP="001C2F0A">
      <w:pPr>
        <w:ind w:firstLine="1296"/>
        <w:jc w:val="both"/>
        <w:rPr>
          <w:bCs/>
          <w:sz w:val="24"/>
          <w:szCs w:val="24"/>
        </w:rPr>
      </w:pPr>
      <w:r w:rsidRPr="001C2F0A">
        <w:rPr>
          <w:bCs/>
          <w:sz w:val="24"/>
          <w:szCs w:val="24"/>
        </w:rPr>
        <w:t xml:space="preserve">2. 3 punktą ir jį išdėstyti taip: </w:t>
      </w:r>
    </w:p>
    <w:p w14:paraId="50535E03" w14:textId="7E7164FA" w:rsidR="001C2F0A" w:rsidRPr="001C2F0A" w:rsidRDefault="001C2F0A" w:rsidP="001C2F0A">
      <w:pPr>
        <w:ind w:firstLine="1296"/>
        <w:jc w:val="both"/>
        <w:rPr>
          <w:bCs/>
          <w:sz w:val="24"/>
          <w:szCs w:val="24"/>
        </w:rPr>
      </w:pPr>
      <w:r w:rsidRPr="001C2F0A">
        <w:rPr>
          <w:bCs/>
          <w:sz w:val="24"/>
          <w:szCs w:val="24"/>
        </w:rPr>
        <w:t>„3. Perduoti sprendimo 1 punkte nurodytą turtą, jį perėmus savivaldybės nuosavybėn, Panevėžio rajono savivaldybės administracijai valdyti, naudoti ir disponuoti juo patikėjimo teise.“</w:t>
      </w:r>
      <w:r w:rsidR="00CC2264">
        <w:rPr>
          <w:bCs/>
          <w:sz w:val="24"/>
          <w:szCs w:val="24"/>
        </w:rPr>
        <w:t>.</w:t>
      </w:r>
      <w:r w:rsidRPr="001C2F0A">
        <w:rPr>
          <w:bCs/>
          <w:sz w:val="24"/>
          <w:szCs w:val="24"/>
        </w:rPr>
        <w:t xml:space="preserve"> </w:t>
      </w:r>
    </w:p>
    <w:p w14:paraId="294A7960" w14:textId="77777777" w:rsidR="001C2F0A" w:rsidRPr="001C2F0A" w:rsidRDefault="001C2F0A" w:rsidP="001C2F0A">
      <w:pPr>
        <w:ind w:firstLine="1296"/>
        <w:jc w:val="both"/>
        <w:rPr>
          <w:bCs/>
          <w:sz w:val="24"/>
          <w:szCs w:val="24"/>
        </w:rPr>
      </w:pPr>
      <w:r w:rsidRPr="001C2F0A">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77ED5CC" w14:textId="77777777" w:rsidR="001C2F0A" w:rsidRDefault="001C2F0A" w:rsidP="005477EC">
      <w:pPr>
        <w:jc w:val="both"/>
        <w:rPr>
          <w:b/>
          <w:sz w:val="24"/>
          <w:szCs w:val="24"/>
        </w:rPr>
      </w:pPr>
    </w:p>
    <w:p w14:paraId="41EDBB8E" w14:textId="77777777" w:rsidR="00621B40" w:rsidRDefault="00621B40" w:rsidP="005477EC">
      <w:pPr>
        <w:jc w:val="both"/>
        <w:rPr>
          <w:b/>
          <w:sz w:val="24"/>
          <w:szCs w:val="24"/>
        </w:rPr>
      </w:pPr>
    </w:p>
    <w:p w14:paraId="5F51C020" w14:textId="5CE78926" w:rsidR="00621B40" w:rsidRPr="00621B40" w:rsidRDefault="00621B40" w:rsidP="005477EC">
      <w:pPr>
        <w:jc w:val="both"/>
        <w:rPr>
          <w:bCs/>
          <w:sz w:val="24"/>
          <w:szCs w:val="24"/>
        </w:rPr>
        <w:sectPr w:rsidR="00621B40" w:rsidRPr="00621B40" w:rsidSect="00FD7793">
          <w:headerReference w:type="default" r:id="rId9"/>
          <w:type w:val="continuous"/>
          <w:pgSz w:w="11905" w:h="16837" w:code="9"/>
          <w:pgMar w:top="1077" w:right="567" w:bottom="1134" w:left="1701" w:header="567" w:footer="567" w:gutter="0"/>
          <w:pgNumType w:start="1"/>
          <w:cols w:space="1296"/>
          <w:titlePg/>
          <w:docGrid w:linePitch="360"/>
        </w:sectPr>
      </w:pPr>
      <w:r w:rsidRPr="00621B40">
        <w:rPr>
          <w:bCs/>
          <w:sz w:val="24"/>
          <w:szCs w:val="24"/>
        </w:rPr>
        <w:t xml:space="preserve">Savivaldybės meras                                            </w:t>
      </w:r>
      <w:r>
        <w:rPr>
          <w:bCs/>
          <w:sz w:val="24"/>
          <w:szCs w:val="24"/>
        </w:rPr>
        <w:t xml:space="preserve">              </w:t>
      </w:r>
      <w:r w:rsidRPr="00621B40">
        <w:rPr>
          <w:bCs/>
          <w:sz w:val="24"/>
          <w:szCs w:val="24"/>
        </w:rPr>
        <w:t xml:space="preserve">                                   Antanas Pocius </w:t>
      </w:r>
    </w:p>
    <w:p w14:paraId="0AD6459A" w14:textId="270E9AD7" w:rsidR="000F5E42" w:rsidRDefault="00FE36A4" w:rsidP="00FE36A4">
      <w:pPr>
        <w:ind w:left="3888" w:firstLine="1296"/>
        <w:jc w:val="center"/>
        <w:rPr>
          <w:bCs/>
          <w:sz w:val="24"/>
          <w:szCs w:val="24"/>
        </w:rPr>
      </w:pPr>
      <w:r>
        <w:rPr>
          <w:bCs/>
          <w:sz w:val="24"/>
          <w:szCs w:val="24"/>
        </w:rPr>
        <w:lastRenderedPageBreak/>
        <w:t xml:space="preserve">                                                                                  </w:t>
      </w:r>
      <w:r w:rsidR="00AB08D6" w:rsidRPr="00AB08D6">
        <w:rPr>
          <w:bCs/>
          <w:sz w:val="24"/>
          <w:szCs w:val="24"/>
        </w:rPr>
        <w:t>Panevėžio rajono savivaldybės tarybos</w:t>
      </w:r>
    </w:p>
    <w:p w14:paraId="01CC484C" w14:textId="1C623A1B" w:rsidR="00AB08D6" w:rsidRDefault="001C2F0A" w:rsidP="001C2F0A">
      <w:pPr>
        <w:ind w:left="3888" w:firstLine="1296"/>
        <w:rPr>
          <w:bCs/>
          <w:sz w:val="24"/>
          <w:szCs w:val="24"/>
        </w:rPr>
      </w:pPr>
      <w:r>
        <w:rPr>
          <w:bCs/>
          <w:sz w:val="24"/>
          <w:szCs w:val="24"/>
        </w:rPr>
        <w:t xml:space="preserve">                                                                                         </w:t>
      </w:r>
      <w:r w:rsidR="00AB08D6">
        <w:rPr>
          <w:bCs/>
          <w:sz w:val="24"/>
          <w:szCs w:val="24"/>
        </w:rPr>
        <w:t xml:space="preserve">2025 m. </w:t>
      </w:r>
      <w:r>
        <w:rPr>
          <w:bCs/>
          <w:sz w:val="24"/>
          <w:szCs w:val="24"/>
        </w:rPr>
        <w:t>spalio</w:t>
      </w:r>
      <w:r w:rsidR="00AB08D6">
        <w:rPr>
          <w:bCs/>
          <w:sz w:val="24"/>
          <w:szCs w:val="24"/>
        </w:rPr>
        <w:t xml:space="preserve"> 3</w:t>
      </w:r>
      <w:r>
        <w:rPr>
          <w:bCs/>
          <w:sz w:val="24"/>
          <w:szCs w:val="24"/>
        </w:rPr>
        <w:t>0</w:t>
      </w:r>
      <w:r w:rsidR="00AB08D6">
        <w:rPr>
          <w:bCs/>
          <w:sz w:val="24"/>
          <w:szCs w:val="24"/>
        </w:rPr>
        <w:t xml:space="preserve"> d. sprendimo Nr.</w:t>
      </w:r>
      <w:r w:rsidR="00FE36A4">
        <w:rPr>
          <w:bCs/>
          <w:sz w:val="24"/>
          <w:szCs w:val="24"/>
        </w:rPr>
        <w:t xml:space="preserve"> T-233</w:t>
      </w:r>
    </w:p>
    <w:p w14:paraId="3B3EAD89" w14:textId="36BC911C" w:rsidR="00AB08D6" w:rsidRDefault="00AB08D6" w:rsidP="002A61E1">
      <w:pPr>
        <w:rPr>
          <w:bCs/>
          <w:sz w:val="24"/>
          <w:szCs w:val="24"/>
        </w:rPr>
      </w:pPr>
      <w:r>
        <w:rPr>
          <w:bCs/>
          <w:sz w:val="24"/>
          <w:szCs w:val="24"/>
        </w:rPr>
        <w:tab/>
      </w:r>
      <w:r w:rsidR="002A61E1">
        <w:rPr>
          <w:bCs/>
          <w:sz w:val="24"/>
          <w:szCs w:val="24"/>
        </w:rPr>
        <w:t xml:space="preserve">                                                                                                                                                         </w:t>
      </w:r>
      <w:r w:rsidR="001B7B6C">
        <w:rPr>
          <w:bCs/>
          <w:sz w:val="24"/>
          <w:szCs w:val="24"/>
        </w:rPr>
        <w:t xml:space="preserve"> </w:t>
      </w:r>
      <w:r w:rsidR="002A61E1">
        <w:rPr>
          <w:bCs/>
          <w:sz w:val="24"/>
          <w:szCs w:val="24"/>
        </w:rPr>
        <w:t>p</w:t>
      </w:r>
      <w:r>
        <w:rPr>
          <w:bCs/>
          <w:sz w:val="24"/>
          <w:szCs w:val="24"/>
        </w:rPr>
        <w:t>riedas</w:t>
      </w:r>
    </w:p>
    <w:p w14:paraId="46C9077A" w14:textId="2AF60586" w:rsidR="00AB08D6" w:rsidRPr="00AB08D6" w:rsidRDefault="00AB08D6" w:rsidP="00AB08D6">
      <w:pPr>
        <w:rPr>
          <w:bCs/>
          <w:sz w:val="24"/>
          <w:szCs w:val="24"/>
        </w:rPr>
      </w:pPr>
      <w:r>
        <w:rPr>
          <w:bCs/>
          <w:sz w:val="24"/>
          <w:szCs w:val="24"/>
        </w:rPr>
        <w:tab/>
        <w:t xml:space="preserve"> </w:t>
      </w:r>
    </w:p>
    <w:p w14:paraId="48769848" w14:textId="04EB46BD" w:rsidR="000F5E42" w:rsidRDefault="002A61E1" w:rsidP="00B72D91">
      <w:pPr>
        <w:jc w:val="center"/>
        <w:rPr>
          <w:b/>
          <w:sz w:val="24"/>
          <w:szCs w:val="24"/>
        </w:rPr>
      </w:pPr>
      <w:r>
        <w:rPr>
          <w:b/>
          <w:sz w:val="24"/>
          <w:szCs w:val="24"/>
        </w:rPr>
        <w:t>PANEVĖŽIO RAJONO SAVIVALDYBĖS NUOSAVYBĖN</w:t>
      </w:r>
      <w:r w:rsidR="001C2F0A">
        <w:rPr>
          <w:b/>
          <w:sz w:val="24"/>
          <w:szCs w:val="24"/>
        </w:rPr>
        <w:t xml:space="preserve"> PERDUODAMO NEKILNOJAMOJO TURTO</w:t>
      </w:r>
      <w:r>
        <w:rPr>
          <w:b/>
          <w:sz w:val="24"/>
          <w:szCs w:val="24"/>
        </w:rPr>
        <w:t xml:space="preserve"> SĄRAŠAS</w:t>
      </w:r>
    </w:p>
    <w:p w14:paraId="6C4C5B09" w14:textId="77777777" w:rsidR="000F5E42" w:rsidRDefault="000F5E42" w:rsidP="00B72D91">
      <w:pPr>
        <w:jc w:val="center"/>
        <w:rPr>
          <w:b/>
          <w:sz w:val="24"/>
          <w:szCs w:val="24"/>
        </w:rPr>
      </w:pPr>
    </w:p>
    <w:tbl>
      <w:tblPr>
        <w:tblStyle w:val="Lentelstinklelis"/>
        <w:tblW w:w="14737" w:type="dxa"/>
        <w:tblLook w:val="04A0" w:firstRow="1" w:lastRow="0" w:firstColumn="1" w:lastColumn="0" w:noHBand="0" w:noVBand="1"/>
      </w:tblPr>
      <w:tblGrid>
        <w:gridCol w:w="691"/>
        <w:gridCol w:w="1998"/>
        <w:gridCol w:w="2693"/>
        <w:gridCol w:w="2693"/>
        <w:gridCol w:w="1985"/>
        <w:gridCol w:w="1842"/>
        <w:gridCol w:w="1560"/>
        <w:gridCol w:w="1275"/>
      </w:tblGrid>
      <w:tr w:rsidR="002A61E1" w:rsidRPr="00CC2264" w14:paraId="78613399" w14:textId="0D2E2423" w:rsidTr="00DA6C87">
        <w:tc>
          <w:tcPr>
            <w:tcW w:w="691" w:type="dxa"/>
          </w:tcPr>
          <w:p w14:paraId="725BDD4A"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Eil.</w:t>
            </w:r>
          </w:p>
          <w:p w14:paraId="76144D41" w14:textId="25FF681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Nr.</w:t>
            </w:r>
          </w:p>
        </w:tc>
        <w:tc>
          <w:tcPr>
            <w:tcW w:w="1998" w:type="dxa"/>
          </w:tcPr>
          <w:p w14:paraId="15716B2B" w14:textId="4587A4F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Perduodančio juridinio asmens pavadinimas</w:t>
            </w:r>
          </w:p>
        </w:tc>
        <w:tc>
          <w:tcPr>
            <w:tcW w:w="2693" w:type="dxa"/>
          </w:tcPr>
          <w:p w14:paraId="604E9E31" w14:textId="5F605438"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Turto adresas</w:t>
            </w:r>
          </w:p>
        </w:tc>
        <w:tc>
          <w:tcPr>
            <w:tcW w:w="2693" w:type="dxa"/>
          </w:tcPr>
          <w:p w14:paraId="1688F0D9" w14:textId="5914588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Turto pavadinimas</w:t>
            </w:r>
          </w:p>
        </w:tc>
        <w:tc>
          <w:tcPr>
            <w:tcW w:w="1985" w:type="dxa"/>
          </w:tcPr>
          <w:p w14:paraId="2692AC90" w14:textId="5773B79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Unikalus numeris </w:t>
            </w:r>
          </w:p>
        </w:tc>
        <w:tc>
          <w:tcPr>
            <w:tcW w:w="1842" w:type="dxa"/>
          </w:tcPr>
          <w:p w14:paraId="63F2E5A7" w14:textId="0FB60B78"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Plotas ar kiti geometriniai parametrai</w:t>
            </w:r>
          </w:p>
        </w:tc>
        <w:tc>
          <w:tcPr>
            <w:tcW w:w="1560" w:type="dxa"/>
          </w:tcPr>
          <w:p w14:paraId="5E0EB57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Įsigijimo vertė,</w:t>
            </w:r>
          </w:p>
          <w:p w14:paraId="7AC35BE3" w14:textId="2F2729BB"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Eur</w:t>
            </w:r>
          </w:p>
        </w:tc>
        <w:tc>
          <w:tcPr>
            <w:tcW w:w="1275" w:type="dxa"/>
          </w:tcPr>
          <w:p w14:paraId="3E2D1B78" w14:textId="549008F5"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Likutinė vertė, Eur</w:t>
            </w:r>
          </w:p>
        </w:tc>
      </w:tr>
      <w:tr w:rsidR="002A61E1" w:rsidRPr="00CC2264" w14:paraId="4493BB97" w14:textId="6383B2BE" w:rsidTr="00DA6C87">
        <w:tc>
          <w:tcPr>
            <w:tcW w:w="691" w:type="dxa"/>
          </w:tcPr>
          <w:p w14:paraId="44055F0E" w14:textId="4DD542D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w:t>
            </w:r>
          </w:p>
        </w:tc>
        <w:tc>
          <w:tcPr>
            <w:tcW w:w="1998" w:type="dxa"/>
          </w:tcPr>
          <w:p w14:paraId="3212E7C9" w14:textId="574BC42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7E37BCAF" w14:textId="73F1441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CD7E15F" w14:textId="7C95E25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vaikų žaidimo aikštelė </w:t>
            </w:r>
          </w:p>
        </w:tc>
        <w:tc>
          <w:tcPr>
            <w:tcW w:w="1985" w:type="dxa"/>
          </w:tcPr>
          <w:p w14:paraId="4D041A9D" w14:textId="5EE76AFC"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4400-5220-8047</w:t>
            </w:r>
          </w:p>
        </w:tc>
        <w:tc>
          <w:tcPr>
            <w:tcW w:w="1842" w:type="dxa"/>
          </w:tcPr>
          <w:p w14:paraId="4C9F81F0"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140,00 kv. m</w:t>
            </w:r>
          </w:p>
          <w:p w14:paraId="317DDCFE" w14:textId="2D77E513"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guma</w:t>
            </w:r>
          </w:p>
        </w:tc>
        <w:tc>
          <w:tcPr>
            <w:tcW w:w="1560" w:type="dxa"/>
          </w:tcPr>
          <w:p w14:paraId="79FF6672" w14:textId="0AC9DCD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15 700</w:t>
            </w:r>
          </w:p>
        </w:tc>
        <w:tc>
          <w:tcPr>
            <w:tcW w:w="1275" w:type="dxa"/>
          </w:tcPr>
          <w:p w14:paraId="4E6D0F4B" w14:textId="1C03838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15 700</w:t>
            </w:r>
          </w:p>
        </w:tc>
      </w:tr>
      <w:tr w:rsidR="002A61E1" w:rsidRPr="00CC2264" w14:paraId="25EBDA6C" w14:textId="48F09C25" w:rsidTr="00DA6C87">
        <w:tc>
          <w:tcPr>
            <w:tcW w:w="691" w:type="dxa"/>
          </w:tcPr>
          <w:p w14:paraId="729055FC" w14:textId="297BF12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2. </w:t>
            </w:r>
          </w:p>
        </w:tc>
        <w:tc>
          <w:tcPr>
            <w:tcW w:w="1998" w:type="dxa"/>
          </w:tcPr>
          <w:p w14:paraId="788F0581" w14:textId="3353F85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4B417990" w14:textId="09CEFE6E"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4C1A54AA" w14:textId="1D197B5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persirengimo kabina </w:t>
            </w:r>
          </w:p>
        </w:tc>
        <w:tc>
          <w:tcPr>
            <w:tcW w:w="1985" w:type="dxa"/>
          </w:tcPr>
          <w:p w14:paraId="77E4D69E" w14:textId="6F0025FA"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4400-5220-8076</w:t>
            </w:r>
          </w:p>
        </w:tc>
        <w:tc>
          <w:tcPr>
            <w:tcW w:w="1842" w:type="dxa"/>
          </w:tcPr>
          <w:p w14:paraId="62165663" w14:textId="77777777" w:rsidR="002A61E1"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1,70 m aukštis</w:t>
            </w:r>
          </w:p>
          <w:p w14:paraId="60CB4586" w14:textId="77777777"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9,50 m. ilgis</w:t>
            </w:r>
          </w:p>
          <w:p w14:paraId="210A5F04" w14:textId="30395EB7" w:rsidR="007107BF" w:rsidRPr="00621BDA" w:rsidRDefault="007107BF" w:rsidP="002A61E1">
            <w:pPr>
              <w:jc w:val="center"/>
              <w:rPr>
                <w:rFonts w:ascii="Times New Roman" w:hAnsi="Times New Roman"/>
                <w:bCs/>
                <w:sz w:val="24"/>
                <w:szCs w:val="24"/>
              </w:rPr>
            </w:pPr>
            <w:r w:rsidRPr="00621BDA">
              <w:rPr>
                <w:rFonts w:ascii="Times New Roman" w:hAnsi="Times New Roman"/>
                <w:bCs/>
                <w:sz w:val="24"/>
                <w:szCs w:val="24"/>
              </w:rPr>
              <w:t>medis</w:t>
            </w:r>
          </w:p>
        </w:tc>
        <w:tc>
          <w:tcPr>
            <w:tcW w:w="1560" w:type="dxa"/>
          </w:tcPr>
          <w:p w14:paraId="5DF6D6DE" w14:textId="5018B536"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932</w:t>
            </w:r>
          </w:p>
        </w:tc>
        <w:tc>
          <w:tcPr>
            <w:tcW w:w="1275" w:type="dxa"/>
          </w:tcPr>
          <w:p w14:paraId="51A3007F" w14:textId="4DD9F5D6"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932</w:t>
            </w:r>
          </w:p>
        </w:tc>
      </w:tr>
      <w:tr w:rsidR="002A61E1" w:rsidRPr="00CC2264" w14:paraId="76CACC1C" w14:textId="7556E5CB" w:rsidTr="00DA6C87">
        <w:tc>
          <w:tcPr>
            <w:tcW w:w="691" w:type="dxa"/>
          </w:tcPr>
          <w:p w14:paraId="64271D06" w14:textId="6FEA72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w:t>
            </w:r>
          </w:p>
        </w:tc>
        <w:tc>
          <w:tcPr>
            <w:tcW w:w="1998" w:type="dxa"/>
          </w:tcPr>
          <w:p w14:paraId="3CCFA744" w14:textId="0E67F8F7"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48E1A71B" w14:textId="65037908"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4FADB4B" w14:textId="759CF6E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viešasis tualetas </w:t>
            </w:r>
          </w:p>
        </w:tc>
        <w:tc>
          <w:tcPr>
            <w:tcW w:w="1985" w:type="dxa"/>
          </w:tcPr>
          <w:p w14:paraId="5B3799A9" w14:textId="73BDDF4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4400-5220-8080</w:t>
            </w:r>
          </w:p>
        </w:tc>
        <w:tc>
          <w:tcPr>
            <w:tcW w:w="1842" w:type="dxa"/>
          </w:tcPr>
          <w:p w14:paraId="7F0ED33D" w14:textId="42F6CE82" w:rsidR="002A61E1"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5,54 kv. m</w:t>
            </w:r>
          </w:p>
        </w:tc>
        <w:tc>
          <w:tcPr>
            <w:tcW w:w="1560" w:type="dxa"/>
          </w:tcPr>
          <w:p w14:paraId="7F7CA073" w14:textId="5EECB53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2 100</w:t>
            </w:r>
          </w:p>
        </w:tc>
        <w:tc>
          <w:tcPr>
            <w:tcW w:w="1275" w:type="dxa"/>
          </w:tcPr>
          <w:p w14:paraId="21BA9EE6" w14:textId="3DB8EF21"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2 100</w:t>
            </w:r>
          </w:p>
        </w:tc>
      </w:tr>
      <w:tr w:rsidR="002A61E1" w:rsidRPr="00CC2264" w14:paraId="6C041025" w14:textId="0F6EA4AA" w:rsidTr="00DA6C87">
        <w:tc>
          <w:tcPr>
            <w:tcW w:w="691" w:type="dxa"/>
          </w:tcPr>
          <w:p w14:paraId="5D053F3D" w14:textId="6F99216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w:t>
            </w:r>
          </w:p>
        </w:tc>
        <w:tc>
          <w:tcPr>
            <w:tcW w:w="1998" w:type="dxa"/>
          </w:tcPr>
          <w:p w14:paraId="060EF320" w14:textId="55E0DC05"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A81FBB6" w14:textId="51471527"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13F77F8" w14:textId="21B87D9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Kiti inžineriniai statiniai – tinklinio aikštelė</w:t>
            </w:r>
          </w:p>
        </w:tc>
        <w:tc>
          <w:tcPr>
            <w:tcW w:w="1985" w:type="dxa"/>
          </w:tcPr>
          <w:p w14:paraId="39B1E468" w14:textId="562AAF2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4400-5222-0730</w:t>
            </w:r>
          </w:p>
        </w:tc>
        <w:tc>
          <w:tcPr>
            <w:tcW w:w="1842" w:type="dxa"/>
          </w:tcPr>
          <w:p w14:paraId="3EDF7620"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128,00 kv. m</w:t>
            </w:r>
          </w:p>
          <w:p w14:paraId="78944ABC" w14:textId="75D47EB0"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smėlis</w:t>
            </w:r>
          </w:p>
        </w:tc>
        <w:tc>
          <w:tcPr>
            <w:tcW w:w="1560" w:type="dxa"/>
          </w:tcPr>
          <w:p w14:paraId="6D8D567B" w14:textId="39F15F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2 390</w:t>
            </w:r>
          </w:p>
        </w:tc>
        <w:tc>
          <w:tcPr>
            <w:tcW w:w="1275" w:type="dxa"/>
          </w:tcPr>
          <w:p w14:paraId="22AFCFB2" w14:textId="7ABA9D6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2 390</w:t>
            </w:r>
          </w:p>
        </w:tc>
      </w:tr>
      <w:tr w:rsidR="002A61E1" w:rsidRPr="00CC2264" w14:paraId="60E2CA83" w14:textId="4DBFB382" w:rsidTr="00DA6C87">
        <w:tc>
          <w:tcPr>
            <w:tcW w:w="691" w:type="dxa"/>
          </w:tcPr>
          <w:p w14:paraId="72EC5366" w14:textId="4F3A8FA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5.</w:t>
            </w:r>
          </w:p>
        </w:tc>
        <w:tc>
          <w:tcPr>
            <w:tcW w:w="1998" w:type="dxa"/>
          </w:tcPr>
          <w:p w14:paraId="235AEEBF" w14:textId="3BE6D4DB"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3AD5667E" w14:textId="2F034C9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3D9D267" w14:textId="3DB5FD8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automobilių stovėjimo aikštelė </w:t>
            </w:r>
          </w:p>
        </w:tc>
        <w:tc>
          <w:tcPr>
            <w:tcW w:w="1985" w:type="dxa"/>
          </w:tcPr>
          <w:p w14:paraId="04E1C15C" w14:textId="3E8D823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4400-5220-8014</w:t>
            </w:r>
          </w:p>
        </w:tc>
        <w:tc>
          <w:tcPr>
            <w:tcW w:w="1842" w:type="dxa"/>
          </w:tcPr>
          <w:p w14:paraId="38F2B403"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200,00 kv. m</w:t>
            </w:r>
          </w:p>
          <w:p w14:paraId="63C392C7" w14:textId="253A3D6D"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žvyras</w:t>
            </w:r>
          </w:p>
        </w:tc>
        <w:tc>
          <w:tcPr>
            <w:tcW w:w="1560" w:type="dxa"/>
          </w:tcPr>
          <w:p w14:paraId="25A0DB02" w14:textId="7BE559B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3 020</w:t>
            </w:r>
          </w:p>
        </w:tc>
        <w:tc>
          <w:tcPr>
            <w:tcW w:w="1275" w:type="dxa"/>
          </w:tcPr>
          <w:p w14:paraId="4E5665E1" w14:textId="64355F25"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3 020</w:t>
            </w:r>
          </w:p>
        </w:tc>
      </w:tr>
      <w:tr w:rsidR="002A61E1" w:rsidRPr="00CC2264" w14:paraId="58AE27EE" w14:textId="638F58E7" w:rsidTr="00DA6C87">
        <w:tc>
          <w:tcPr>
            <w:tcW w:w="691" w:type="dxa"/>
          </w:tcPr>
          <w:p w14:paraId="777FE4D8" w14:textId="65982DC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w:t>
            </w:r>
          </w:p>
        </w:tc>
        <w:tc>
          <w:tcPr>
            <w:tcW w:w="1998" w:type="dxa"/>
          </w:tcPr>
          <w:p w14:paraId="13CA9D31" w14:textId="609BE87F"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02B5C44F" w14:textId="2C9D108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260D58A8" w14:textId="09CB82A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lieptas </w:t>
            </w:r>
          </w:p>
        </w:tc>
        <w:tc>
          <w:tcPr>
            <w:tcW w:w="1985" w:type="dxa"/>
          </w:tcPr>
          <w:p w14:paraId="00DA62B3" w14:textId="55C87FA5"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4400-5220-8058</w:t>
            </w:r>
          </w:p>
        </w:tc>
        <w:tc>
          <w:tcPr>
            <w:tcW w:w="1842" w:type="dxa"/>
          </w:tcPr>
          <w:p w14:paraId="02C5CB2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38,00 kv. m</w:t>
            </w:r>
          </w:p>
          <w:p w14:paraId="5509166D" w14:textId="3AD7ECC1"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medis</w:t>
            </w:r>
          </w:p>
        </w:tc>
        <w:tc>
          <w:tcPr>
            <w:tcW w:w="1560" w:type="dxa"/>
          </w:tcPr>
          <w:p w14:paraId="11831024" w14:textId="28AEB7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3 580</w:t>
            </w:r>
          </w:p>
        </w:tc>
        <w:tc>
          <w:tcPr>
            <w:tcW w:w="1275" w:type="dxa"/>
          </w:tcPr>
          <w:p w14:paraId="0D5292E7" w14:textId="6E8FE97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3 580</w:t>
            </w:r>
          </w:p>
        </w:tc>
      </w:tr>
      <w:tr w:rsidR="002A61E1" w:rsidRPr="00CC2264" w14:paraId="044D1107" w14:textId="33DA5A7F" w:rsidTr="00DA6C87">
        <w:tc>
          <w:tcPr>
            <w:tcW w:w="691" w:type="dxa"/>
          </w:tcPr>
          <w:p w14:paraId="09E07095" w14:textId="49EFE22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7.</w:t>
            </w:r>
          </w:p>
        </w:tc>
        <w:tc>
          <w:tcPr>
            <w:tcW w:w="1998" w:type="dxa"/>
          </w:tcPr>
          <w:p w14:paraId="2C9589C3" w14:textId="58E4935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22D3D954" w14:textId="208FA0D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7E5D4DCD" w14:textId="5F5F0D8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aikštelė </w:t>
            </w:r>
          </w:p>
        </w:tc>
        <w:tc>
          <w:tcPr>
            <w:tcW w:w="1985" w:type="dxa"/>
          </w:tcPr>
          <w:p w14:paraId="685E4E81" w14:textId="07D5C1B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4400-5223-2063</w:t>
            </w:r>
          </w:p>
        </w:tc>
        <w:tc>
          <w:tcPr>
            <w:tcW w:w="1842" w:type="dxa"/>
          </w:tcPr>
          <w:p w14:paraId="5B945401"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156,09 kv. m</w:t>
            </w:r>
          </w:p>
          <w:p w14:paraId="04F69F61" w14:textId="1D482D2E"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betono trinkelės</w:t>
            </w:r>
          </w:p>
        </w:tc>
        <w:tc>
          <w:tcPr>
            <w:tcW w:w="1560" w:type="dxa"/>
          </w:tcPr>
          <w:p w14:paraId="1252C8E4" w14:textId="51BE33F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6 440</w:t>
            </w:r>
          </w:p>
        </w:tc>
        <w:tc>
          <w:tcPr>
            <w:tcW w:w="1275" w:type="dxa"/>
          </w:tcPr>
          <w:p w14:paraId="5ACE84EA" w14:textId="21FCE1C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6 440</w:t>
            </w:r>
          </w:p>
        </w:tc>
      </w:tr>
      <w:tr w:rsidR="002A61E1" w:rsidRPr="00CC2264" w14:paraId="5A779261" w14:textId="3FCDE97D" w:rsidTr="00DA6C87">
        <w:tc>
          <w:tcPr>
            <w:tcW w:w="691" w:type="dxa"/>
          </w:tcPr>
          <w:p w14:paraId="532F7EB0" w14:textId="20B3BB8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8.</w:t>
            </w:r>
          </w:p>
        </w:tc>
        <w:tc>
          <w:tcPr>
            <w:tcW w:w="1998" w:type="dxa"/>
          </w:tcPr>
          <w:p w14:paraId="53EB9F70" w14:textId="58DF6E6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60040B6B" w14:textId="411A793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4C07C99" w14:textId="2B2BC3C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pavėsinės </w:t>
            </w:r>
            <w:r w:rsidR="00DA6C87" w:rsidRPr="00621BDA">
              <w:rPr>
                <w:rFonts w:ascii="Times New Roman" w:hAnsi="Times New Roman"/>
                <w:bCs/>
                <w:sz w:val="24"/>
                <w:szCs w:val="24"/>
              </w:rPr>
              <w:t>(2 vnt.)</w:t>
            </w:r>
          </w:p>
        </w:tc>
        <w:tc>
          <w:tcPr>
            <w:tcW w:w="1985" w:type="dxa"/>
          </w:tcPr>
          <w:p w14:paraId="16AB07A7" w14:textId="2E75957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4400-5220-8069</w:t>
            </w:r>
          </w:p>
        </w:tc>
        <w:tc>
          <w:tcPr>
            <w:tcW w:w="1842" w:type="dxa"/>
          </w:tcPr>
          <w:p w14:paraId="64BAAED1"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18,00 kv. m</w:t>
            </w:r>
          </w:p>
          <w:p w14:paraId="3A5142AC" w14:textId="3D874AE9"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medinės lentos</w:t>
            </w:r>
          </w:p>
        </w:tc>
        <w:tc>
          <w:tcPr>
            <w:tcW w:w="1560" w:type="dxa"/>
          </w:tcPr>
          <w:p w14:paraId="2A9D1A48" w14:textId="08DBA2B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1 880</w:t>
            </w:r>
          </w:p>
        </w:tc>
        <w:tc>
          <w:tcPr>
            <w:tcW w:w="1275" w:type="dxa"/>
          </w:tcPr>
          <w:p w14:paraId="59832A23" w14:textId="7D6DB3CD"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1 880</w:t>
            </w:r>
          </w:p>
        </w:tc>
      </w:tr>
      <w:tr w:rsidR="002A61E1" w:rsidRPr="00CC2264" w14:paraId="6C2BC615" w14:textId="17F476BB" w:rsidTr="00DA6C87">
        <w:tc>
          <w:tcPr>
            <w:tcW w:w="691" w:type="dxa"/>
          </w:tcPr>
          <w:p w14:paraId="096BF9FB" w14:textId="278474A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9. </w:t>
            </w:r>
          </w:p>
        </w:tc>
        <w:tc>
          <w:tcPr>
            <w:tcW w:w="1998" w:type="dxa"/>
          </w:tcPr>
          <w:p w14:paraId="557EB044" w14:textId="6AB84D6C"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699E574" w14:textId="2FA8879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19E79D65" w14:textId="3265A9BB"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Kelias (gatvė)  – pėsčiųjų</w:t>
            </w:r>
            <w:r w:rsidR="003C2016" w:rsidRPr="00621BDA">
              <w:rPr>
                <w:rFonts w:ascii="Times New Roman" w:hAnsi="Times New Roman"/>
                <w:bCs/>
                <w:sz w:val="24"/>
                <w:szCs w:val="24"/>
              </w:rPr>
              <w:t>-</w:t>
            </w:r>
            <w:r w:rsidR="00CC2264" w:rsidRPr="00621BDA">
              <w:rPr>
                <w:rFonts w:ascii="Times New Roman" w:hAnsi="Times New Roman"/>
                <w:bCs/>
                <w:sz w:val="24"/>
                <w:szCs w:val="24"/>
              </w:rPr>
              <w:t>d</w:t>
            </w:r>
            <w:r w:rsidRPr="00621BDA">
              <w:rPr>
                <w:rFonts w:ascii="Times New Roman" w:hAnsi="Times New Roman"/>
                <w:bCs/>
                <w:sz w:val="24"/>
                <w:szCs w:val="24"/>
              </w:rPr>
              <w:t xml:space="preserve">viračių takas </w:t>
            </w:r>
            <w:r w:rsidR="00DA6C87" w:rsidRPr="00621BDA">
              <w:rPr>
                <w:rFonts w:ascii="Times New Roman" w:hAnsi="Times New Roman"/>
                <w:bCs/>
                <w:sz w:val="24"/>
                <w:szCs w:val="24"/>
              </w:rPr>
              <w:t xml:space="preserve">(suolai – </w:t>
            </w:r>
            <w:r w:rsidR="00CC2264" w:rsidRPr="00621BDA">
              <w:rPr>
                <w:rFonts w:ascii="Times New Roman" w:hAnsi="Times New Roman"/>
                <w:bCs/>
                <w:sz w:val="24"/>
                <w:szCs w:val="24"/>
              </w:rPr>
              <w:br/>
            </w:r>
            <w:r w:rsidR="00DA6C87" w:rsidRPr="00621BDA">
              <w:rPr>
                <w:rFonts w:ascii="Times New Roman" w:hAnsi="Times New Roman"/>
                <w:bCs/>
                <w:sz w:val="24"/>
                <w:szCs w:val="24"/>
              </w:rPr>
              <w:t xml:space="preserve">3 vnt., šiukšliadėžės – </w:t>
            </w:r>
            <w:r w:rsidR="00DA6C87" w:rsidRPr="00621BDA">
              <w:rPr>
                <w:rFonts w:ascii="Times New Roman" w:hAnsi="Times New Roman"/>
                <w:bCs/>
                <w:sz w:val="24"/>
                <w:szCs w:val="24"/>
              </w:rPr>
              <w:br/>
              <w:t xml:space="preserve">3 vnt., lauko treniruokliai – 5 vnt., dviračių stovas – </w:t>
            </w:r>
            <w:r w:rsidR="00CC2264" w:rsidRPr="00621BDA">
              <w:rPr>
                <w:rFonts w:ascii="Times New Roman" w:hAnsi="Times New Roman"/>
                <w:bCs/>
                <w:sz w:val="24"/>
                <w:szCs w:val="24"/>
              </w:rPr>
              <w:br/>
            </w:r>
            <w:r w:rsidR="00DA6C87" w:rsidRPr="00621BDA">
              <w:rPr>
                <w:rFonts w:ascii="Times New Roman" w:hAnsi="Times New Roman"/>
                <w:bCs/>
                <w:sz w:val="24"/>
                <w:szCs w:val="24"/>
              </w:rPr>
              <w:t>1 vnt.)</w:t>
            </w:r>
          </w:p>
        </w:tc>
        <w:tc>
          <w:tcPr>
            <w:tcW w:w="1985" w:type="dxa"/>
          </w:tcPr>
          <w:p w14:paraId="4E3AB6B3" w14:textId="6FF31BF0"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4400-5220-8036</w:t>
            </w:r>
          </w:p>
        </w:tc>
        <w:tc>
          <w:tcPr>
            <w:tcW w:w="1842" w:type="dxa"/>
          </w:tcPr>
          <w:p w14:paraId="7A1EECB3"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401,41 kv. m</w:t>
            </w:r>
          </w:p>
          <w:p w14:paraId="3D7FD56F" w14:textId="1066034A" w:rsidR="00DA6C87" w:rsidRPr="00621BDA" w:rsidRDefault="00DA6C87" w:rsidP="00DA6C87">
            <w:pPr>
              <w:jc w:val="center"/>
              <w:rPr>
                <w:rFonts w:ascii="Times New Roman" w:hAnsi="Times New Roman"/>
                <w:bCs/>
                <w:sz w:val="24"/>
                <w:szCs w:val="24"/>
              </w:rPr>
            </w:pPr>
            <w:r w:rsidRPr="00621BDA">
              <w:rPr>
                <w:rFonts w:ascii="Times New Roman" w:hAnsi="Times New Roman"/>
                <w:bCs/>
                <w:sz w:val="24"/>
                <w:szCs w:val="24"/>
              </w:rPr>
              <w:t>200,40 m ilgis skalda</w:t>
            </w:r>
          </w:p>
        </w:tc>
        <w:tc>
          <w:tcPr>
            <w:tcW w:w="1560" w:type="dxa"/>
          </w:tcPr>
          <w:p w14:paraId="4C306D30" w14:textId="01CA014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19 200</w:t>
            </w:r>
          </w:p>
        </w:tc>
        <w:tc>
          <w:tcPr>
            <w:tcW w:w="1275" w:type="dxa"/>
          </w:tcPr>
          <w:p w14:paraId="187B9AA2" w14:textId="7497C7FD"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19 200</w:t>
            </w:r>
          </w:p>
        </w:tc>
      </w:tr>
      <w:tr w:rsidR="002A61E1" w:rsidRPr="00CC2264" w14:paraId="24593EC1" w14:textId="58E80341" w:rsidTr="00DA6C87">
        <w:tc>
          <w:tcPr>
            <w:tcW w:w="691" w:type="dxa"/>
          </w:tcPr>
          <w:p w14:paraId="2C3EB85E" w14:textId="5104130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lastRenderedPageBreak/>
              <w:t>10.</w:t>
            </w:r>
          </w:p>
        </w:tc>
        <w:tc>
          <w:tcPr>
            <w:tcW w:w="1998" w:type="dxa"/>
          </w:tcPr>
          <w:p w14:paraId="55564453" w14:textId="42D3FF5A"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14B0EDB4" w14:textId="07C91FF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Panevėžio r. sav., Geležių mstl., Parko g. </w:t>
            </w:r>
          </w:p>
          <w:p w14:paraId="6DB27E5D" w14:textId="212A2BCD" w:rsidR="002A61E1" w:rsidRPr="00621BDA" w:rsidRDefault="002A61E1" w:rsidP="002A61E1">
            <w:pPr>
              <w:rPr>
                <w:rFonts w:ascii="Times New Roman" w:hAnsi="Times New Roman"/>
                <w:bCs/>
                <w:sz w:val="24"/>
                <w:szCs w:val="24"/>
              </w:rPr>
            </w:pPr>
          </w:p>
        </w:tc>
        <w:tc>
          <w:tcPr>
            <w:tcW w:w="2693" w:type="dxa"/>
          </w:tcPr>
          <w:p w14:paraId="0EAEA6AF" w14:textId="1E81498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įvažiavimas </w:t>
            </w:r>
          </w:p>
        </w:tc>
        <w:tc>
          <w:tcPr>
            <w:tcW w:w="1985" w:type="dxa"/>
          </w:tcPr>
          <w:p w14:paraId="53E3B8CA" w14:textId="5E3F2344" w:rsidR="002A61E1" w:rsidRPr="00621BDA" w:rsidRDefault="002A61E1" w:rsidP="002A61E1">
            <w:pPr>
              <w:ind w:left="-242" w:firstLine="141"/>
              <w:jc w:val="center"/>
              <w:rPr>
                <w:rFonts w:ascii="Times New Roman" w:hAnsi="Times New Roman"/>
                <w:bCs/>
                <w:sz w:val="24"/>
                <w:szCs w:val="24"/>
              </w:rPr>
            </w:pPr>
            <w:r w:rsidRPr="00621BDA">
              <w:rPr>
                <w:rFonts w:ascii="Times New Roman" w:hAnsi="Times New Roman"/>
                <w:bCs/>
                <w:sz w:val="24"/>
                <w:szCs w:val="24"/>
              </w:rPr>
              <w:t>4400-5231-7796</w:t>
            </w:r>
          </w:p>
        </w:tc>
        <w:tc>
          <w:tcPr>
            <w:tcW w:w="1842" w:type="dxa"/>
          </w:tcPr>
          <w:p w14:paraId="1EA9CBE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43,18 kv. m</w:t>
            </w:r>
          </w:p>
          <w:p w14:paraId="6234F2F3" w14:textId="3B243826"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žvyras</w:t>
            </w:r>
          </w:p>
        </w:tc>
        <w:tc>
          <w:tcPr>
            <w:tcW w:w="1560" w:type="dxa"/>
          </w:tcPr>
          <w:p w14:paraId="51B67B7F" w14:textId="3DA01D2B"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652</w:t>
            </w:r>
          </w:p>
        </w:tc>
        <w:tc>
          <w:tcPr>
            <w:tcW w:w="1275" w:type="dxa"/>
          </w:tcPr>
          <w:p w14:paraId="57D1BC9D" w14:textId="7DE0335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652</w:t>
            </w:r>
          </w:p>
        </w:tc>
      </w:tr>
      <w:tr w:rsidR="002A61E1" w:rsidRPr="00CC2264" w14:paraId="47986B56" w14:textId="243DB15F" w:rsidTr="00DA6C87">
        <w:trPr>
          <w:trHeight w:val="416"/>
        </w:trPr>
        <w:tc>
          <w:tcPr>
            <w:tcW w:w="691" w:type="dxa"/>
          </w:tcPr>
          <w:p w14:paraId="0EC929DD" w14:textId="7F79A83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11.</w:t>
            </w:r>
          </w:p>
        </w:tc>
        <w:tc>
          <w:tcPr>
            <w:tcW w:w="1998" w:type="dxa"/>
          </w:tcPr>
          <w:p w14:paraId="21A64542" w14:textId="43CFD4F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DD43A54" w14:textId="1EE50203" w:rsidR="002A61E1" w:rsidRPr="00621BDA" w:rsidRDefault="002A61E1" w:rsidP="00AD7685">
            <w:pPr>
              <w:rPr>
                <w:rFonts w:ascii="Times New Roman" w:hAnsi="Times New Roman"/>
                <w:bCs/>
                <w:sz w:val="24"/>
                <w:szCs w:val="24"/>
              </w:rPr>
            </w:pPr>
            <w:r w:rsidRPr="00621BDA">
              <w:rPr>
                <w:rFonts w:ascii="Times New Roman" w:hAnsi="Times New Roman"/>
                <w:bCs/>
                <w:sz w:val="24"/>
                <w:szCs w:val="24"/>
              </w:rPr>
              <w:t xml:space="preserve">Panevėžio r. sav., Geležių mstl., Parko g. </w:t>
            </w:r>
          </w:p>
        </w:tc>
        <w:tc>
          <w:tcPr>
            <w:tcW w:w="2693" w:type="dxa"/>
          </w:tcPr>
          <w:p w14:paraId="12D83ED6" w14:textId="60EE09B8"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pėsčiųjų takas </w:t>
            </w:r>
          </w:p>
        </w:tc>
        <w:tc>
          <w:tcPr>
            <w:tcW w:w="1985" w:type="dxa"/>
          </w:tcPr>
          <w:p w14:paraId="10EBCB1C" w14:textId="3738C93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4400-5232-8002</w:t>
            </w:r>
          </w:p>
        </w:tc>
        <w:tc>
          <w:tcPr>
            <w:tcW w:w="1842" w:type="dxa"/>
          </w:tcPr>
          <w:p w14:paraId="265A61F8"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9,71 kv. m</w:t>
            </w:r>
          </w:p>
          <w:p w14:paraId="40DBB415" w14:textId="24AC6882"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betono trinkelės</w:t>
            </w:r>
          </w:p>
        </w:tc>
        <w:tc>
          <w:tcPr>
            <w:tcW w:w="1560" w:type="dxa"/>
          </w:tcPr>
          <w:p w14:paraId="59817EA0" w14:textId="428BD7A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465</w:t>
            </w:r>
          </w:p>
        </w:tc>
        <w:tc>
          <w:tcPr>
            <w:tcW w:w="1275" w:type="dxa"/>
          </w:tcPr>
          <w:p w14:paraId="6DCA5749" w14:textId="1D1D6E6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465</w:t>
            </w:r>
          </w:p>
        </w:tc>
      </w:tr>
    </w:tbl>
    <w:p w14:paraId="3BC85B8C" w14:textId="0BBA0E22" w:rsidR="000F5E42" w:rsidRPr="00CC2264" w:rsidRDefault="00EA4D61" w:rsidP="00B72D91">
      <w:pPr>
        <w:jc w:val="center"/>
        <w:rPr>
          <w:bCs/>
          <w:sz w:val="24"/>
          <w:szCs w:val="24"/>
        </w:rPr>
      </w:pPr>
      <w:r w:rsidRPr="00CC2264">
        <w:rPr>
          <w:bCs/>
          <w:sz w:val="24"/>
          <w:szCs w:val="24"/>
        </w:rPr>
        <w:t>_____________________</w:t>
      </w:r>
    </w:p>
    <w:p w14:paraId="3BB023FA" w14:textId="7739D84E" w:rsidR="00553443" w:rsidRDefault="00553443">
      <w:pPr>
        <w:suppressAutoHyphens w:val="0"/>
        <w:rPr>
          <w:b/>
          <w:sz w:val="24"/>
          <w:szCs w:val="24"/>
        </w:rPr>
      </w:pPr>
    </w:p>
    <w:p w14:paraId="4711215D" w14:textId="77777777" w:rsidR="000F5E42" w:rsidRDefault="000F5E42" w:rsidP="00B72D91">
      <w:pPr>
        <w:jc w:val="center"/>
        <w:rPr>
          <w:b/>
          <w:sz w:val="24"/>
          <w:szCs w:val="24"/>
        </w:rPr>
      </w:pPr>
    </w:p>
    <w:p w14:paraId="5E447AAB" w14:textId="77777777" w:rsidR="00553443" w:rsidRDefault="00553443" w:rsidP="00B72D91">
      <w:pPr>
        <w:jc w:val="center"/>
        <w:rPr>
          <w:b/>
          <w:sz w:val="24"/>
          <w:szCs w:val="24"/>
        </w:rPr>
        <w:sectPr w:rsidR="00553443" w:rsidSect="00553443">
          <w:pgSz w:w="16837" w:h="11905" w:orient="landscape" w:code="9"/>
          <w:pgMar w:top="1701" w:right="1077" w:bottom="567" w:left="1134" w:header="567" w:footer="567" w:gutter="0"/>
          <w:pgNumType w:start="1"/>
          <w:cols w:space="1296"/>
          <w:titlePg/>
          <w:docGrid w:linePitch="360"/>
        </w:sectPr>
      </w:pPr>
    </w:p>
    <w:p w14:paraId="6A185CD0" w14:textId="77777777" w:rsidR="009A58AA" w:rsidRDefault="009A58AA" w:rsidP="00B72D91">
      <w:pPr>
        <w:jc w:val="center"/>
        <w:rPr>
          <w:b/>
          <w:sz w:val="24"/>
          <w:szCs w:val="24"/>
        </w:rPr>
      </w:pPr>
    </w:p>
    <w:p w14:paraId="7BFE46E6" w14:textId="77777777" w:rsidR="000F5E42" w:rsidRDefault="000F5E42" w:rsidP="00B72D91">
      <w:pPr>
        <w:jc w:val="center"/>
        <w:rPr>
          <w:b/>
          <w:sz w:val="24"/>
          <w:szCs w:val="24"/>
        </w:rPr>
      </w:pPr>
    </w:p>
    <w:sectPr w:rsidR="000F5E42" w:rsidSect="00FE36A4">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9ACC" w14:textId="77777777" w:rsidR="002A10B2" w:rsidRDefault="002A10B2" w:rsidP="005B17D5">
      <w:r>
        <w:separator/>
      </w:r>
    </w:p>
  </w:endnote>
  <w:endnote w:type="continuationSeparator" w:id="0">
    <w:p w14:paraId="6A18C070" w14:textId="77777777" w:rsidR="002A10B2" w:rsidRDefault="002A10B2"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31AD" w14:textId="77777777" w:rsidR="002A10B2" w:rsidRDefault="002A10B2" w:rsidP="005B17D5">
      <w:r>
        <w:separator/>
      </w:r>
    </w:p>
  </w:footnote>
  <w:footnote w:type="continuationSeparator" w:id="0">
    <w:p w14:paraId="11139AAF" w14:textId="77777777" w:rsidR="002A10B2" w:rsidRDefault="002A10B2"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65D"/>
    <w:rsid w:val="00011B8F"/>
    <w:rsid w:val="0003044D"/>
    <w:rsid w:val="00032DA0"/>
    <w:rsid w:val="00035E90"/>
    <w:rsid w:val="00037150"/>
    <w:rsid w:val="00037FD8"/>
    <w:rsid w:val="00040E83"/>
    <w:rsid w:val="00042E8A"/>
    <w:rsid w:val="00047FA6"/>
    <w:rsid w:val="00050A0B"/>
    <w:rsid w:val="0005138F"/>
    <w:rsid w:val="00054A16"/>
    <w:rsid w:val="000572C1"/>
    <w:rsid w:val="00061B24"/>
    <w:rsid w:val="00075DD8"/>
    <w:rsid w:val="000821F7"/>
    <w:rsid w:val="00082CC5"/>
    <w:rsid w:val="00083BB6"/>
    <w:rsid w:val="000938FE"/>
    <w:rsid w:val="000A5B0F"/>
    <w:rsid w:val="000B4705"/>
    <w:rsid w:val="000B53AB"/>
    <w:rsid w:val="000C3AEA"/>
    <w:rsid w:val="000D4395"/>
    <w:rsid w:val="000E22CC"/>
    <w:rsid w:val="000E4174"/>
    <w:rsid w:val="000F5E42"/>
    <w:rsid w:val="00105135"/>
    <w:rsid w:val="001331E1"/>
    <w:rsid w:val="0013538B"/>
    <w:rsid w:val="001363A1"/>
    <w:rsid w:val="00137679"/>
    <w:rsid w:val="001457AB"/>
    <w:rsid w:val="00146D51"/>
    <w:rsid w:val="00155721"/>
    <w:rsid w:val="0016426A"/>
    <w:rsid w:val="00166617"/>
    <w:rsid w:val="001704D1"/>
    <w:rsid w:val="001723E3"/>
    <w:rsid w:val="00182CAC"/>
    <w:rsid w:val="00182FED"/>
    <w:rsid w:val="00186530"/>
    <w:rsid w:val="00186E76"/>
    <w:rsid w:val="00196A92"/>
    <w:rsid w:val="00197F63"/>
    <w:rsid w:val="001A4A8E"/>
    <w:rsid w:val="001B13D2"/>
    <w:rsid w:val="001B7B6C"/>
    <w:rsid w:val="001B7BE2"/>
    <w:rsid w:val="001C2F0A"/>
    <w:rsid w:val="001C5E9A"/>
    <w:rsid w:val="001D4C95"/>
    <w:rsid w:val="001D6615"/>
    <w:rsid w:val="001E56A1"/>
    <w:rsid w:val="001E5C41"/>
    <w:rsid w:val="001E5CB2"/>
    <w:rsid w:val="001E632B"/>
    <w:rsid w:val="0020130D"/>
    <w:rsid w:val="00205DF5"/>
    <w:rsid w:val="002277B6"/>
    <w:rsid w:val="00230D53"/>
    <w:rsid w:val="0023316D"/>
    <w:rsid w:val="002349A4"/>
    <w:rsid w:val="00236D39"/>
    <w:rsid w:val="002405DD"/>
    <w:rsid w:val="00255C2E"/>
    <w:rsid w:val="002623B5"/>
    <w:rsid w:val="002759E0"/>
    <w:rsid w:val="0028604B"/>
    <w:rsid w:val="0028782E"/>
    <w:rsid w:val="00291797"/>
    <w:rsid w:val="002976DB"/>
    <w:rsid w:val="002A10B2"/>
    <w:rsid w:val="002A3436"/>
    <w:rsid w:val="002A61E1"/>
    <w:rsid w:val="002B6BE4"/>
    <w:rsid w:val="002C394C"/>
    <w:rsid w:val="002E5D55"/>
    <w:rsid w:val="002E68DE"/>
    <w:rsid w:val="002F5849"/>
    <w:rsid w:val="0030379E"/>
    <w:rsid w:val="003069EC"/>
    <w:rsid w:val="00312E5B"/>
    <w:rsid w:val="0032135B"/>
    <w:rsid w:val="0032232F"/>
    <w:rsid w:val="00326A3A"/>
    <w:rsid w:val="00327FC2"/>
    <w:rsid w:val="003329A9"/>
    <w:rsid w:val="003366CF"/>
    <w:rsid w:val="00353275"/>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2016"/>
    <w:rsid w:val="003C6A6F"/>
    <w:rsid w:val="003D0568"/>
    <w:rsid w:val="003E0CD3"/>
    <w:rsid w:val="003F20AB"/>
    <w:rsid w:val="003F47DF"/>
    <w:rsid w:val="003F71B2"/>
    <w:rsid w:val="0040669F"/>
    <w:rsid w:val="00410EE6"/>
    <w:rsid w:val="004148B9"/>
    <w:rsid w:val="004158AB"/>
    <w:rsid w:val="004163F3"/>
    <w:rsid w:val="0042120C"/>
    <w:rsid w:val="00421AD4"/>
    <w:rsid w:val="00431087"/>
    <w:rsid w:val="00435051"/>
    <w:rsid w:val="00443F2F"/>
    <w:rsid w:val="00450C07"/>
    <w:rsid w:val="004535A9"/>
    <w:rsid w:val="00457E99"/>
    <w:rsid w:val="004605F8"/>
    <w:rsid w:val="00464598"/>
    <w:rsid w:val="0046529A"/>
    <w:rsid w:val="00475D6F"/>
    <w:rsid w:val="00483859"/>
    <w:rsid w:val="004A5284"/>
    <w:rsid w:val="004B1123"/>
    <w:rsid w:val="004B7839"/>
    <w:rsid w:val="004C3D87"/>
    <w:rsid w:val="004C679F"/>
    <w:rsid w:val="004D146E"/>
    <w:rsid w:val="004D24BE"/>
    <w:rsid w:val="004D3ADE"/>
    <w:rsid w:val="004E5D7E"/>
    <w:rsid w:val="004E69EE"/>
    <w:rsid w:val="004F1D5B"/>
    <w:rsid w:val="00500C3D"/>
    <w:rsid w:val="005031F2"/>
    <w:rsid w:val="00513744"/>
    <w:rsid w:val="00513DB7"/>
    <w:rsid w:val="00523AD4"/>
    <w:rsid w:val="00525596"/>
    <w:rsid w:val="00536B44"/>
    <w:rsid w:val="00546B98"/>
    <w:rsid w:val="005477EC"/>
    <w:rsid w:val="00551C5F"/>
    <w:rsid w:val="0055216D"/>
    <w:rsid w:val="005527D0"/>
    <w:rsid w:val="00553443"/>
    <w:rsid w:val="005565C1"/>
    <w:rsid w:val="00560BC1"/>
    <w:rsid w:val="00563497"/>
    <w:rsid w:val="0056383D"/>
    <w:rsid w:val="00565CCF"/>
    <w:rsid w:val="005676E0"/>
    <w:rsid w:val="00571284"/>
    <w:rsid w:val="005841B0"/>
    <w:rsid w:val="00586AC6"/>
    <w:rsid w:val="00592FD5"/>
    <w:rsid w:val="0059682D"/>
    <w:rsid w:val="00596ED2"/>
    <w:rsid w:val="005A7ADC"/>
    <w:rsid w:val="005B17D5"/>
    <w:rsid w:val="005B263B"/>
    <w:rsid w:val="005D0AA7"/>
    <w:rsid w:val="005D79B2"/>
    <w:rsid w:val="005F55E4"/>
    <w:rsid w:val="005F6BA4"/>
    <w:rsid w:val="005F7AA6"/>
    <w:rsid w:val="00600D49"/>
    <w:rsid w:val="00615B22"/>
    <w:rsid w:val="00620A21"/>
    <w:rsid w:val="00621B40"/>
    <w:rsid w:val="00621BDA"/>
    <w:rsid w:val="00634905"/>
    <w:rsid w:val="006375B4"/>
    <w:rsid w:val="006423E0"/>
    <w:rsid w:val="0064765C"/>
    <w:rsid w:val="00662110"/>
    <w:rsid w:val="00666799"/>
    <w:rsid w:val="0066690D"/>
    <w:rsid w:val="00671EAE"/>
    <w:rsid w:val="00673E1B"/>
    <w:rsid w:val="00676D4D"/>
    <w:rsid w:val="006776FE"/>
    <w:rsid w:val="006779BA"/>
    <w:rsid w:val="0068392D"/>
    <w:rsid w:val="00687E20"/>
    <w:rsid w:val="00690BF1"/>
    <w:rsid w:val="0069252E"/>
    <w:rsid w:val="006A1192"/>
    <w:rsid w:val="006A1C88"/>
    <w:rsid w:val="006A28BF"/>
    <w:rsid w:val="006A541F"/>
    <w:rsid w:val="006A7B4D"/>
    <w:rsid w:val="006B102A"/>
    <w:rsid w:val="006B385F"/>
    <w:rsid w:val="006B44B8"/>
    <w:rsid w:val="006C161C"/>
    <w:rsid w:val="006C2913"/>
    <w:rsid w:val="006C6A4A"/>
    <w:rsid w:val="006D160B"/>
    <w:rsid w:val="006D204E"/>
    <w:rsid w:val="006E5F14"/>
    <w:rsid w:val="006E6B84"/>
    <w:rsid w:val="006E7FBE"/>
    <w:rsid w:val="006F1F30"/>
    <w:rsid w:val="006F272B"/>
    <w:rsid w:val="006F307F"/>
    <w:rsid w:val="007010EE"/>
    <w:rsid w:val="007107BF"/>
    <w:rsid w:val="00714EA6"/>
    <w:rsid w:val="00716072"/>
    <w:rsid w:val="007335DA"/>
    <w:rsid w:val="007402C2"/>
    <w:rsid w:val="007404A9"/>
    <w:rsid w:val="00743FE4"/>
    <w:rsid w:val="007443B9"/>
    <w:rsid w:val="0074696F"/>
    <w:rsid w:val="00752826"/>
    <w:rsid w:val="00756E52"/>
    <w:rsid w:val="00765438"/>
    <w:rsid w:val="0076574B"/>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05E4"/>
    <w:rsid w:val="007F1FEF"/>
    <w:rsid w:val="007F23E4"/>
    <w:rsid w:val="007F7A9F"/>
    <w:rsid w:val="008031A0"/>
    <w:rsid w:val="008046E6"/>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A4A0C"/>
    <w:rsid w:val="008B1424"/>
    <w:rsid w:val="008B17DB"/>
    <w:rsid w:val="008B2CD6"/>
    <w:rsid w:val="008B5271"/>
    <w:rsid w:val="008C2A92"/>
    <w:rsid w:val="008C438F"/>
    <w:rsid w:val="008D1BE3"/>
    <w:rsid w:val="008D1D2C"/>
    <w:rsid w:val="008D4DC5"/>
    <w:rsid w:val="008D522F"/>
    <w:rsid w:val="008D6DC1"/>
    <w:rsid w:val="008D7219"/>
    <w:rsid w:val="008E001D"/>
    <w:rsid w:val="008E3927"/>
    <w:rsid w:val="008F2489"/>
    <w:rsid w:val="00903204"/>
    <w:rsid w:val="00907FD1"/>
    <w:rsid w:val="009118B0"/>
    <w:rsid w:val="00911A9D"/>
    <w:rsid w:val="009150D5"/>
    <w:rsid w:val="00915D15"/>
    <w:rsid w:val="00916DAA"/>
    <w:rsid w:val="00937561"/>
    <w:rsid w:val="009430FE"/>
    <w:rsid w:val="009469C1"/>
    <w:rsid w:val="009502C7"/>
    <w:rsid w:val="0095273E"/>
    <w:rsid w:val="009638DE"/>
    <w:rsid w:val="00966C16"/>
    <w:rsid w:val="00966DC3"/>
    <w:rsid w:val="00975765"/>
    <w:rsid w:val="0098107C"/>
    <w:rsid w:val="00984696"/>
    <w:rsid w:val="00985D25"/>
    <w:rsid w:val="00986688"/>
    <w:rsid w:val="009A234D"/>
    <w:rsid w:val="009A58AA"/>
    <w:rsid w:val="009A5D3D"/>
    <w:rsid w:val="009B29F7"/>
    <w:rsid w:val="009B63E9"/>
    <w:rsid w:val="009C06EE"/>
    <w:rsid w:val="009C1C31"/>
    <w:rsid w:val="009C33B5"/>
    <w:rsid w:val="009C6B73"/>
    <w:rsid w:val="009D2C7B"/>
    <w:rsid w:val="009F79DD"/>
    <w:rsid w:val="009F7EFB"/>
    <w:rsid w:val="00A00F7C"/>
    <w:rsid w:val="00A048BA"/>
    <w:rsid w:val="00A07D1D"/>
    <w:rsid w:val="00A1296B"/>
    <w:rsid w:val="00A22A02"/>
    <w:rsid w:val="00A24224"/>
    <w:rsid w:val="00A2431C"/>
    <w:rsid w:val="00A24479"/>
    <w:rsid w:val="00A3235E"/>
    <w:rsid w:val="00A3642E"/>
    <w:rsid w:val="00A36D90"/>
    <w:rsid w:val="00A375E0"/>
    <w:rsid w:val="00A41549"/>
    <w:rsid w:val="00A57192"/>
    <w:rsid w:val="00A57607"/>
    <w:rsid w:val="00A60042"/>
    <w:rsid w:val="00A61712"/>
    <w:rsid w:val="00A66633"/>
    <w:rsid w:val="00A96B33"/>
    <w:rsid w:val="00AB08D6"/>
    <w:rsid w:val="00AB22D3"/>
    <w:rsid w:val="00AB352B"/>
    <w:rsid w:val="00AB7AD6"/>
    <w:rsid w:val="00AC3751"/>
    <w:rsid w:val="00AC590B"/>
    <w:rsid w:val="00AC7B77"/>
    <w:rsid w:val="00AD176E"/>
    <w:rsid w:val="00AD2430"/>
    <w:rsid w:val="00AD491E"/>
    <w:rsid w:val="00AD7685"/>
    <w:rsid w:val="00AD7A02"/>
    <w:rsid w:val="00AE1CFE"/>
    <w:rsid w:val="00AE5C98"/>
    <w:rsid w:val="00B22F65"/>
    <w:rsid w:val="00B23A17"/>
    <w:rsid w:val="00B27DE2"/>
    <w:rsid w:val="00B30AB5"/>
    <w:rsid w:val="00B3604A"/>
    <w:rsid w:val="00B37449"/>
    <w:rsid w:val="00B43032"/>
    <w:rsid w:val="00B46A58"/>
    <w:rsid w:val="00B46C5F"/>
    <w:rsid w:val="00B607F6"/>
    <w:rsid w:val="00B7114B"/>
    <w:rsid w:val="00B72D91"/>
    <w:rsid w:val="00B7306F"/>
    <w:rsid w:val="00B7644C"/>
    <w:rsid w:val="00B86458"/>
    <w:rsid w:val="00BA7B9F"/>
    <w:rsid w:val="00BB352F"/>
    <w:rsid w:val="00BB4457"/>
    <w:rsid w:val="00BB49D7"/>
    <w:rsid w:val="00BC13D5"/>
    <w:rsid w:val="00BD0460"/>
    <w:rsid w:val="00BE12D7"/>
    <w:rsid w:val="00BE1A98"/>
    <w:rsid w:val="00BE3504"/>
    <w:rsid w:val="00BE6D2D"/>
    <w:rsid w:val="00C11462"/>
    <w:rsid w:val="00C14695"/>
    <w:rsid w:val="00C1531D"/>
    <w:rsid w:val="00C173A5"/>
    <w:rsid w:val="00C25AC4"/>
    <w:rsid w:val="00C27FC2"/>
    <w:rsid w:val="00C30F8C"/>
    <w:rsid w:val="00C408D3"/>
    <w:rsid w:val="00C427C1"/>
    <w:rsid w:val="00C42C7A"/>
    <w:rsid w:val="00C4640D"/>
    <w:rsid w:val="00C4650A"/>
    <w:rsid w:val="00C47845"/>
    <w:rsid w:val="00C50763"/>
    <w:rsid w:val="00C53377"/>
    <w:rsid w:val="00C67B63"/>
    <w:rsid w:val="00C81B91"/>
    <w:rsid w:val="00C858B0"/>
    <w:rsid w:val="00C91F9A"/>
    <w:rsid w:val="00C95951"/>
    <w:rsid w:val="00CA3219"/>
    <w:rsid w:val="00CA5708"/>
    <w:rsid w:val="00CB4776"/>
    <w:rsid w:val="00CC1D06"/>
    <w:rsid w:val="00CC2264"/>
    <w:rsid w:val="00CD5076"/>
    <w:rsid w:val="00CE226C"/>
    <w:rsid w:val="00CE2A20"/>
    <w:rsid w:val="00CE3D0D"/>
    <w:rsid w:val="00CE4959"/>
    <w:rsid w:val="00CE4D7D"/>
    <w:rsid w:val="00CE7D42"/>
    <w:rsid w:val="00CF19A3"/>
    <w:rsid w:val="00CF1AC6"/>
    <w:rsid w:val="00CF7D37"/>
    <w:rsid w:val="00D02E92"/>
    <w:rsid w:val="00D03986"/>
    <w:rsid w:val="00D16F5D"/>
    <w:rsid w:val="00D22A49"/>
    <w:rsid w:val="00D25C34"/>
    <w:rsid w:val="00D32682"/>
    <w:rsid w:val="00D526A4"/>
    <w:rsid w:val="00D60E7F"/>
    <w:rsid w:val="00D63340"/>
    <w:rsid w:val="00D66005"/>
    <w:rsid w:val="00D733FA"/>
    <w:rsid w:val="00D94DB6"/>
    <w:rsid w:val="00DA6C87"/>
    <w:rsid w:val="00DA7BE2"/>
    <w:rsid w:val="00DB5D9F"/>
    <w:rsid w:val="00DB69FA"/>
    <w:rsid w:val="00DB75BB"/>
    <w:rsid w:val="00DC41A5"/>
    <w:rsid w:val="00DC691B"/>
    <w:rsid w:val="00DD1F6A"/>
    <w:rsid w:val="00DF0018"/>
    <w:rsid w:val="00DF367E"/>
    <w:rsid w:val="00DF41C7"/>
    <w:rsid w:val="00DF4583"/>
    <w:rsid w:val="00DF4EFD"/>
    <w:rsid w:val="00E0061A"/>
    <w:rsid w:val="00E13D63"/>
    <w:rsid w:val="00E13FBB"/>
    <w:rsid w:val="00E228EE"/>
    <w:rsid w:val="00E34094"/>
    <w:rsid w:val="00E41D97"/>
    <w:rsid w:val="00E434DD"/>
    <w:rsid w:val="00E46BBB"/>
    <w:rsid w:val="00E61D0D"/>
    <w:rsid w:val="00E64823"/>
    <w:rsid w:val="00E75E45"/>
    <w:rsid w:val="00E8401A"/>
    <w:rsid w:val="00E84507"/>
    <w:rsid w:val="00E8592C"/>
    <w:rsid w:val="00EA0F25"/>
    <w:rsid w:val="00EA4D61"/>
    <w:rsid w:val="00EB1837"/>
    <w:rsid w:val="00EB331D"/>
    <w:rsid w:val="00EC2963"/>
    <w:rsid w:val="00EC6548"/>
    <w:rsid w:val="00EC7C2B"/>
    <w:rsid w:val="00ED354C"/>
    <w:rsid w:val="00ED7E6F"/>
    <w:rsid w:val="00EE487D"/>
    <w:rsid w:val="00EF030D"/>
    <w:rsid w:val="00EF5092"/>
    <w:rsid w:val="00F0204C"/>
    <w:rsid w:val="00F0477A"/>
    <w:rsid w:val="00F10F57"/>
    <w:rsid w:val="00F17388"/>
    <w:rsid w:val="00F26E56"/>
    <w:rsid w:val="00F321F5"/>
    <w:rsid w:val="00F35485"/>
    <w:rsid w:val="00F36561"/>
    <w:rsid w:val="00F41725"/>
    <w:rsid w:val="00F422CC"/>
    <w:rsid w:val="00F44CF3"/>
    <w:rsid w:val="00F542E0"/>
    <w:rsid w:val="00F575BF"/>
    <w:rsid w:val="00F601F7"/>
    <w:rsid w:val="00F612BB"/>
    <w:rsid w:val="00F6296C"/>
    <w:rsid w:val="00F67836"/>
    <w:rsid w:val="00F76C4C"/>
    <w:rsid w:val="00F8307D"/>
    <w:rsid w:val="00F851DD"/>
    <w:rsid w:val="00F934DC"/>
    <w:rsid w:val="00F972BE"/>
    <w:rsid w:val="00FA38C2"/>
    <w:rsid w:val="00FB6CD0"/>
    <w:rsid w:val="00FC0A1D"/>
    <w:rsid w:val="00FC1A90"/>
    <w:rsid w:val="00FC7D2C"/>
    <w:rsid w:val="00FD3318"/>
    <w:rsid w:val="00FD7793"/>
    <w:rsid w:val="00FD78F4"/>
    <w:rsid w:val="00FE36A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D1D"/>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3188</Words>
  <Characters>1818</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4</cp:revision>
  <cp:lastPrinted>2025-10-30T05:44:00Z</cp:lastPrinted>
  <dcterms:created xsi:type="dcterms:W3CDTF">2025-10-30T05:43:00Z</dcterms:created>
  <dcterms:modified xsi:type="dcterms:W3CDTF">2025-10-30T05:45:00Z</dcterms:modified>
</cp:coreProperties>
</file>