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78E" w14:textId="77777777" w:rsidR="0048328C" w:rsidRDefault="0048328C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kern w:val="3"/>
          <w:sz w:val="20"/>
          <w:lang w:eastAsia="ar-SA"/>
        </w:rPr>
      </w:pPr>
    </w:p>
    <w:p w14:paraId="1931F018" w14:textId="77777777" w:rsidR="00DD2EE9" w:rsidRDefault="00DD2EE9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  <w:r>
        <w:rPr>
          <w:b/>
          <w:noProof/>
          <w:kern w:val="3"/>
          <w:sz w:val="28"/>
          <w:lang w:eastAsia="lt-LT"/>
        </w:rPr>
        <w:drawing>
          <wp:inline distT="0" distB="0" distL="0" distR="0" wp14:anchorId="207053A9" wp14:editId="10462E79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485C9" w14:textId="5420DEDE" w:rsidR="00DD2EE9" w:rsidRPr="007010D2" w:rsidRDefault="007010D2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Cs w:val="24"/>
          <w:lang w:eastAsia="ar-SA"/>
        </w:rPr>
      </w:pPr>
      <w:r>
        <w:rPr>
          <w:b/>
          <w:kern w:val="3"/>
          <w:sz w:val="28"/>
          <w:lang w:eastAsia="ar-SA"/>
        </w:rPr>
        <w:tab/>
      </w:r>
      <w:r>
        <w:rPr>
          <w:b/>
          <w:kern w:val="3"/>
          <w:sz w:val="28"/>
          <w:lang w:eastAsia="ar-SA"/>
        </w:rPr>
        <w:tab/>
        <w:t xml:space="preserve"> </w:t>
      </w:r>
    </w:p>
    <w:p w14:paraId="131D4B49" w14:textId="77777777" w:rsidR="0048328C" w:rsidRDefault="00DD2EE9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  <w:r>
        <w:rPr>
          <w:b/>
          <w:kern w:val="3"/>
          <w:sz w:val="28"/>
          <w:lang w:eastAsia="ar-SA"/>
        </w:rPr>
        <w:t>PANEVĖŽIO RAJONO SAVIVALDYBĖS TARYBA</w:t>
      </w:r>
    </w:p>
    <w:p w14:paraId="65DDEC22" w14:textId="77777777" w:rsidR="0048328C" w:rsidRDefault="0048328C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b/>
          <w:kern w:val="3"/>
          <w:sz w:val="28"/>
          <w:lang w:eastAsia="ar-SA"/>
        </w:rPr>
      </w:pPr>
    </w:p>
    <w:p w14:paraId="0DB8D289" w14:textId="77777777" w:rsidR="0048328C" w:rsidRDefault="00DD2EE9">
      <w:pPr>
        <w:suppressAutoHyphens/>
        <w:jc w:val="center"/>
        <w:textAlignment w:val="baseline"/>
        <w:rPr>
          <w:b/>
          <w:color w:val="000000"/>
          <w:kern w:val="3"/>
          <w:sz w:val="28"/>
          <w:szCs w:val="28"/>
          <w:lang w:eastAsia="ar-SA"/>
        </w:rPr>
      </w:pPr>
      <w:r>
        <w:rPr>
          <w:b/>
          <w:color w:val="000000"/>
          <w:kern w:val="3"/>
          <w:sz w:val="28"/>
          <w:szCs w:val="28"/>
          <w:lang w:eastAsia="ar-SA"/>
        </w:rPr>
        <w:t>SPRENDIMAS</w:t>
      </w:r>
    </w:p>
    <w:p w14:paraId="067180C1" w14:textId="0D7F6300" w:rsidR="0048328C" w:rsidRDefault="007E6A36">
      <w:pPr>
        <w:widowControl w:val="0"/>
        <w:suppressAutoHyphens/>
        <w:jc w:val="center"/>
        <w:textAlignment w:val="baseline"/>
        <w:rPr>
          <w:b/>
          <w:bCs/>
          <w:spacing w:val="1"/>
          <w:kern w:val="3"/>
          <w:szCs w:val="24"/>
          <w:lang w:eastAsia="lt-LT"/>
        </w:rPr>
      </w:pP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DĖL </w:t>
      </w:r>
      <w:r>
        <w:rPr>
          <w:b/>
          <w:bCs/>
          <w:szCs w:val="24"/>
          <w:lang w:eastAsia="lt-LT"/>
        </w:rPr>
        <w:t>PANEVĖŽIO RAJONO SAVIVALDYBĖS 2022 M. GRUODŽIO 15 D. SPRENDIMO NR. T-265 „</w:t>
      </w:r>
      <w:r w:rsidR="00DD2EE9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</w:t>
      </w:r>
      <w:r w:rsidR="00DD2EE9">
        <w:rPr>
          <w:rFonts w:eastAsia="SimSun;宋体"/>
          <w:b/>
          <w:color w:val="00000A"/>
          <w:kern w:val="2"/>
          <w:szCs w:val="24"/>
          <w:lang w:eastAsia="zh-CN" w:bidi="hi-IN"/>
        </w:rPr>
        <w:t xml:space="preserve"> </w:t>
      </w:r>
      <w:r w:rsidR="00DD2EE9">
        <w:rPr>
          <w:b/>
          <w:bCs/>
          <w:spacing w:val="1"/>
          <w:kern w:val="3"/>
          <w:szCs w:val="24"/>
          <w:lang w:eastAsia="lt-LT"/>
        </w:rPr>
        <w:t>PANEVĖŽIO RAJONO SAVIVALDYBĖS 2021–2030 M. ATSINAUJINANČIŲ IŠTEKLIŲ ENERGIJOS NAUDOJIMO PLĖTROS VEIKSMŲ PLANO PATVIRTINIMO</w:t>
      </w:r>
      <w:r>
        <w:rPr>
          <w:b/>
          <w:bCs/>
          <w:spacing w:val="1"/>
          <w:kern w:val="3"/>
          <w:szCs w:val="24"/>
          <w:lang w:eastAsia="lt-LT"/>
        </w:rPr>
        <w:t>“ PAKEITIMO</w:t>
      </w:r>
    </w:p>
    <w:p w14:paraId="4B651B51" w14:textId="77777777" w:rsidR="0048328C" w:rsidRDefault="0048328C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00D5DCE7" w14:textId="60F2D87E" w:rsidR="0048328C" w:rsidRDefault="00DD2EE9" w:rsidP="00DD2EE9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202</w:t>
      </w:r>
      <w:r w:rsidR="007E6A36">
        <w:rPr>
          <w:kern w:val="3"/>
          <w:szCs w:val="24"/>
          <w:lang w:eastAsia="lt-LT"/>
        </w:rPr>
        <w:t>5</w:t>
      </w:r>
      <w:r>
        <w:rPr>
          <w:kern w:val="3"/>
          <w:szCs w:val="24"/>
          <w:lang w:eastAsia="lt-LT"/>
        </w:rPr>
        <w:t xml:space="preserve"> m. </w:t>
      </w:r>
      <w:r w:rsidR="007E6A36">
        <w:rPr>
          <w:kern w:val="3"/>
          <w:szCs w:val="24"/>
          <w:lang w:eastAsia="lt-LT"/>
        </w:rPr>
        <w:t>spali</w:t>
      </w:r>
      <w:r>
        <w:rPr>
          <w:kern w:val="3"/>
          <w:szCs w:val="24"/>
          <w:lang w:eastAsia="lt-LT"/>
        </w:rPr>
        <w:t xml:space="preserve">o </w:t>
      </w:r>
      <w:r w:rsidR="007E6A36">
        <w:rPr>
          <w:kern w:val="3"/>
          <w:szCs w:val="24"/>
          <w:lang w:eastAsia="lt-LT"/>
        </w:rPr>
        <w:t>30</w:t>
      </w:r>
      <w:r>
        <w:rPr>
          <w:kern w:val="3"/>
          <w:szCs w:val="24"/>
          <w:lang w:eastAsia="lt-LT"/>
        </w:rPr>
        <w:t xml:space="preserve"> d. Nr. T-</w:t>
      </w:r>
      <w:r w:rsidR="00BF6E9B">
        <w:rPr>
          <w:kern w:val="3"/>
          <w:szCs w:val="24"/>
          <w:lang w:eastAsia="lt-LT"/>
        </w:rPr>
        <w:t>227</w:t>
      </w:r>
    </w:p>
    <w:p w14:paraId="278841AB" w14:textId="77777777" w:rsidR="0048328C" w:rsidRDefault="00DD2EE9" w:rsidP="00DD2EE9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Panevėžys</w:t>
      </w:r>
    </w:p>
    <w:p w14:paraId="314BF5FE" w14:textId="77777777" w:rsidR="0048328C" w:rsidRDefault="0048328C" w:rsidP="00DD2EE9">
      <w:pPr>
        <w:textAlignment w:val="baseline"/>
        <w:rPr>
          <w:bCs/>
          <w:color w:val="000000"/>
          <w:kern w:val="3"/>
          <w:szCs w:val="24"/>
          <w:lang w:eastAsia="lt-LT"/>
        </w:rPr>
      </w:pPr>
    </w:p>
    <w:p w14:paraId="4A28F172" w14:textId="77777777" w:rsidR="0048328C" w:rsidRDefault="0048328C" w:rsidP="00DD2EE9">
      <w:pPr>
        <w:jc w:val="both"/>
        <w:textAlignment w:val="baseline"/>
        <w:rPr>
          <w:bCs/>
          <w:kern w:val="3"/>
          <w:szCs w:val="24"/>
          <w:lang w:eastAsia="lt-LT"/>
        </w:rPr>
      </w:pPr>
    </w:p>
    <w:p w14:paraId="1FC36E48" w14:textId="3ACA4C47" w:rsidR="0048328C" w:rsidRPr="003D03AB" w:rsidRDefault="00DD2EE9" w:rsidP="00C53C23">
      <w:pPr>
        <w:ind w:firstLine="1134"/>
        <w:jc w:val="both"/>
        <w:rPr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>Vadovaudamasi Lietuvos Respublikos vietos savivaldos įstatymo 1</w:t>
      </w:r>
      <w:r w:rsidR="007E382F" w:rsidRPr="003D03AB">
        <w:rPr>
          <w:kern w:val="3"/>
          <w:szCs w:val="24"/>
          <w:lang w:eastAsia="lt-LT"/>
        </w:rPr>
        <w:t>5</w:t>
      </w:r>
      <w:r w:rsidRPr="003D03AB">
        <w:rPr>
          <w:kern w:val="3"/>
          <w:szCs w:val="24"/>
          <w:lang w:eastAsia="lt-LT"/>
        </w:rPr>
        <w:t xml:space="preserve"> straipsnio 4 dalimi, Lietuvos Respublikos atsinaujinančių išteklių energetikos įstatymo 57 straipsnio 3</w:t>
      </w:r>
      <w:r w:rsidR="00C53C23" w:rsidRPr="003D03AB">
        <w:rPr>
          <w:kern w:val="3"/>
          <w:szCs w:val="24"/>
          <w:lang w:eastAsia="lt-LT"/>
        </w:rPr>
        <w:t xml:space="preserve"> ir 4</w:t>
      </w:r>
      <w:r w:rsidRPr="003D03AB">
        <w:rPr>
          <w:kern w:val="3"/>
          <w:szCs w:val="24"/>
          <w:lang w:eastAsia="lt-LT"/>
        </w:rPr>
        <w:t xml:space="preserve"> dalimi</w:t>
      </w:r>
      <w:r w:rsidR="00C53C23" w:rsidRPr="003D03AB">
        <w:rPr>
          <w:kern w:val="3"/>
          <w:szCs w:val="24"/>
          <w:lang w:eastAsia="lt-LT"/>
        </w:rPr>
        <w:t xml:space="preserve">s, </w:t>
      </w:r>
      <w:r w:rsidR="00C53C23" w:rsidRPr="003D03AB">
        <w:rPr>
          <w:szCs w:val="24"/>
        </w:rPr>
        <w:t>Savivaldybių atsinaujinančių išteklių energijos naudojimo plėtros veiksmų planų rengimo, derinimo ir įgyvendinimo rezultatų skelbimo taisyklėmis, patvirtintomis Lietuvos Respublikos energetikos ministro 2022 m. birželio 3 d. įsakymu Nr. 1-183 „Dėl Savivaldybių atsinaujinančių išteklių energijos naudojimo plėtros veiksmų planų rengimo, derinimo ir įgyvendinimo rezultatų skelbimo taisyklių patvirtinimo“</w:t>
      </w:r>
      <w:r w:rsidRPr="003D03AB">
        <w:rPr>
          <w:kern w:val="3"/>
          <w:szCs w:val="24"/>
          <w:lang w:eastAsia="lt-LT"/>
        </w:rPr>
        <w:t xml:space="preserve"> ir</w:t>
      </w:r>
      <w:r w:rsidR="00C53C23" w:rsidRPr="003D03AB">
        <w:rPr>
          <w:kern w:val="3"/>
          <w:szCs w:val="24"/>
          <w:lang w:eastAsia="lt-LT"/>
        </w:rPr>
        <w:t xml:space="preserve"> </w:t>
      </w:r>
      <w:r w:rsidR="00C53C23" w:rsidRPr="003D03AB">
        <w:rPr>
          <w:szCs w:val="24"/>
        </w:rPr>
        <w:t>Panevėžio rajono savivaldybės atsinaujinančių išteklių energijos naudojimo plėtros veiksmų plano tvirtinimo ir įgyvendinimo tvarkos aprašu, patvirtintu Panevėžio rajono savivaldybės tarybos 2023 m. sausio 26 d. sprendimu Nr. T-28 „Dėl Panevėžio rajono savivaldybės atsinaujinančių išteklių energijos naudojimo plėtros veiksmų plano tvirtinimo ir įgyvendinimo tvarkos aprašo patvirtinimo“</w:t>
      </w:r>
      <w:r w:rsidRPr="003D03AB">
        <w:rPr>
          <w:kern w:val="3"/>
          <w:szCs w:val="24"/>
          <w:lang w:eastAsia="lt-LT"/>
        </w:rPr>
        <w:t xml:space="preserve">, </w:t>
      </w:r>
      <w:r w:rsidRPr="003D03AB">
        <w:rPr>
          <w:kern w:val="3"/>
          <w:szCs w:val="24"/>
          <w:shd w:val="clear" w:color="auto" w:fill="FFFFFF"/>
          <w:lang w:eastAsia="lt-LT"/>
        </w:rPr>
        <w:t xml:space="preserve">Panevėžio rajono savivaldybės taryba n u s p r e n d ž i a: </w:t>
      </w:r>
    </w:p>
    <w:p w14:paraId="276A8372" w14:textId="0E95797D" w:rsidR="0048328C" w:rsidRPr="003D03AB" w:rsidRDefault="00DD2EE9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>Pa</w:t>
      </w:r>
      <w:r w:rsidR="004C0041" w:rsidRPr="003D03AB">
        <w:rPr>
          <w:kern w:val="3"/>
          <w:szCs w:val="24"/>
          <w:lang w:eastAsia="lt-LT"/>
        </w:rPr>
        <w:t>keisti</w:t>
      </w:r>
      <w:r w:rsidRPr="003D03AB">
        <w:rPr>
          <w:kern w:val="3"/>
          <w:szCs w:val="24"/>
          <w:lang w:eastAsia="lt-LT"/>
        </w:rPr>
        <w:t xml:space="preserve"> </w:t>
      </w:r>
      <w:r w:rsidRPr="003D03AB">
        <w:rPr>
          <w:bCs/>
          <w:kern w:val="3"/>
          <w:szCs w:val="24"/>
          <w:lang w:eastAsia="lt-LT"/>
        </w:rPr>
        <w:t>Panevėžio rajono savivaldybės 2021–2030 m. atsinaujinančių išteklių energijos naudojimo plėtros veiksmų plan</w:t>
      </w:r>
      <w:r w:rsidR="004C0041" w:rsidRPr="003D03AB">
        <w:rPr>
          <w:bCs/>
          <w:kern w:val="3"/>
          <w:szCs w:val="24"/>
          <w:lang w:eastAsia="lt-LT"/>
        </w:rPr>
        <w:t xml:space="preserve">o, patvirtinto Panevėžio rajono savivaldybės tarybos 2022 m. gruodžio 15 d. sprendimu Nr. T-265 „Dėl </w:t>
      </w:r>
      <w:r w:rsidR="004C0041" w:rsidRPr="003D03AB">
        <w:rPr>
          <w:kern w:val="3"/>
          <w:szCs w:val="24"/>
          <w:lang w:eastAsia="lt-LT"/>
        </w:rPr>
        <w:t>Panevėžio rajono savivaldybės 2021</w:t>
      </w:r>
      <w:r w:rsidR="004C0041" w:rsidRPr="003D03AB">
        <w:rPr>
          <w:bCs/>
          <w:kern w:val="3"/>
          <w:szCs w:val="24"/>
          <w:lang w:eastAsia="lt-LT"/>
        </w:rPr>
        <w:t>–</w:t>
      </w:r>
      <w:r w:rsidR="004C0041" w:rsidRPr="003D03AB">
        <w:rPr>
          <w:kern w:val="3"/>
          <w:szCs w:val="24"/>
          <w:lang w:eastAsia="lt-LT"/>
        </w:rPr>
        <w:t>2030 m. atsinaujinančių išteklių energijos naudojimo plėtros veiksmų plano patvirtinimo</w:t>
      </w:r>
      <w:r w:rsidR="004C0041" w:rsidRPr="003D03AB">
        <w:rPr>
          <w:bCs/>
          <w:kern w:val="3"/>
          <w:szCs w:val="24"/>
          <w:lang w:eastAsia="lt-LT"/>
        </w:rPr>
        <w:t>“</w:t>
      </w:r>
      <w:r w:rsidR="00B34D12">
        <w:rPr>
          <w:bCs/>
          <w:kern w:val="3"/>
          <w:szCs w:val="24"/>
          <w:lang w:eastAsia="lt-LT"/>
        </w:rPr>
        <w:t>,</w:t>
      </w:r>
      <w:r w:rsidR="004C0041" w:rsidRPr="003D03AB">
        <w:rPr>
          <w:bCs/>
          <w:kern w:val="3"/>
          <w:szCs w:val="24"/>
          <w:lang w:eastAsia="lt-LT"/>
        </w:rPr>
        <w:t xml:space="preserve"> 8.1 lentelę „AIE dalies galutiniame vartojime didinimo priemonės“ ir ją </w:t>
      </w:r>
      <w:r w:rsidR="00B34D12" w:rsidRPr="003D03AB">
        <w:rPr>
          <w:bCs/>
          <w:kern w:val="3"/>
          <w:szCs w:val="24"/>
          <w:lang w:eastAsia="lt-LT"/>
        </w:rPr>
        <w:t xml:space="preserve">išdėstyti </w:t>
      </w:r>
      <w:r w:rsidR="004C0041" w:rsidRPr="003D03AB">
        <w:rPr>
          <w:bCs/>
          <w:kern w:val="3"/>
          <w:szCs w:val="24"/>
          <w:lang w:eastAsia="lt-LT"/>
        </w:rPr>
        <w:t>taip:</w:t>
      </w:r>
    </w:p>
    <w:p w14:paraId="24103A9E" w14:textId="77777777" w:rsidR="004C0041" w:rsidRPr="003D03AB" w:rsidRDefault="004C0041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</w:p>
    <w:p w14:paraId="74819001" w14:textId="77777777" w:rsidR="004C0041" w:rsidRDefault="004C0041">
      <w:pPr>
        <w:widowControl w:val="0"/>
        <w:suppressAutoHyphens/>
        <w:ind w:firstLine="1134"/>
        <w:jc w:val="both"/>
        <w:textAlignment w:val="baseline"/>
        <w:rPr>
          <w:strike/>
          <w:kern w:val="3"/>
          <w:sz w:val="20"/>
          <w:lang w:eastAsia="lt-LT"/>
        </w:rPr>
      </w:pPr>
    </w:p>
    <w:p w14:paraId="6404288C" w14:textId="77777777" w:rsidR="00DD2EE9" w:rsidRDefault="00DD2EE9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3E3E7C9F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506957D5" w14:textId="13B5BAD2" w:rsidR="004C0041" w:rsidRDefault="00585B75" w:rsidP="00585B75">
      <w:pPr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br w:type="page"/>
      </w:r>
    </w:p>
    <w:p w14:paraId="1F99114B" w14:textId="77777777" w:rsidR="00585B75" w:rsidRDefault="00585B75" w:rsidP="00585B75">
      <w:pPr>
        <w:keepNext/>
        <w:keepLines/>
        <w:spacing w:before="120" w:after="120"/>
        <w:outlineLvl w:val="4"/>
        <w:rPr>
          <w:rFonts w:ascii="Arial" w:eastAsia="SegoeUI" w:hAnsi="Arial"/>
          <w:b/>
          <w:color w:val="1E4BB0"/>
          <w:sz w:val="22"/>
          <w:szCs w:val="22"/>
        </w:rPr>
        <w:sectPr w:rsidR="00585B75" w:rsidSect="00585B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cols w:space="1296"/>
          <w:titlePg/>
          <w:docGrid w:linePitch="272"/>
        </w:sectPr>
      </w:pPr>
    </w:p>
    <w:p w14:paraId="1C30F213" w14:textId="77777777" w:rsidR="004C0041" w:rsidRPr="00DB053D" w:rsidRDefault="004C0041" w:rsidP="004C0041">
      <w:pPr>
        <w:keepNext/>
        <w:keepLines/>
        <w:spacing w:before="120" w:after="120"/>
        <w:jc w:val="center"/>
        <w:outlineLvl w:val="4"/>
        <w:rPr>
          <w:rFonts w:ascii="Arial" w:eastAsia="SegoeUI" w:hAnsi="Arial"/>
          <w:b/>
          <w:color w:val="1E4BB0"/>
          <w:sz w:val="22"/>
          <w:szCs w:val="22"/>
        </w:rPr>
      </w:pPr>
      <w:r w:rsidRPr="00DB053D">
        <w:rPr>
          <w:rFonts w:ascii="Arial" w:eastAsia="SegoeUI" w:hAnsi="Arial"/>
          <w:b/>
          <w:color w:val="1E4BB0"/>
          <w:sz w:val="22"/>
          <w:szCs w:val="22"/>
        </w:rPr>
        <w:lastRenderedPageBreak/>
        <w:t>8.1 lentelė. AIE dalies galutiniame vartojime didinimo priemonės</w:t>
      </w:r>
    </w:p>
    <w:tbl>
      <w:tblPr>
        <w:tblStyle w:val="3sraolentel1parykinimas112"/>
        <w:tblW w:w="5000" w:type="pct"/>
        <w:tblLook w:val="0420" w:firstRow="1" w:lastRow="0" w:firstColumn="0" w:lastColumn="0" w:noHBand="0" w:noVBand="1"/>
      </w:tblPr>
      <w:tblGrid>
        <w:gridCol w:w="3469"/>
        <w:gridCol w:w="1613"/>
        <w:gridCol w:w="1995"/>
        <w:gridCol w:w="4857"/>
        <w:gridCol w:w="1281"/>
        <w:gridCol w:w="1345"/>
      </w:tblGrid>
      <w:tr w:rsidR="004C0041" w:rsidRPr="00DB053D" w14:paraId="2C591347" w14:textId="77777777" w:rsidTr="009E5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91" w:type="pct"/>
            <w:vAlign w:val="center"/>
          </w:tcPr>
          <w:p w14:paraId="1CC38B8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Priemonė</w:t>
            </w:r>
          </w:p>
        </w:tc>
        <w:tc>
          <w:tcPr>
            <w:tcW w:w="554" w:type="pct"/>
            <w:vAlign w:val="center"/>
          </w:tcPr>
          <w:p w14:paraId="14CBD47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Lėšų poreikis, tūkst. Eur</w:t>
            </w:r>
            <w:r w:rsidRPr="00DB053D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</w:p>
        </w:tc>
        <w:tc>
          <w:tcPr>
            <w:tcW w:w="685" w:type="pct"/>
            <w:vAlign w:val="center"/>
          </w:tcPr>
          <w:p w14:paraId="6AA1C13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Finansavimo šaltinis</w:t>
            </w:r>
          </w:p>
        </w:tc>
        <w:tc>
          <w:tcPr>
            <w:tcW w:w="1668" w:type="pct"/>
            <w:vAlign w:val="center"/>
          </w:tcPr>
          <w:p w14:paraId="5A7DACA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Stebėsenos rodiklis</w:t>
            </w:r>
          </w:p>
        </w:tc>
        <w:tc>
          <w:tcPr>
            <w:tcW w:w="440" w:type="pct"/>
            <w:vAlign w:val="center"/>
          </w:tcPr>
          <w:p w14:paraId="225638F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Pasiekimo laikas</w:t>
            </w:r>
          </w:p>
        </w:tc>
        <w:tc>
          <w:tcPr>
            <w:tcW w:w="462" w:type="pct"/>
            <w:vAlign w:val="center"/>
          </w:tcPr>
          <w:p w14:paraId="60D37C6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Atsakinga institucija</w:t>
            </w:r>
          </w:p>
        </w:tc>
      </w:tr>
      <w:tr w:rsidR="004C0041" w:rsidRPr="00DB053D" w14:paraId="2DE8326B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70454EA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Priemonės, kurių poveikis tiesiogiai priskaičiuotas prie planinio rodiklio įgyvendinimo</w:t>
            </w:r>
          </w:p>
        </w:tc>
      </w:tr>
      <w:tr w:rsidR="004C0041" w:rsidRPr="00DB053D" w14:paraId="68E849B8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3FE2F82E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DB053D">
              <w:rPr>
                <w:rFonts w:ascii="Arial" w:hAnsi="Arial" w:cs="Arial"/>
                <w:color w:val="000000" w:themeColor="text1"/>
                <w:sz w:val="20"/>
              </w:rPr>
              <w:t>Fotomodulių</w:t>
            </w:r>
            <w:proofErr w:type="spellEnd"/>
            <w:r w:rsidRPr="00DB053D">
              <w:rPr>
                <w:rFonts w:ascii="Arial" w:hAnsi="Arial" w:cs="Arial"/>
                <w:color w:val="000000" w:themeColor="text1"/>
                <w:sz w:val="20"/>
              </w:rPr>
              <w:t xml:space="preserve"> įrengimas ant pastatų stogų (3,05 MW)</w:t>
            </w:r>
          </w:p>
        </w:tc>
        <w:tc>
          <w:tcPr>
            <w:tcW w:w="554" w:type="pct"/>
            <w:vAlign w:val="center"/>
          </w:tcPr>
          <w:p w14:paraId="0157D73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2 135,0</w:t>
            </w:r>
          </w:p>
        </w:tc>
        <w:tc>
          <w:tcPr>
            <w:tcW w:w="685" w:type="pct"/>
            <w:vAlign w:val="center"/>
          </w:tcPr>
          <w:p w14:paraId="21E88FB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valstybės lėšos, savivaldybės lėšos</w:t>
            </w:r>
          </w:p>
        </w:tc>
        <w:tc>
          <w:tcPr>
            <w:tcW w:w="1668" w:type="pct"/>
            <w:vAlign w:val="center"/>
          </w:tcPr>
          <w:p w14:paraId="71DED39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Įrengta </w:t>
            </w:r>
            <w:proofErr w:type="spellStart"/>
            <w:r w:rsidRPr="00DB053D">
              <w:rPr>
                <w:rFonts w:ascii="Arial" w:hAnsi="Arial" w:cs="Arial"/>
                <w:sz w:val="20"/>
              </w:rPr>
              <w:t>fotomodulių</w:t>
            </w:r>
            <w:proofErr w:type="spellEnd"/>
            <w:r w:rsidRPr="00DB053D">
              <w:rPr>
                <w:rFonts w:ascii="Arial" w:hAnsi="Arial" w:cs="Arial"/>
                <w:sz w:val="20"/>
              </w:rPr>
              <w:t xml:space="preserve"> galia (MW) </w:t>
            </w:r>
          </w:p>
        </w:tc>
        <w:tc>
          <w:tcPr>
            <w:tcW w:w="440" w:type="pct"/>
            <w:vAlign w:val="center"/>
          </w:tcPr>
          <w:p w14:paraId="0C6871A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DDE016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56B50240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3261035E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Saulės kolektorių įrengimas ant pastatų stogų (7,5 tūkst. m</w:t>
            </w:r>
            <w:r w:rsidRPr="00DB053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DB053D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554" w:type="pct"/>
            <w:vAlign w:val="center"/>
          </w:tcPr>
          <w:p w14:paraId="4ECAF9B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1 124,5</w:t>
            </w:r>
          </w:p>
        </w:tc>
        <w:tc>
          <w:tcPr>
            <w:tcW w:w="685" w:type="pct"/>
            <w:vAlign w:val="center"/>
          </w:tcPr>
          <w:p w14:paraId="5BDB207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valstybės lėšos, savivaldybės lėšos</w:t>
            </w:r>
          </w:p>
        </w:tc>
        <w:tc>
          <w:tcPr>
            <w:tcW w:w="1668" w:type="pct"/>
            <w:vAlign w:val="center"/>
          </w:tcPr>
          <w:p w14:paraId="00799BE0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Įrengtas saulės kolektorių plotas (m</w:t>
            </w:r>
            <w:r w:rsidRPr="00DB053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DB05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0" w:type="pct"/>
            <w:vAlign w:val="center"/>
          </w:tcPr>
          <w:p w14:paraId="545D92A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24CFE5F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454B44A7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1009CBCC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Modernizuojami 12 daugiabučių</w:t>
            </w:r>
          </w:p>
        </w:tc>
        <w:tc>
          <w:tcPr>
            <w:tcW w:w="554" w:type="pct"/>
            <w:vAlign w:val="center"/>
          </w:tcPr>
          <w:p w14:paraId="62DBF9C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3 000,0</w:t>
            </w:r>
          </w:p>
        </w:tc>
        <w:tc>
          <w:tcPr>
            <w:tcW w:w="685" w:type="pct"/>
            <w:vAlign w:val="center"/>
          </w:tcPr>
          <w:p w14:paraId="2C0AD2C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Privačios lėšos,</w:t>
            </w:r>
          </w:p>
          <w:p w14:paraId="3645546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valstybės lėšos</w:t>
            </w:r>
          </w:p>
        </w:tc>
        <w:tc>
          <w:tcPr>
            <w:tcW w:w="1668" w:type="pct"/>
            <w:vAlign w:val="center"/>
          </w:tcPr>
          <w:p w14:paraId="1CC3655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Sutaupomas šiluminės energijos kiekis (25,68 </w:t>
            </w:r>
            <w:proofErr w:type="spellStart"/>
            <w:r w:rsidRPr="00DB053D">
              <w:rPr>
                <w:rFonts w:ascii="Arial" w:hAnsi="Arial" w:cs="Arial"/>
                <w:sz w:val="20"/>
              </w:rPr>
              <w:t>tne</w:t>
            </w:r>
            <w:proofErr w:type="spellEnd"/>
            <w:r w:rsidRPr="00DB05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0" w:type="pct"/>
            <w:vAlign w:val="center"/>
          </w:tcPr>
          <w:p w14:paraId="0F13420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70D8B95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Namų ūkiai</w:t>
            </w:r>
          </w:p>
        </w:tc>
      </w:tr>
      <w:tr w:rsidR="004C0041" w:rsidRPr="00DB053D" w14:paraId="4C2FD3BE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739592D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Priemonės, kurių poveikis planiniam rodikliui nevertintas</w:t>
            </w:r>
          </w:p>
        </w:tc>
      </w:tr>
      <w:tr w:rsidR="004C0041" w:rsidRPr="00DB053D" w14:paraId="1BA3FA81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61DB0759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įstaigų energijos poreikių patenkinimas iš saulės jėgainių parkų (0,5 MW)</w:t>
            </w:r>
          </w:p>
        </w:tc>
        <w:tc>
          <w:tcPr>
            <w:tcW w:w="554" w:type="pct"/>
            <w:vAlign w:val="center"/>
          </w:tcPr>
          <w:p w14:paraId="2AB5CDA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350,0</w:t>
            </w:r>
          </w:p>
        </w:tc>
        <w:tc>
          <w:tcPr>
            <w:tcW w:w="685" w:type="pct"/>
            <w:vAlign w:val="center"/>
          </w:tcPr>
          <w:p w14:paraId="1BA058B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savivaldybės lėšos</w:t>
            </w:r>
          </w:p>
        </w:tc>
        <w:tc>
          <w:tcPr>
            <w:tcW w:w="1668" w:type="pct"/>
            <w:vAlign w:val="center"/>
          </w:tcPr>
          <w:p w14:paraId="7178296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E7752B">
              <w:rPr>
                <w:rFonts w:ascii="Arial" w:hAnsi="Arial" w:cs="Arial"/>
                <w:sz w:val="20"/>
              </w:rPr>
              <w:t>Įsigyta galia</w:t>
            </w:r>
            <w:r>
              <w:t xml:space="preserve"> </w:t>
            </w:r>
            <w:r w:rsidRPr="00042C97">
              <w:rPr>
                <w:rFonts w:ascii="Arial" w:hAnsi="Arial" w:cs="Arial"/>
                <w:sz w:val="20"/>
              </w:rPr>
              <w:t>saulės jėgainių park</w:t>
            </w:r>
            <w:r>
              <w:rPr>
                <w:rFonts w:ascii="Arial" w:hAnsi="Arial" w:cs="Arial"/>
                <w:sz w:val="20"/>
              </w:rPr>
              <w:t>uose</w:t>
            </w:r>
            <w:r w:rsidRPr="00E7752B">
              <w:rPr>
                <w:rFonts w:ascii="Arial" w:hAnsi="Arial" w:cs="Arial"/>
                <w:sz w:val="20"/>
              </w:rPr>
              <w:t xml:space="preserve"> (MW)</w:t>
            </w:r>
          </w:p>
        </w:tc>
        <w:tc>
          <w:tcPr>
            <w:tcW w:w="440" w:type="pct"/>
            <w:vAlign w:val="center"/>
          </w:tcPr>
          <w:p w14:paraId="29D9A58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2021–2030</w:t>
            </w:r>
          </w:p>
        </w:tc>
        <w:tc>
          <w:tcPr>
            <w:tcW w:w="462" w:type="pct"/>
            <w:vAlign w:val="center"/>
          </w:tcPr>
          <w:p w14:paraId="1DB09DD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78AE412E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7CCDDF95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Modernizuoti nusidėvėjusius šilumos energijos perdavimo tinklus (5 km)</w:t>
            </w:r>
          </w:p>
        </w:tc>
        <w:tc>
          <w:tcPr>
            <w:tcW w:w="554" w:type="pct"/>
            <w:vAlign w:val="center"/>
          </w:tcPr>
          <w:p w14:paraId="0107443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685" w:type="pct"/>
            <w:vAlign w:val="center"/>
          </w:tcPr>
          <w:p w14:paraId="0ED12A8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ES struktūrinių fondų parama,</w:t>
            </w:r>
          </w:p>
          <w:p w14:paraId="0959657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  <w:p w14:paraId="4597800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Velžio komunalininkas, Panevėžio energija</w:t>
            </w:r>
          </w:p>
        </w:tc>
        <w:tc>
          <w:tcPr>
            <w:tcW w:w="1668" w:type="pct"/>
            <w:vAlign w:val="center"/>
          </w:tcPr>
          <w:p w14:paraId="6018832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E54A73">
              <w:rPr>
                <w:rFonts w:ascii="Arial" w:hAnsi="Arial" w:cs="Arial"/>
                <w:sz w:val="20"/>
              </w:rPr>
              <w:t>Modernizuotų šilumos tinklų ilgis (km)</w:t>
            </w:r>
          </w:p>
        </w:tc>
        <w:tc>
          <w:tcPr>
            <w:tcW w:w="440" w:type="pct"/>
            <w:vAlign w:val="center"/>
          </w:tcPr>
          <w:p w14:paraId="276C13B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783DDF5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4A24E929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5007789F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Vystyti infrastruktūrą pritaikytą alternatyvioms transporto rūšims (5 km)</w:t>
            </w:r>
          </w:p>
        </w:tc>
        <w:tc>
          <w:tcPr>
            <w:tcW w:w="554" w:type="pct"/>
            <w:vAlign w:val="center"/>
          </w:tcPr>
          <w:p w14:paraId="49AB4FC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500,00</w:t>
            </w:r>
          </w:p>
        </w:tc>
        <w:tc>
          <w:tcPr>
            <w:tcW w:w="685" w:type="pct"/>
            <w:vAlign w:val="center"/>
          </w:tcPr>
          <w:p w14:paraId="4C20E50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ES struktūrinių fondų parama,</w:t>
            </w:r>
          </w:p>
          <w:p w14:paraId="24FF25E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6B5E832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Nutiestų kelių (dviračių takų) ilgis (km)</w:t>
            </w:r>
          </w:p>
        </w:tc>
        <w:tc>
          <w:tcPr>
            <w:tcW w:w="440" w:type="pct"/>
            <w:vAlign w:val="center"/>
          </w:tcPr>
          <w:p w14:paraId="23DB819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370807E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085274C2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0511B07A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Skatinimas gaminti elektros ir šilumos energiją naudojant saulės, vėjo energiją ir šilumos siurblius; Skatinti gyventojus pasirinkti alternatyvias transporto rūšis arba skatinti naudotis viešuoju transportu;</w:t>
            </w:r>
          </w:p>
          <w:p w14:paraId="12ABDEFD" w14:textId="77777777" w:rsidR="004C0041" w:rsidRPr="00DB053D" w:rsidRDefault="004C0041" w:rsidP="009E5DC6">
            <w:pPr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Skatinti naudoti elektra varomas transporto priemones (3 priemonės per metus)</w:t>
            </w:r>
          </w:p>
        </w:tc>
        <w:tc>
          <w:tcPr>
            <w:tcW w:w="554" w:type="pct"/>
            <w:vAlign w:val="center"/>
          </w:tcPr>
          <w:p w14:paraId="669638E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10,0</w:t>
            </w:r>
          </w:p>
        </w:tc>
        <w:tc>
          <w:tcPr>
            <w:tcW w:w="685" w:type="pct"/>
            <w:vAlign w:val="center"/>
          </w:tcPr>
          <w:p w14:paraId="2C1190B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38EAA3E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Skatinimo priemonių skaičius</w:t>
            </w:r>
          </w:p>
        </w:tc>
        <w:tc>
          <w:tcPr>
            <w:tcW w:w="440" w:type="pct"/>
            <w:vAlign w:val="center"/>
          </w:tcPr>
          <w:p w14:paraId="1C9F0826" w14:textId="1208DB2B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C085FD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color w:val="EE0000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  <w:tr w:rsidR="004C0041" w:rsidRPr="00DB053D" w14:paraId="5914E6BC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5E55F74A" w14:textId="77777777" w:rsidR="004C0041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Informacijos apie valstybės ir savivaldybės paramos schemas, </w:t>
            </w:r>
            <w:r w:rsidRPr="00DB053D">
              <w:rPr>
                <w:rFonts w:ascii="Arial" w:hAnsi="Arial" w:cs="Arial"/>
                <w:sz w:val="20"/>
              </w:rPr>
              <w:lastRenderedPageBreak/>
              <w:t xml:space="preserve">taikomas atsinaujinančių energijos išteklių naudojimui ir gamybai, parengimas ir viešas paskelbimas </w:t>
            </w:r>
          </w:p>
          <w:p w14:paraId="22FCB04B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(3 priemonės per metus)</w:t>
            </w:r>
          </w:p>
        </w:tc>
        <w:tc>
          <w:tcPr>
            <w:tcW w:w="554" w:type="pct"/>
            <w:vAlign w:val="center"/>
          </w:tcPr>
          <w:p w14:paraId="530401F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lastRenderedPageBreak/>
              <w:t>0</w:t>
            </w:r>
          </w:p>
        </w:tc>
        <w:tc>
          <w:tcPr>
            <w:tcW w:w="685" w:type="pct"/>
            <w:vAlign w:val="center"/>
          </w:tcPr>
          <w:p w14:paraId="5BCD317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68" w:type="pct"/>
            <w:vAlign w:val="center"/>
          </w:tcPr>
          <w:p w14:paraId="69EF3A94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Informacija paviešinta savivaldybės tinklalapyje</w:t>
            </w:r>
          </w:p>
        </w:tc>
        <w:tc>
          <w:tcPr>
            <w:tcW w:w="440" w:type="pct"/>
            <w:vAlign w:val="center"/>
          </w:tcPr>
          <w:p w14:paraId="19A7413F" w14:textId="1DDEA7F3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407EBC9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560464DA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11E48EE5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ir jai priklausančių įstaigų ir įmonių darbuotojų mokymai AIE platesnio panaudojimo klausimais (vieni mokymai per metus)</w:t>
            </w:r>
          </w:p>
        </w:tc>
        <w:tc>
          <w:tcPr>
            <w:tcW w:w="554" w:type="pct"/>
            <w:vAlign w:val="center"/>
          </w:tcPr>
          <w:p w14:paraId="084A9D7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10,0</w:t>
            </w:r>
          </w:p>
        </w:tc>
        <w:tc>
          <w:tcPr>
            <w:tcW w:w="685" w:type="pct"/>
            <w:vAlign w:val="center"/>
          </w:tcPr>
          <w:p w14:paraId="3186BF02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195A8A1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Apmokytų asmenų skaičius, mokymų skaičius</w:t>
            </w:r>
          </w:p>
        </w:tc>
        <w:tc>
          <w:tcPr>
            <w:tcW w:w="440" w:type="pct"/>
            <w:vAlign w:val="center"/>
          </w:tcPr>
          <w:p w14:paraId="41707071" w14:textId="33C1CD6B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19681F6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  <w:tr w:rsidR="004C0041" w:rsidRPr="00DB053D" w14:paraId="60A2B99D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019DD8AA" w14:textId="77777777" w:rsidR="004C0041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AIE bendrijų steigimo skatinimas </w:t>
            </w:r>
          </w:p>
          <w:p w14:paraId="1F8DA097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3B3BBF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Pr="003B3BBF">
              <w:rPr>
                <w:rFonts w:ascii="Arial" w:hAnsi="Arial" w:cs="Arial"/>
                <w:sz w:val="20"/>
              </w:rPr>
              <w:t xml:space="preserve"> priemonė per metus)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14:paraId="1756887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5" w:type="pct"/>
            <w:vAlign w:val="center"/>
          </w:tcPr>
          <w:p w14:paraId="6DBEFB4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68" w:type="pct"/>
            <w:vAlign w:val="center"/>
          </w:tcPr>
          <w:p w14:paraId="52BA255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2101B4">
              <w:rPr>
                <w:rFonts w:ascii="Arial" w:hAnsi="Arial" w:cs="Arial"/>
                <w:sz w:val="20"/>
              </w:rPr>
              <w:t>Skatinimo priemonių skaičius</w:t>
            </w:r>
          </w:p>
        </w:tc>
        <w:tc>
          <w:tcPr>
            <w:tcW w:w="440" w:type="pct"/>
            <w:vAlign w:val="center"/>
          </w:tcPr>
          <w:p w14:paraId="4A37AE0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551D506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</w:tbl>
    <w:p w14:paraId="5DB7A455" w14:textId="77777777" w:rsidR="004C0041" w:rsidRPr="00DB053D" w:rsidRDefault="004C0041" w:rsidP="004C0041">
      <w:pPr>
        <w:spacing w:before="120" w:line="259" w:lineRule="auto"/>
        <w:jc w:val="center"/>
        <w:rPr>
          <w:rFonts w:ascii="Arial" w:eastAsia="SegoeUI" w:hAnsi="Arial" w:cs="Arial"/>
          <w:i/>
          <w:iCs/>
          <w:sz w:val="18"/>
          <w:szCs w:val="18"/>
        </w:rPr>
      </w:pPr>
      <w:r w:rsidRPr="00DB053D">
        <w:rPr>
          <w:rFonts w:ascii="Arial" w:eastAsia="SegoeUI" w:hAnsi="Arial" w:cs="Arial"/>
          <w:i/>
          <w:iCs/>
          <w:sz w:val="18"/>
          <w:szCs w:val="18"/>
        </w:rPr>
        <w:t>Šaltinis: sudaryta autorių</w:t>
      </w:r>
    </w:p>
    <w:p w14:paraId="0E9466D1" w14:textId="77777777" w:rsidR="00DD2EE9" w:rsidRDefault="00DD2EE9" w:rsidP="00DD2EE9">
      <w:pPr>
        <w:jc w:val="both"/>
        <w:textAlignment w:val="baseline"/>
      </w:pPr>
    </w:p>
    <w:p w14:paraId="7C6AF02A" w14:textId="77777777" w:rsidR="007E6A36" w:rsidRDefault="007E6A36" w:rsidP="00DD2EE9">
      <w:pPr>
        <w:jc w:val="both"/>
        <w:textAlignment w:val="baseline"/>
      </w:pPr>
    </w:p>
    <w:p w14:paraId="2D78F0AC" w14:textId="50A3CCCB" w:rsidR="00585B75" w:rsidRPr="00E535E9" w:rsidRDefault="00BF6E9B" w:rsidP="00EC46AD">
      <w:pPr>
        <w:jc w:val="both"/>
        <w:textAlignment w:val="baseline"/>
      </w:pPr>
      <w:r>
        <w:rPr>
          <w:kern w:val="3"/>
          <w:szCs w:val="24"/>
          <w:lang w:eastAsia="lt-LT"/>
        </w:rPr>
        <w:t>Savivaldybės meras                                                                                                                                                                                             Antanas Pocius</w:t>
      </w:r>
    </w:p>
    <w:sectPr w:rsidR="00585B75" w:rsidRPr="00E535E9" w:rsidSect="00EC46AD">
      <w:pgSz w:w="16838" w:h="11906" w:orient="landscape"/>
      <w:pgMar w:top="1701" w:right="113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5806" w14:textId="77777777" w:rsidR="009728BC" w:rsidRDefault="009728BC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separator/>
      </w:r>
    </w:p>
  </w:endnote>
  <w:endnote w:type="continuationSeparator" w:id="0">
    <w:p w14:paraId="075CD315" w14:textId="77777777" w:rsidR="009728BC" w:rsidRDefault="009728BC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egoeUI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8F56" w14:textId="77777777" w:rsidR="0048328C" w:rsidRDefault="0048328C">
    <w:pPr>
      <w:suppressLineNumbers/>
      <w:tabs>
        <w:tab w:val="center" w:pos="4819"/>
        <w:tab w:val="right" w:pos="9638"/>
      </w:tabs>
      <w:suppressAutoHyphens/>
      <w:textAlignment w:val="baseline"/>
      <w:rPr>
        <w:kern w:val="3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C646" w14:textId="77777777" w:rsidR="0048328C" w:rsidRDefault="00DD2EE9">
    <w:pPr>
      <w:suppressLineNumbers/>
      <w:tabs>
        <w:tab w:val="left" w:pos="8295"/>
      </w:tabs>
      <w:suppressAutoHyphens/>
      <w:textAlignment w:val="baseline"/>
      <w:rPr>
        <w:kern w:val="3"/>
        <w:sz w:val="20"/>
        <w:lang w:eastAsia="ar-SA"/>
      </w:rPr>
    </w:pPr>
    <w:r>
      <w:rPr>
        <w:kern w:val="3"/>
        <w:sz w:val="20"/>
        <w:lang w:eastAsia="ar-S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7412" w14:textId="77777777" w:rsidR="0048328C" w:rsidRDefault="0048328C">
    <w:pPr>
      <w:suppressLineNumbers/>
      <w:tabs>
        <w:tab w:val="center" w:pos="4819"/>
        <w:tab w:val="right" w:pos="9638"/>
      </w:tabs>
      <w:suppressAutoHyphens/>
      <w:textAlignment w:val="baseline"/>
      <w:rPr>
        <w:kern w:val="3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8EFE" w14:textId="77777777" w:rsidR="009728BC" w:rsidRDefault="009728BC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color w:val="000000"/>
          <w:kern w:val="3"/>
          <w:sz w:val="20"/>
          <w:lang w:eastAsia="lt-LT"/>
        </w:rPr>
        <w:separator/>
      </w:r>
    </w:p>
  </w:footnote>
  <w:footnote w:type="continuationSeparator" w:id="0">
    <w:p w14:paraId="691E47BF" w14:textId="77777777" w:rsidR="009728BC" w:rsidRDefault="009728BC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continuationSeparator/>
      </w:r>
    </w:p>
  </w:footnote>
  <w:footnote w:id="1">
    <w:p w14:paraId="69284B16" w14:textId="77777777" w:rsidR="004C0041" w:rsidRPr="00DB053D" w:rsidRDefault="004C0041" w:rsidP="004C0041">
      <w:pPr>
        <w:spacing w:before="120" w:after="120"/>
        <w:ind w:left="-426"/>
        <w:rPr>
          <w:sz w:val="18"/>
          <w:szCs w:val="18"/>
        </w:rPr>
      </w:pPr>
      <w:r w:rsidRPr="00DB053D">
        <w:rPr>
          <w:sz w:val="18"/>
          <w:szCs w:val="18"/>
          <w:vertAlign w:val="superscript"/>
        </w:rPr>
        <w:footnoteRef/>
      </w:r>
      <w:r w:rsidRPr="00DB053D">
        <w:rPr>
          <w:sz w:val="18"/>
          <w:szCs w:val="18"/>
        </w:rPr>
        <w:t xml:space="preserve"> Remiantis 2020 m. kainomis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4DA1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E99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1AE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31D6C"/>
    <w:rsid w:val="00053729"/>
    <w:rsid w:val="00057184"/>
    <w:rsid w:val="002D3224"/>
    <w:rsid w:val="00374833"/>
    <w:rsid w:val="00392031"/>
    <w:rsid w:val="003C2705"/>
    <w:rsid w:val="003D03AB"/>
    <w:rsid w:val="003E2B8D"/>
    <w:rsid w:val="004507B1"/>
    <w:rsid w:val="00451383"/>
    <w:rsid w:val="0048328C"/>
    <w:rsid w:val="004C0041"/>
    <w:rsid w:val="004E20E8"/>
    <w:rsid w:val="00547884"/>
    <w:rsid w:val="00585B75"/>
    <w:rsid w:val="006C502A"/>
    <w:rsid w:val="007010D2"/>
    <w:rsid w:val="00732F80"/>
    <w:rsid w:val="007E382F"/>
    <w:rsid w:val="007E6A36"/>
    <w:rsid w:val="0086274D"/>
    <w:rsid w:val="00877FAE"/>
    <w:rsid w:val="008A00FA"/>
    <w:rsid w:val="009728BC"/>
    <w:rsid w:val="009818D2"/>
    <w:rsid w:val="009A6C9B"/>
    <w:rsid w:val="00A52B68"/>
    <w:rsid w:val="00A63A64"/>
    <w:rsid w:val="00A72356"/>
    <w:rsid w:val="00B34D12"/>
    <w:rsid w:val="00BA1783"/>
    <w:rsid w:val="00BC7E24"/>
    <w:rsid w:val="00BF6E9B"/>
    <w:rsid w:val="00C1424F"/>
    <w:rsid w:val="00C36AE9"/>
    <w:rsid w:val="00C53C23"/>
    <w:rsid w:val="00C63673"/>
    <w:rsid w:val="00C66D4C"/>
    <w:rsid w:val="00CA2943"/>
    <w:rsid w:val="00CC04E4"/>
    <w:rsid w:val="00CE790A"/>
    <w:rsid w:val="00D55A1F"/>
    <w:rsid w:val="00DD04CF"/>
    <w:rsid w:val="00DD2EE9"/>
    <w:rsid w:val="00E1692D"/>
    <w:rsid w:val="00E34C94"/>
    <w:rsid w:val="00E50C73"/>
    <w:rsid w:val="00E54AFF"/>
    <w:rsid w:val="00EC46AD"/>
    <w:rsid w:val="00F9508F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79319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5">
    <w:name w:val="heading 5"/>
    <w:aliases w:val="Lentelės"/>
    <w:basedOn w:val="prastasis"/>
    <w:next w:val="prastasis"/>
    <w:link w:val="Antrat5Diagrama"/>
    <w:autoRedefine/>
    <w:uiPriority w:val="9"/>
    <w:unhideWhenUsed/>
    <w:qFormat/>
    <w:rsid w:val="00D55A1F"/>
    <w:pPr>
      <w:keepNext/>
      <w:keepLines/>
      <w:spacing w:before="120" w:after="120"/>
      <w:jc w:val="center"/>
      <w:outlineLvl w:val="4"/>
    </w:pPr>
    <w:rPr>
      <w:rFonts w:ascii="Arial" w:eastAsiaTheme="majorEastAsia" w:hAnsi="Arial" w:cstheme="majorBidi"/>
      <w:b/>
      <w:color w:val="1E4BB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D2EE9"/>
    <w:rPr>
      <w:color w:val="808080"/>
    </w:rPr>
  </w:style>
  <w:style w:type="table" w:customStyle="1" w:styleId="3sraolentel1parykinimas112">
    <w:name w:val="3 sąrašo lentelė – 1 paryškinimas112"/>
    <w:basedOn w:val="prastojilentel"/>
    <w:uiPriority w:val="48"/>
    <w:rsid w:val="004C0041"/>
    <w:rPr>
      <w:rFonts w:asciiTheme="minorHAnsi" w:eastAsiaTheme="minorEastAsia" w:hAnsiTheme="minorHAnsi" w:cstheme="minorBidi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Standard">
    <w:name w:val="Standard"/>
    <w:rsid w:val="00CA2943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rsid w:val="00877FAE"/>
  </w:style>
  <w:style w:type="character" w:customStyle="1" w:styleId="Antrat5Diagrama">
    <w:name w:val="Antraštė 5 Diagrama"/>
    <w:aliases w:val="Lentelės Diagrama"/>
    <w:basedOn w:val="Numatytasispastraiposriftas"/>
    <w:link w:val="Antrat5"/>
    <w:uiPriority w:val="9"/>
    <w:rsid w:val="00D55A1F"/>
    <w:rPr>
      <w:rFonts w:ascii="Arial" w:eastAsiaTheme="majorEastAsia" w:hAnsi="Arial" w:cstheme="majorBidi"/>
      <w:b/>
      <w:color w:val="1E4BB0"/>
      <w:sz w:val="22"/>
      <w:szCs w:val="22"/>
    </w:rPr>
  </w:style>
  <w:style w:type="paragraph" w:styleId="Puslapioinaostekstas">
    <w:name w:val="footnote text"/>
    <w:aliases w:val="Diagrama,Footnote Text Char1,Footnote Text Char Char,ft"/>
    <w:basedOn w:val="prastasis"/>
    <w:link w:val="PuslapioinaostekstasDiagrama"/>
    <w:uiPriority w:val="99"/>
    <w:unhideWhenUsed/>
    <w:rsid w:val="00D55A1F"/>
    <w:pPr>
      <w:spacing w:before="120" w:after="120"/>
      <w:ind w:firstLine="567"/>
      <w:jc w:val="both"/>
    </w:pPr>
    <w:rPr>
      <w:rFonts w:ascii="Arial" w:eastAsiaTheme="minorHAnsi" w:hAnsi="Arial" w:cstheme="minorBidi"/>
      <w:sz w:val="20"/>
    </w:rPr>
  </w:style>
  <w:style w:type="character" w:customStyle="1" w:styleId="PuslapioinaostekstasDiagrama">
    <w:name w:val="Puslapio išnašos tekstas Diagrama"/>
    <w:aliases w:val="Diagrama Diagrama,Footnote Text Char1 Diagrama,Footnote Text Char Char Diagrama,ft Diagrama"/>
    <w:basedOn w:val="Numatytasispastraiposriftas"/>
    <w:link w:val="Puslapioinaostekstas"/>
    <w:uiPriority w:val="99"/>
    <w:rsid w:val="00D55A1F"/>
    <w:rPr>
      <w:rFonts w:ascii="Arial" w:eastAsiaTheme="minorHAnsi" w:hAnsi="Arial" w:cstheme="minorBidi"/>
      <w:sz w:val="20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nhideWhenUsed/>
    <w:rsid w:val="00D55A1F"/>
    <w:rPr>
      <w:vertAlign w:val="superscript"/>
    </w:rPr>
  </w:style>
  <w:style w:type="table" w:styleId="3sraolentel1parykinimas">
    <w:name w:val="List Table 3 Accent 1"/>
    <w:basedOn w:val="prastojilentel"/>
    <w:uiPriority w:val="48"/>
    <w:rsid w:val="00D55A1F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135587"/>
        <w:insideV w:val="single" w:sz="4" w:space="0" w:color="135587"/>
      </w:tblBorders>
    </w:tbl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135587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303A-2CDF-4446-AA37-C4031AB5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4433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2</cp:revision>
  <cp:lastPrinted>2025-10-30T06:05:00Z</cp:lastPrinted>
  <dcterms:created xsi:type="dcterms:W3CDTF">2025-10-30T11:32:00Z</dcterms:created>
  <dcterms:modified xsi:type="dcterms:W3CDTF">2025-10-30T11:32:00Z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