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3ED4B2D1"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834EB5">
        <w:rPr>
          <w:rFonts w:ascii="Times New Roman" w:hAnsi="Times New Roman" w:cs="Times New Roman"/>
          <w:sz w:val="24"/>
          <w:szCs w:val="24"/>
        </w:rPr>
        <w:t>rugsėjo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889F5CA"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5E769D">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2588FD4E"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1101FC">
        <w:rPr>
          <w:rFonts w:ascii="Times New Roman" w:eastAsia="Times New Roman" w:hAnsi="Times New Roman" w:cs="Times New Roman"/>
          <w:color w:val="000000"/>
          <w:sz w:val="24"/>
          <w:szCs w:val="24"/>
          <w:lang w:eastAsia="lt-LT"/>
        </w:rPr>
        <w:t>6690/0009:142</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1101FC">
        <w:rPr>
          <w:rFonts w:ascii="Times New Roman" w:eastAsia="Times New Roman" w:hAnsi="Times New Roman" w:cs="Times New Roman"/>
          <w:color w:val="000000"/>
          <w:sz w:val="24"/>
          <w:szCs w:val="24"/>
          <w:lang w:eastAsia="lt-LT"/>
        </w:rPr>
        <w:t>Velžio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1101FC">
        <w:rPr>
          <w:rFonts w:ascii="Times New Roman" w:eastAsia="Times New Roman" w:hAnsi="Times New Roman" w:cs="Times New Roman"/>
          <w:color w:val="000000"/>
          <w:sz w:val="24"/>
          <w:szCs w:val="24"/>
          <w:lang w:eastAsia="lt-LT"/>
        </w:rPr>
        <w:t>Vyčių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52AD514B" w14:textId="77777777" w:rsidR="008E13C7" w:rsidRDefault="008E13C7"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A6BCE7E"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5E769D">
        <w:rPr>
          <w:rFonts w:ascii="Times New Roman" w:hAnsi="Times New Roman" w:cs="Times New Roman"/>
          <w:sz w:val="24"/>
          <w:szCs w:val="24"/>
        </w:rPr>
        <w:t>0</w:t>
      </w:r>
      <w:r w:rsidR="00856961">
        <w:rPr>
          <w:rFonts w:ascii="Times New Roman" w:hAnsi="Times New Roman" w:cs="Times New Roman"/>
          <w:sz w:val="24"/>
          <w:szCs w:val="24"/>
        </w:rPr>
        <w:t>9</w:t>
      </w:r>
      <w:r w:rsidR="005E769D">
        <w:rPr>
          <w:rFonts w:ascii="Times New Roman" w:hAnsi="Times New Roman" w:cs="Times New Roman"/>
          <w:sz w:val="24"/>
          <w:szCs w:val="24"/>
        </w:rPr>
        <w:t>-</w:t>
      </w:r>
      <w:r w:rsidR="00856961">
        <w:rPr>
          <w:rFonts w:ascii="Times New Roman" w:hAnsi="Times New Roman" w:cs="Times New Roman"/>
          <w:sz w:val="24"/>
          <w:szCs w:val="24"/>
        </w:rPr>
        <w:t>10</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D0D5" w14:textId="77777777" w:rsidR="00F05A2A" w:rsidRDefault="00F05A2A" w:rsidP="00287102">
      <w:pPr>
        <w:spacing w:after="0" w:line="240" w:lineRule="auto"/>
      </w:pPr>
      <w:r>
        <w:separator/>
      </w:r>
    </w:p>
  </w:endnote>
  <w:endnote w:type="continuationSeparator" w:id="0">
    <w:p w14:paraId="143B46AB" w14:textId="77777777" w:rsidR="00F05A2A" w:rsidRDefault="00F05A2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F3C5" w14:textId="77777777" w:rsidR="00F05A2A" w:rsidRDefault="00F05A2A" w:rsidP="00287102">
      <w:pPr>
        <w:spacing w:after="0" w:line="240" w:lineRule="auto"/>
      </w:pPr>
      <w:r>
        <w:separator/>
      </w:r>
    </w:p>
  </w:footnote>
  <w:footnote w:type="continuationSeparator" w:id="0">
    <w:p w14:paraId="70BFD391" w14:textId="77777777" w:rsidR="00F05A2A" w:rsidRDefault="00F05A2A"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66CC8"/>
    <w:rsid w:val="00074759"/>
    <w:rsid w:val="0009413A"/>
    <w:rsid w:val="000A40AD"/>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850A1"/>
    <w:rsid w:val="00592A15"/>
    <w:rsid w:val="00594BE5"/>
    <w:rsid w:val="00596BFA"/>
    <w:rsid w:val="005C0003"/>
    <w:rsid w:val="005D14F8"/>
    <w:rsid w:val="005D2ACC"/>
    <w:rsid w:val="005E3391"/>
    <w:rsid w:val="005E5366"/>
    <w:rsid w:val="005E769D"/>
    <w:rsid w:val="006018D8"/>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95B9C"/>
    <w:rsid w:val="00896F7D"/>
    <w:rsid w:val="008A6DA9"/>
    <w:rsid w:val="008B5EFD"/>
    <w:rsid w:val="008B60C4"/>
    <w:rsid w:val="008D0158"/>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B3A9F"/>
    <w:rsid w:val="00EB792E"/>
    <w:rsid w:val="00EC2C73"/>
    <w:rsid w:val="00EE5569"/>
    <w:rsid w:val="00F037E5"/>
    <w:rsid w:val="00F05355"/>
    <w:rsid w:val="00F05A2A"/>
    <w:rsid w:val="00F1146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1397</Words>
  <Characters>797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36</cp:revision>
  <cp:lastPrinted>2023-04-24T16:00:00Z</cp:lastPrinted>
  <dcterms:created xsi:type="dcterms:W3CDTF">2024-10-10T06:00:00Z</dcterms:created>
  <dcterms:modified xsi:type="dcterms:W3CDTF">2025-09-10T07:23:00Z</dcterms:modified>
</cp:coreProperties>
</file>