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2E2B" w14:textId="00A98620" w:rsidR="002469B2" w:rsidRPr="002469B2" w:rsidRDefault="002469B2" w:rsidP="006A271B">
      <w:pPr>
        <w:jc w:val="center"/>
        <w:rPr>
          <w:b/>
        </w:rPr>
      </w:pPr>
      <w:bookmarkStart w:id="0" w:name="_Hlk176527535"/>
      <w:r w:rsidRPr="002469B2">
        <w:rPr>
          <w:b/>
        </w:rPr>
        <w:t>DĖL VIDUTINIŲ KIETOJO AR KITOKIO KURO KAINŲ, TAIKOMŲ BŪSTO ŠILDYMO IR KARŠTO VANDENS IŠLAIDŲ KOMPENSACIJOMS APSKAIČIUOTI, PATVIRTINIMO</w:t>
      </w:r>
    </w:p>
    <w:bookmarkEnd w:id="0"/>
    <w:p w14:paraId="18ADF82E" w14:textId="77777777" w:rsidR="00F47B38" w:rsidRDefault="00F47B38" w:rsidP="00F47B38"/>
    <w:p w14:paraId="6516CB9C" w14:textId="630AE2DB" w:rsidR="00F47B38" w:rsidRPr="002C42CF" w:rsidRDefault="00F47B38" w:rsidP="00F47B38">
      <w:pPr>
        <w:ind w:left="2836" w:firstLine="709"/>
      </w:pPr>
      <w:r w:rsidRPr="002C42CF">
        <w:t>20</w:t>
      </w:r>
      <w:r w:rsidR="00034C2C" w:rsidRPr="002C42CF">
        <w:t>2</w:t>
      </w:r>
      <w:r w:rsidR="002C42CF" w:rsidRPr="002C42CF">
        <w:t>5</w:t>
      </w:r>
      <w:r w:rsidRPr="002C42CF">
        <w:t xml:space="preserve"> m. </w:t>
      </w:r>
      <w:r w:rsidR="002469B2" w:rsidRPr="002C42CF">
        <w:t>rugsėjo</w:t>
      </w:r>
      <w:r w:rsidR="0033161C" w:rsidRPr="002C42CF">
        <w:t xml:space="preserve"> 2</w:t>
      </w:r>
      <w:r w:rsidR="002C42CF" w:rsidRPr="002C42CF">
        <w:t>5</w:t>
      </w:r>
      <w:r w:rsidRPr="002C42CF">
        <w:t xml:space="preserve"> d. Nr. T-</w:t>
      </w:r>
    </w:p>
    <w:p w14:paraId="368E03C7" w14:textId="77777777" w:rsidR="00F47B38" w:rsidRPr="002C42CF" w:rsidRDefault="00F47B38" w:rsidP="00F47B38">
      <w:pPr>
        <w:jc w:val="center"/>
      </w:pPr>
      <w:r w:rsidRPr="002C42CF">
        <w:t>Panevėžys</w:t>
      </w:r>
    </w:p>
    <w:p w14:paraId="0133B68C" w14:textId="77777777" w:rsidR="00F47B38" w:rsidRPr="002C42CF" w:rsidRDefault="00F47B38" w:rsidP="00F47B38">
      <w:pPr>
        <w:tabs>
          <w:tab w:val="center" w:pos="4819"/>
          <w:tab w:val="right" w:pos="9638"/>
        </w:tabs>
        <w:jc w:val="both"/>
        <w:rPr>
          <w:highlight w:val="yellow"/>
        </w:rPr>
      </w:pPr>
    </w:p>
    <w:p w14:paraId="12BA267F" w14:textId="35D42AB3" w:rsidR="002469B2" w:rsidRPr="002C42CF" w:rsidRDefault="002469B2" w:rsidP="002469B2">
      <w:pPr>
        <w:widowControl/>
        <w:suppressAutoHyphens w:val="0"/>
        <w:ind w:firstLine="709"/>
        <w:jc w:val="both"/>
        <w:rPr>
          <w:rFonts w:eastAsia="Times New Roman" w:cs="Times New Roman"/>
          <w:kern w:val="0"/>
          <w:lang w:eastAsia="lt-LT" w:bidi="ar-SA"/>
        </w:rPr>
      </w:pPr>
      <w:r w:rsidRPr="002C42CF">
        <w:rPr>
          <w:rFonts w:eastAsia="Times New Roman" w:cs="Times New Roman"/>
          <w:kern w:val="0"/>
          <w:lang w:eastAsia="lt-LT" w:bidi="ar-SA"/>
        </w:rPr>
        <w:t xml:space="preserve">Vadovaudamasi Lietuvos Respublikos vietos savivaldos įstatymo 15 straipsnio 2 dalies          30 punktu, Lietuvos Respublikos piniginės socialinės paramos nepasiturintiems gyventojams įstatymo 11 straipsnio 4 dalimi, Panevėžio rajono savivaldybės taryba </w:t>
      </w:r>
      <w:r w:rsidRPr="002C42CF">
        <w:rPr>
          <w:rFonts w:eastAsia="Times New Roman" w:cs="Times New Roman"/>
          <w:spacing w:val="60"/>
          <w:kern w:val="0"/>
          <w:lang w:eastAsia="lt-LT" w:bidi="ar-SA"/>
        </w:rPr>
        <w:t>nusprendžia:</w:t>
      </w:r>
    </w:p>
    <w:p w14:paraId="0A639ED2" w14:textId="121BCAF9" w:rsidR="002469B2" w:rsidRPr="0038257C" w:rsidRDefault="006A271B" w:rsidP="006A271B">
      <w:pPr>
        <w:widowControl/>
        <w:tabs>
          <w:tab w:val="left" w:pos="993"/>
        </w:tabs>
        <w:suppressAutoHyphens w:val="0"/>
        <w:ind w:firstLine="709"/>
        <w:jc w:val="both"/>
        <w:rPr>
          <w:rFonts w:eastAsia="Times New Roman" w:cs="Times New Roman"/>
          <w:kern w:val="0"/>
          <w:lang w:eastAsia="lt-LT" w:bidi="ar-SA"/>
        </w:rPr>
      </w:pPr>
      <w:r w:rsidRPr="0038257C">
        <w:rPr>
          <w:rFonts w:eastAsia="Times New Roman" w:cs="Times New Roman"/>
          <w:kern w:val="0"/>
          <w:lang w:eastAsia="lt-LT" w:bidi="ar-SA"/>
        </w:rPr>
        <w:t>1.</w:t>
      </w:r>
      <w:r w:rsidRPr="0038257C">
        <w:rPr>
          <w:rFonts w:eastAsia="Times New Roman" w:cs="Times New Roman"/>
          <w:kern w:val="0"/>
          <w:lang w:eastAsia="lt-LT" w:bidi="ar-SA"/>
        </w:rPr>
        <w:tab/>
      </w:r>
      <w:r w:rsidR="002469B2" w:rsidRPr="0038257C">
        <w:rPr>
          <w:rFonts w:eastAsia="Times New Roman" w:cs="Times New Roman"/>
          <w:kern w:val="0"/>
          <w:lang w:eastAsia="lt-LT" w:bidi="ar-SA"/>
        </w:rPr>
        <w:t>Patvirtinti vidutines kietojo ar kitokio kuro, kurio faktinės sąnaudos kiekvieną mėnesį nenustatomos, kainas, taikomas būsto šildymo ir karšto vandens išlaidų kompensacijoms apskaičiuoti (įskaitant pridėtinės vertės mokestį):</w:t>
      </w:r>
    </w:p>
    <w:p w14:paraId="2AD0A6C4" w14:textId="6CD6BBA1"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1.1.</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 xml:space="preserve">mišrios malkos – </w:t>
      </w:r>
      <w:r w:rsidR="00907257" w:rsidRPr="00EA225C">
        <w:rPr>
          <w:rFonts w:eastAsia="Times New Roman" w:cs="Times New Roman"/>
          <w:kern w:val="0"/>
          <w:lang w:eastAsia="lt-LT" w:bidi="ar-SA"/>
        </w:rPr>
        <w:t>50</w:t>
      </w:r>
      <w:r w:rsidRPr="00EA225C">
        <w:rPr>
          <w:rFonts w:eastAsia="Times New Roman" w:cs="Times New Roman"/>
          <w:kern w:val="0"/>
          <w:lang w:eastAsia="lt-LT" w:bidi="ar-SA"/>
        </w:rPr>
        <w:t>,00 Eur/m</w:t>
      </w:r>
      <w:r w:rsidRPr="00EA225C">
        <w:rPr>
          <w:rFonts w:eastAsia="Times New Roman" w:cs="Times New Roman"/>
          <w:kern w:val="0"/>
          <w:vertAlign w:val="superscript"/>
          <w:lang w:eastAsia="lt-LT" w:bidi="ar-SA"/>
        </w:rPr>
        <w:t>3</w:t>
      </w:r>
      <w:r w:rsidRPr="00EA225C">
        <w:rPr>
          <w:rFonts w:eastAsia="Times New Roman" w:cs="Times New Roman"/>
          <w:kern w:val="0"/>
          <w:lang w:eastAsia="lt-LT" w:bidi="ar-SA"/>
        </w:rPr>
        <w:t>;</w:t>
      </w:r>
    </w:p>
    <w:p w14:paraId="219A71A2" w14:textId="1239B1E1"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1.2.</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akmens anglis – 0,3</w:t>
      </w:r>
      <w:r w:rsidR="00EA225C" w:rsidRPr="00EA225C">
        <w:rPr>
          <w:rFonts w:eastAsia="Times New Roman" w:cs="Times New Roman"/>
          <w:kern w:val="0"/>
          <w:lang w:eastAsia="lt-LT" w:bidi="ar-SA"/>
        </w:rPr>
        <w:t>6</w:t>
      </w:r>
      <w:r w:rsidRPr="00EA225C">
        <w:rPr>
          <w:rFonts w:eastAsia="Times New Roman" w:cs="Times New Roman"/>
          <w:kern w:val="0"/>
          <w:lang w:eastAsia="lt-LT" w:bidi="ar-SA"/>
        </w:rPr>
        <w:t xml:space="preserve"> Eur/kg;</w:t>
      </w:r>
    </w:p>
    <w:p w14:paraId="3D061F9B" w14:textId="339C2AAF"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1.3.</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durpių briketai – 0,</w:t>
      </w:r>
      <w:r w:rsidR="00EA225C" w:rsidRPr="00EA225C">
        <w:rPr>
          <w:rFonts w:eastAsia="Times New Roman" w:cs="Times New Roman"/>
          <w:kern w:val="0"/>
          <w:lang w:eastAsia="lt-LT" w:bidi="ar-SA"/>
        </w:rPr>
        <w:t>22</w:t>
      </w:r>
      <w:r w:rsidRPr="00EA225C">
        <w:rPr>
          <w:rFonts w:eastAsia="Times New Roman" w:cs="Times New Roman"/>
          <w:kern w:val="0"/>
          <w:lang w:eastAsia="lt-LT" w:bidi="ar-SA"/>
        </w:rPr>
        <w:t xml:space="preserve"> Eur/kg;</w:t>
      </w:r>
    </w:p>
    <w:p w14:paraId="2EF7494A" w14:textId="6C049213"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1.4.</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medienos granulės – 0,2</w:t>
      </w:r>
      <w:r w:rsidR="00EA225C" w:rsidRPr="00EA225C">
        <w:rPr>
          <w:rFonts w:eastAsia="Times New Roman" w:cs="Times New Roman"/>
          <w:kern w:val="0"/>
          <w:lang w:eastAsia="lt-LT" w:bidi="ar-SA"/>
        </w:rPr>
        <w:t>3</w:t>
      </w:r>
      <w:r w:rsidRPr="00EA225C">
        <w:rPr>
          <w:rFonts w:eastAsia="Times New Roman" w:cs="Times New Roman"/>
          <w:kern w:val="0"/>
          <w:lang w:eastAsia="lt-LT" w:bidi="ar-SA"/>
        </w:rPr>
        <w:t xml:space="preserve"> Eur/kg;</w:t>
      </w:r>
    </w:p>
    <w:p w14:paraId="5FC35666" w14:textId="14437EAC"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1.5.</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med</w:t>
      </w:r>
      <w:r w:rsidR="003405E4" w:rsidRPr="00EA225C">
        <w:rPr>
          <w:rFonts w:eastAsia="Times New Roman" w:cs="Times New Roman"/>
          <w:kern w:val="0"/>
          <w:lang w:eastAsia="lt-LT" w:bidi="ar-SA"/>
        </w:rPr>
        <w:t>žio pjuvenų</w:t>
      </w:r>
      <w:r w:rsidRPr="00EA225C">
        <w:rPr>
          <w:rFonts w:eastAsia="Times New Roman" w:cs="Times New Roman"/>
          <w:kern w:val="0"/>
          <w:lang w:eastAsia="lt-LT" w:bidi="ar-SA"/>
        </w:rPr>
        <w:t xml:space="preserve"> briketai – 0,2</w:t>
      </w:r>
      <w:r w:rsidR="00733870" w:rsidRPr="00EA225C">
        <w:rPr>
          <w:rFonts w:eastAsia="Times New Roman" w:cs="Times New Roman"/>
          <w:kern w:val="0"/>
          <w:lang w:eastAsia="lt-LT" w:bidi="ar-SA"/>
        </w:rPr>
        <w:t>1</w:t>
      </w:r>
      <w:r w:rsidRPr="00EA225C">
        <w:rPr>
          <w:rFonts w:eastAsia="Times New Roman" w:cs="Times New Roman"/>
          <w:kern w:val="0"/>
          <w:lang w:eastAsia="lt-LT" w:bidi="ar-SA"/>
        </w:rPr>
        <w:t xml:space="preserve"> Eur/kg;</w:t>
      </w:r>
    </w:p>
    <w:p w14:paraId="2444A2A0" w14:textId="64053B9C"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1.6.</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 xml:space="preserve">suskystintos naftos dujos  – </w:t>
      </w:r>
      <w:r w:rsidR="003405E4" w:rsidRPr="00EA225C">
        <w:rPr>
          <w:rFonts w:eastAsia="Times New Roman" w:cs="Times New Roman"/>
          <w:kern w:val="0"/>
          <w:lang w:eastAsia="lt-LT" w:bidi="ar-SA"/>
        </w:rPr>
        <w:t>0,7</w:t>
      </w:r>
      <w:r w:rsidR="00EA225C" w:rsidRPr="00EA225C">
        <w:rPr>
          <w:rFonts w:eastAsia="Times New Roman" w:cs="Times New Roman"/>
          <w:kern w:val="0"/>
          <w:lang w:eastAsia="lt-LT" w:bidi="ar-SA"/>
        </w:rPr>
        <w:t>3</w:t>
      </w:r>
      <w:r w:rsidRPr="00EA225C">
        <w:rPr>
          <w:rFonts w:eastAsia="Times New Roman" w:cs="Times New Roman"/>
          <w:kern w:val="0"/>
          <w:lang w:eastAsia="lt-LT" w:bidi="ar-SA"/>
        </w:rPr>
        <w:t xml:space="preserve"> Eur/kg;</w:t>
      </w:r>
    </w:p>
    <w:p w14:paraId="3743A9D5" w14:textId="34E1F2A0"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1.7.</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dyzelinis krosninis kuras – 0,</w:t>
      </w:r>
      <w:r w:rsidR="00EA225C" w:rsidRPr="00EA225C">
        <w:rPr>
          <w:rFonts w:eastAsia="Times New Roman" w:cs="Times New Roman"/>
          <w:kern w:val="0"/>
          <w:lang w:eastAsia="lt-LT" w:bidi="ar-SA"/>
        </w:rPr>
        <w:t>91</w:t>
      </w:r>
      <w:r w:rsidRPr="00EA225C">
        <w:rPr>
          <w:rFonts w:eastAsia="Times New Roman" w:cs="Times New Roman"/>
          <w:kern w:val="0"/>
          <w:lang w:eastAsia="lt-LT" w:bidi="ar-SA"/>
        </w:rPr>
        <w:t xml:space="preserve"> Eur/l.</w:t>
      </w:r>
    </w:p>
    <w:p w14:paraId="75096025" w14:textId="4F80A3B9" w:rsidR="00865C64" w:rsidRPr="00865C64" w:rsidRDefault="00865C64" w:rsidP="006A271B">
      <w:pPr>
        <w:widowControl/>
        <w:suppressAutoHyphens w:val="0"/>
        <w:ind w:firstLine="709"/>
        <w:jc w:val="both"/>
        <w:rPr>
          <w:rFonts w:eastAsia="Times New Roman" w:cs="Times New Roman"/>
          <w:kern w:val="0"/>
          <w:lang w:eastAsia="lt-LT" w:bidi="ar-SA"/>
        </w:rPr>
      </w:pPr>
      <w:r>
        <w:rPr>
          <w:rFonts w:eastAsia="Times New Roman" w:cs="Times New Roman"/>
          <w:kern w:val="0"/>
          <w:lang w:eastAsia="lt-LT" w:bidi="ar-SA"/>
        </w:rPr>
        <w:t>2</w:t>
      </w:r>
      <w:r w:rsidRPr="00865C64">
        <w:rPr>
          <w:rFonts w:eastAsia="Times New Roman" w:cs="Times New Roman"/>
          <w:kern w:val="0"/>
          <w:lang w:eastAsia="lt-LT" w:bidi="ar-SA"/>
        </w:rPr>
        <w:t xml:space="preserve">. </w:t>
      </w:r>
      <w:r>
        <w:rPr>
          <w:rFonts w:eastAsia="Times New Roman" w:cs="Times New Roman"/>
          <w:kern w:val="0"/>
          <w:lang w:eastAsia="lt-LT" w:bidi="ar-SA"/>
        </w:rPr>
        <w:t>Pripažinti netekusiu galios Panevėžio rajono savivaldybės tarybos 2024 m. rugsėjo 26 d. sprendimą Nr. T-223 „Dėl vidutinių kietojo ar kitokio kuro kainų, taikomų būsto šildymo ir karšto vandens išlaidų kompensacijoms apskaičiuot</w:t>
      </w:r>
      <w:r w:rsidR="00E14A80">
        <w:rPr>
          <w:rFonts w:eastAsia="Times New Roman" w:cs="Times New Roman"/>
          <w:kern w:val="0"/>
          <w:lang w:eastAsia="lt-LT" w:bidi="ar-SA"/>
        </w:rPr>
        <w:t>i</w:t>
      </w:r>
      <w:r>
        <w:rPr>
          <w:rFonts w:eastAsia="Times New Roman" w:cs="Times New Roman"/>
          <w:kern w:val="0"/>
          <w:lang w:eastAsia="lt-LT" w:bidi="ar-SA"/>
        </w:rPr>
        <w:t>, patvirtinimo“.</w:t>
      </w:r>
    </w:p>
    <w:p w14:paraId="0C45317F" w14:textId="712DFAA5" w:rsidR="002469B2" w:rsidRPr="00865C64" w:rsidRDefault="00865C64" w:rsidP="006A271B">
      <w:pPr>
        <w:widowControl/>
        <w:tabs>
          <w:tab w:val="left" w:pos="0"/>
          <w:tab w:val="left" w:pos="993"/>
        </w:tabs>
        <w:suppressAutoHyphens w:val="0"/>
        <w:ind w:firstLine="709"/>
        <w:jc w:val="both"/>
        <w:rPr>
          <w:rFonts w:eastAsia="Times New Roman" w:cs="Times New Roman"/>
          <w:kern w:val="0"/>
          <w:lang w:eastAsia="lt-LT" w:bidi="ar-SA"/>
        </w:rPr>
      </w:pPr>
      <w:r>
        <w:rPr>
          <w:rFonts w:eastAsia="Times New Roman" w:cs="Times New Roman"/>
          <w:kern w:val="0"/>
          <w:lang w:eastAsia="lt-LT" w:bidi="ar-SA"/>
        </w:rPr>
        <w:t>3</w:t>
      </w:r>
      <w:r w:rsidR="002469B2" w:rsidRPr="00865C64">
        <w:rPr>
          <w:rFonts w:eastAsia="Times New Roman" w:cs="Times New Roman"/>
          <w:kern w:val="0"/>
          <w:lang w:eastAsia="lt-LT" w:bidi="ar-SA"/>
        </w:rPr>
        <w:t>.</w:t>
      </w:r>
      <w:r w:rsidR="002469B2" w:rsidRPr="00865C64">
        <w:rPr>
          <w:rFonts w:eastAsia="Times New Roman" w:cs="Times New Roman"/>
          <w:kern w:val="0"/>
          <w:lang w:eastAsia="lt-LT" w:bidi="ar-SA"/>
        </w:rPr>
        <w:tab/>
        <w:t xml:space="preserve">Nustatyti, kad šis sprendimas įsigalioja </w:t>
      </w:r>
      <w:r>
        <w:rPr>
          <w:rFonts w:eastAsia="Times New Roman" w:cs="Times New Roman"/>
          <w:kern w:val="0"/>
          <w:lang w:eastAsia="lt-LT" w:bidi="ar-SA"/>
        </w:rPr>
        <w:t xml:space="preserve">nuo </w:t>
      </w:r>
      <w:r w:rsidR="002469B2" w:rsidRPr="00865C64">
        <w:rPr>
          <w:rFonts w:eastAsia="Times New Roman" w:cs="Times New Roman"/>
          <w:kern w:val="0"/>
          <w:lang w:eastAsia="lt-LT" w:bidi="ar-SA"/>
        </w:rPr>
        <w:t>202</w:t>
      </w:r>
      <w:r w:rsidRPr="00865C64">
        <w:rPr>
          <w:rFonts w:eastAsia="Times New Roman" w:cs="Times New Roman"/>
          <w:kern w:val="0"/>
          <w:lang w:eastAsia="lt-LT" w:bidi="ar-SA"/>
        </w:rPr>
        <w:t>5</w:t>
      </w:r>
      <w:r w:rsidR="002469B2" w:rsidRPr="00865C64">
        <w:rPr>
          <w:rFonts w:eastAsia="Times New Roman" w:cs="Times New Roman"/>
          <w:kern w:val="0"/>
          <w:lang w:eastAsia="lt-LT" w:bidi="ar-SA"/>
        </w:rPr>
        <w:t xml:space="preserve"> m. spalio 1 d.</w:t>
      </w:r>
    </w:p>
    <w:p w14:paraId="44539323" w14:textId="24355E99" w:rsidR="006A271B" w:rsidRPr="002C42CF"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r w:rsidRPr="002C42CF">
        <w:rPr>
          <w:rFonts w:eastAsia="Times New Roman" w:cs="Times New Roman"/>
          <w:kern w:val="0"/>
          <w:lang w:eastAsia="lt-LT" w:bidi="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76478AC2" w14:textId="77777777" w:rsidR="006A271B" w:rsidRPr="002C42CF" w:rsidRDefault="006A271B" w:rsidP="006A271B">
      <w:pPr>
        <w:widowControl/>
        <w:tabs>
          <w:tab w:val="left" w:pos="0"/>
          <w:tab w:val="left" w:pos="993"/>
        </w:tabs>
        <w:suppressAutoHyphens w:val="0"/>
        <w:ind w:firstLine="709"/>
        <w:jc w:val="both"/>
        <w:rPr>
          <w:rFonts w:eastAsia="Times New Roman" w:cs="Times New Roman"/>
          <w:kern w:val="0"/>
          <w:highlight w:val="yellow"/>
          <w:lang w:eastAsia="lt-LT" w:bidi="ar-SA"/>
        </w:rPr>
      </w:pPr>
    </w:p>
    <w:p w14:paraId="4BDA7A4E" w14:textId="7A2A7A37" w:rsidR="002469B2" w:rsidRPr="002C42CF" w:rsidRDefault="002469B2" w:rsidP="002469B2">
      <w:pPr>
        <w:widowControl/>
        <w:tabs>
          <w:tab w:val="left" w:pos="0"/>
          <w:tab w:val="left" w:pos="993"/>
        </w:tabs>
        <w:suppressAutoHyphens w:val="0"/>
        <w:jc w:val="both"/>
        <w:rPr>
          <w:rFonts w:eastAsia="Times New Roman" w:cs="Times New Roman"/>
          <w:kern w:val="0"/>
          <w:highlight w:val="yellow"/>
          <w:lang w:eastAsia="lt-LT" w:bidi="ar-SA"/>
        </w:rPr>
      </w:pPr>
    </w:p>
    <w:p w14:paraId="3C83C1AE" w14:textId="77777777" w:rsidR="00F47B38" w:rsidRPr="002C42CF" w:rsidRDefault="00F47B38" w:rsidP="00F47B38">
      <w:pPr>
        <w:rPr>
          <w:highlight w:val="yellow"/>
        </w:rPr>
      </w:pPr>
    </w:p>
    <w:p w14:paraId="25A9F479" w14:textId="77777777" w:rsidR="00B85F78" w:rsidRPr="002C42CF" w:rsidRDefault="00B85F78" w:rsidP="00F47B38">
      <w:pPr>
        <w:rPr>
          <w:highlight w:val="yellow"/>
        </w:rPr>
      </w:pPr>
    </w:p>
    <w:p w14:paraId="04148BA5" w14:textId="77777777" w:rsidR="00B85F78" w:rsidRPr="002C42CF" w:rsidRDefault="00B85F78" w:rsidP="00F47B38">
      <w:pPr>
        <w:rPr>
          <w:highlight w:val="yellow"/>
        </w:rPr>
      </w:pPr>
    </w:p>
    <w:p w14:paraId="233DE992" w14:textId="77777777" w:rsidR="00B85F78" w:rsidRPr="002C42CF" w:rsidRDefault="00B85F78" w:rsidP="00F47B38">
      <w:pPr>
        <w:rPr>
          <w:highlight w:val="yellow"/>
        </w:rPr>
      </w:pPr>
    </w:p>
    <w:p w14:paraId="19365B76" w14:textId="77777777" w:rsidR="00B85F78" w:rsidRPr="002C42CF" w:rsidRDefault="00B85F78" w:rsidP="00F47B38">
      <w:pPr>
        <w:rPr>
          <w:highlight w:val="yellow"/>
        </w:rPr>
      </w:pPr>
    </w:p>
    <w:p w14:paraId="12D02CD3" w14:textId="77777777" w:rsidR="003A4B00" w:rsidRPr="002C42CF" w:rsidRDefault="003A4B00" w:rsidP="00F47B38">
      <w:pPr>
        <w:rPr>
          <w:highlight w:val="yellow"/>
        </w:rPr>
      </w:pPr>
    </w:p>
    <w:p w14:paraId="57546654" w14:textId="77777777" w:rsidR="003A4B00" w:rsidRPr="002C42CF" w:rsidRDefault="003A4B00" w:rsidP="00F47B38">
      <w:pPr>
        <w:rPr>
          <w:highlight w:val="yellow"/>
        </w:rPr>
      </w:pPr>
    </w:p>
    <w:p w14:paraId="201E8C2F" w14:textId="77777777" w:rsidR="003A4B00" w:rsidRPr="002C42CF" w:rsidRDefault="003A4B00" w:rsidP="00F47B38">
      <w:pPr>
        <w:rPr>
          <w:highlight w:val="yellow"/>
        </w:rPr>
      </w:pPr>
    </w:p>
    <w:p w14:paraId="1957EE3F" w14:textId="7914289E" w:rsidR="00B85F78" w:rsidRPr="002C42CF" w:rsidRDefault="00B613B4" w:rsidP="00F47B38">
      <w:r w:rsidRPr="002C42CF">
        <w:t>Jonė Baronaitė-Šniutė</w:t>
      </w:r>
    </w:p>
    <w:p w14:paraId="5D5BAE11" w14:textId="118A385F" w:rsidR="002469B2" w:rsidRPr="0038257C" w:rsidRDefault="00B85F78" w:rsidP="00F47B38">
      <w:r w:rsidRPr="0038257C">
        <w:t>20</w:t>
      </w:r>
      <w:r w:rsidR="00B6541E" w:rsidRPr="0038257C">
        <w:t>2</w:t>
      </w:r>
      <w:r w:rsidR="002C42CF" w:rsidRPr="0038257C">
        <w:t>5</w:t>
      </w:r>
      <w:r w:rsidRPr="0038257C">
        <w:t>-</w:t>
      </w:r>
      <w:r w:rsidR="00DB2223" w:rsidRPr="0038257C">
        <w:t>0</w:t>
      </w:r>
      <w:r w:rsidR="002469B2" w:rsidRPr="0038257C">
        <w:t>9</w:t>
      </w:r>
      <w:r w:rsidRPr="0038257C">
        <w:t>-</w:t>
      </w:r>
      <w:r w:rsidR="0033161C" w:rsidRPr="0038257C">
        <w:t>0</w:t>
      </w:r>
      <w:r w:rsidR="005A2F23">
        <w:t>8</w:t>
      </w:r>
    </w:p>
    <w:p w14:paraId="3F8AB5EE" w14:textId="77777777" w:rsidR="002469B2" w:rsidRPr="002C42CF" w:rsidRDefault="002469B2">
      <w:pPr>
        <w:widowControl/>
        <w:suppressAutoHyphens w:val="0"/>
        <w:spacing w:after="160" w:line="259" w:lineRule="auto"/>
        <w:rPr>
          <w:highlight w:val="yellow"/>
        </w:rPr>
      </w:pPr>
      <w:r w:rsidRPr="002C42CF">
        <w:rPr>
          <w:highlight w:val="yellow"/>
        </w:rPr>
        <w:br w:type="page"/>
      </w:r>
    </w:p>
    <w:p w14:paraId="35F7361C" w14:textId="77777777" w:rsidR="00A27BA9" w:rsidRPr="002C42CF" w:rsidRDefault="00A27BA9" w:rsidP="00F47B38">
      <w:pPr>
        <w:rPr>
          <w:highlight w:val="yellow"/>
        </w:rPr>
      </w:pPr>
    </w:p>
    <w:p w14:paraId="349601AC" w14:textId="77777777" w:rsidR="00273163" w:rsidRPr="002C42CF" w:rsidRDefault="00273163" w:rsidP="00273163">
      <w:pPr>
        <w:jc w:val="center"/>
        <w:rPr>
          <w:rFonts w:eastAsia="Times New Roman" w:cs="Times New Roman"/>
          <w:b/>
          <w:kern w:val="0"/>
          <w:lang w:eastAsia="ar-SA" w:bidi="ar-SA"/>
        </w:rPr>
      </w:pPr>
      <w:r w:rsidRPr="002C42CF">
        <w:rPr>
          <w:b/>
        </w:rPr>
        <w:t>PANEVĖŽIO RAJONO SAVIVALDYBĖS ADMINISTRACIJOS</w:t>
      </w:r>
    </w:p>
    <w:p w14:paraId="79CAE57E" w14:textId="77777777" w:rsidR="00273163" w:rsidRPr="002C42CF" w:rsidRDefault="00273163" w:rsidP="00273163">
      <w:pPr>
        <w:jc w:val="center"/>
        <w:rPr>
          <w:b/>
        </w:rPr>
      </w:pPr>
      <w:r w:rsidRPr="002C42CF">
        <w:rPr>
          <w:b/>
        </w:rPr>
        <w:t>SOCIALINĖS PARAMOS SKYRIUS</w:t>
      </w:r>
    </w:p>
    <w:p w14:paraId="77D313F2" w14:textId="77777777" w:rsidR="00273163" w:rsidRPr="002C42CF" w:rsidRDefault="00273163" w:rsidP="00273163">
      <w:pPr>
        <w:rPr>
          <w:b/>
          <w:highlight w:val="yellow"/>
        </w:rPr>
      </w:pPr>
    </w:p>
    <w:p w14:paraId="77B130CF" w14:textId="77777777" w:rsidR="00273163" w:rsidRPr="002C42CF" w:rsidRDefault="00273163" w:rsidP="00273163">
      <w:r w:rsidRPr="002C42CF">
        <w:t>Panevėžio rajono savivaldybės tarybai</w:t>
      </w:r>
    </w:p>
    <w:p w14:paraId="63AA65D1" w14:textId="77777777" w:rsidR="00273163" w:rsidRPr="002C42CF" w:rsidRDefault="00273163" w:rsidP="00273163">
      <w:pPr>
        <w:jc w:val="center"/>
        <w:rPr>
          <w:b/>
          <w:highlight w:val="yellow"/>
        </w:rPr>
      </w:pPr>
    </w:p>
    <w:p w14:paraId="2D2357C6" w14:textId="77777777" w:rsidR="003405E4" w:rsidRPr="002C42CF" w:rsidRDefault="005C57AC" w:rsidP="003405E4">
      <w:pPr>
        <w:jc w:val="center"/>
        <w:rPr>
          <w:b/>
        </w:rPr>
      </w:pPr>
      <w:r w:rsidRPr="002C42CF">
        <w:rPr>
          <w:b/>
        </w:rPr>
        <w:t xml:space="preserve">SAVIVALDYBĖS TARYBOS SPRENDIMO </w:t>
      </w:r>
      <w:r w:rsidR="003405E4" w:rsidRPr="002C42CF">
        <w:rPr>
          <w:b/>
        </w:rPr>
        <w:t>„DĖL VIDUTINIŲ KIETOJO AR KITOKIO KURO KAINŲ, TAIKOMŲ BŪSTO ŠILDYMO IR KARŠTO VANDENS IŠLAIDŲ KOMPENSACIJOMS APSKAIČIUOTI, PATVIRTINIMO</w:t>
      </w:r>
      <w:r w:rsidRPr="002C42CF">
        <w:rPr>
          <w:b/>
        </w:rPr>
        <w:t>“</w:t>
      </w:r>
    </w:p>
    <w:p w14:paraId="70FD9C5B" w14:textId="716AE6C0" w:rsidR="00273163" w:rsidRPr="002C42CF" w:rsidRDefault="005C57AC" w:rsidP="003405E4">
      <w:pPr>
        <w:jc w:val="center"/>
        <w:rPr>
          <w:b/>
        </w:rPr>
      </w:pPr>
      <w:r w:rsidRPr="002C42CF">
        <w:rPr>
          <w:b/>
        </w:rPr>
        <w:t xml:space="preserve"> PROJEKTO AIŠKINAMASIS RAŠTAS</w:t>
      </w:r>
    </w:p>
    <w:p w14:paraId="5C39FA85" w14:textId="77777777" w:rsidR="00A27BA9" w:rsidRPr="002C42CF" w:rsidRDefault="00A27BA9" w:rsidP="00273163">
      <w:pPr>
        <w:jc w:val="center"/>
        <w:rPr>
          <w:b/>
          <w:highlight w:val="yellow"/>
        </w:rPr>
      </w:pPr>
    </w:p>
    <w:p w14:paraId="4C643E54" w14:textId="305DDBCC" w:rsidR="00273163" w:rsidRPr="002C42CF" w:rsidRDefault="00273163" w:rsidP="00273163">
      <w:pPr>
        <w:jc w:val="center"/>
        <w:rPr>
          <w:highlight w:val="yellow"/>
        </w:rPr>
      </w:pPr>
      <w:r w:rsidRPr="002C42CF">
        <w:t>20</w:t>
      </w:r>
      <w:r w:rsidR="00B6541E" w:rsidRPr="002C42CF">
        <w:t>2</w:t>
      </w:r>
      <w:r w:rsidR="002C42CF" w:rsidRPr="002C42CF">
        <w:t>5</w:t>
      </w:r>
      <w:r w:rsidRPr="002C42CF">
        <w:t xml:space="preserve"> m. </w:t>
      </w:r>
      <w:r w:rsidR="003405E4" w:rsidRPr="002C42CF">
        <w:t>rugsėjo</w:t>
      </w:r>
      <w:r w:rsidR="0033161C" w:rsidRPr="002C42CF">
        <w:t xml:space="preserve"> </w:t>
      </w:r>
      <w:r w:rsidR="005A2F23">
        <w:t>8</w:t>
      </w:r>
      <w:r w:rsidRPr="0038257C">
        <w:t xml:space="preserve"> d.  </w:t>
      </w:r>
    </w:p>
    <w:p w14:paraId="3CB7EC51" w14:textId="77777777" w:rsidR="00273163" w:rsidRPr="002C42CF" w:rsidRDefault="00273163" w:rsidP="00273163">
      <w:pPr>
        <w:jc w:val="center"/>
      </w:pPr>
      <w:r w:rsidRPr="002C42CF">
        <w:t>Panevėžys</w:t>
      </w:r>
    </w:p>
    <w:p w14:paraId="76F1A40F" w14:textId="77777777" w:rsidR="00273163" w:rsidRPr="002C42CF" w:rsidRDefault="00273163" w:rsidP="00273163">
      <w:pPr>
        <w:rPr>
          <w:highlight w:val="yellow"/>
        </w:rPr>
      </w:pPr>
    </w:p>
    <w:p w14:paraId="281BBF65" w14:textId="77777777" w:rsidR="00B6541E" w:rsidRPr="002C42CF" w:rsidRDefault="00273163" w:rsidP="00B6541E">
      <w:pPr>
        <w:jc w:val="both"/>
        <w:rPr>
          <w:b/>
          <w:bCs/>
        </w:rPr>
      </w:pPr>
      <w:r w:rsidRPr="002C42CF">
        <w:rPr>
          <w:bCs/>
        </w:rPr>
        <w:tab/>
      </w:r>
      <w:r w:rsidR="00B6541E" w:rsidRPr="002C42CF">
        <w:rPr>
          <w:b/>
        </w:rPr>
        <w:t>1.</w:t>
      </w:r>
      <w:r w:rsidR="00B6541E" w:rsidRPr="002C42CF">
        <w:rPr>
          <w:bCs/>
        </w:rPr>
        <w:t xml:space="preserve"> </w:t>
      </w:r>
      <w:r w:rsidR="00B6541E" w:rsidRPr="002C42CF">
        <w:rPr>
          <w:b/>
          <w:bCs/>
        </w:rPr>
        <w:t>Sprendimo projekto tikslai ir uždaviniai</w:t>
      </w:r>
    </w:p>
    <w:p w14:paraId="4B8A5F61" w14:textId="24ACF1D3" w:rsidR="00B6541E" w:rsidRPr="002C42CF" w:rsidRDefault="00B6541E" w:rsidP="00B6541E">
      <w:pPr>
        <w:jc w:val="both"/>
      </w:pPr>
      <w:r w:rsidRPr="002C42CF">
        <w:tab/>
        <w:t xml:space="preserve">Sprendimo tikslas – </w:t>
      </w:r>
      <w:r w:rsidR="003405E4" w:rsidRPr="002C42CF">
        <w:t>patvirtinti vidutines kietojo ar kitokio kuro, kurio faktinės sąnaudos kiekvieną mėnesį nenustatomos, kainas, taikomas būsto šildymo ir karšto vandens išlaidų kompensacijoms apskaičiuoti Panevėžio rajono savivaldybės gyventojams.</w:t>
      </w:r>
    </w:p>
    <w:p w14:paraId="628D89C8" w14:textId="150CF9F3" w:rsidR="004139F3" w:rsidRPr="002C42CF" w:rsidRDefault="004139F3" w:rsidP="004139F3">
      <w:pPr>
        <w:ind w:firstLine="720"/>
        <w:jc w:val="both"/>
        <w:rPr>
          <w:b/>
          <w:bCs/>
        </w:rPr>
      </w:pPr>
      <w:r w:rsidRPr="002C42CF">
        <w:rPr>
          <w:b/>
          <w:bCs/>
        </w:rPr>
        <w:t>2. Siūlomos teisinio reguliavimo nuostatos</w:t>
      </w:r>
      <w:r w:rsidR="005C57AC" w:rsidRPr="002C42CF">
        <w:rPr>
          <w:b/>
          <w:bCs/>
        </w:rPr>
        <w:t xml:space="preserve"> ir laukiami rezultatai</w:t>
      </w:r>
    </w:p>
    <w:p w14:paraId="150E251A" w14:textId="77777777" w:rsidR="002A53D3" w:rsidRPr="002C42CF" w:rsidRDefault="003405E4" w:rsidP="003405E4">
      <w:pPr>
        <w:widowControl/>
        <w:ind w:firstLine="851"/>
        <w:jc w:val="both"/>
        <w:rPr>
          <w:rFonts w:eastAsia="Times New Roman" w:cs="Times New Roman"/>
          <w:kern w:val="0"/>
          <w:lang w:eastAsia="lt-LT" w:bidi="ar-SA"/>
        </w:rPr>
      </w:pPr>
      <w:r w:rsidRPr="002C42CF">
        <w:rPr>
          <w:rFonts w:eastAsia="Times New Roman" w:cs="Times New Roman"/>
          <w:kern w:val="0"/>
          <w:lang w:eastAsia="lt-LT" w:bidi="ar-SA"/>
        </w:rPr>
        <w:t>Būsto šildymo išlaidų ir karšto vandens išlaidų kompensacijos (toliau – kompensacijos) skiriamos ir mokamos vadovaujantis Lietuvos Respublikos piniginės socialinės paramos nepasiturintiems gyventojams įstatymu (toliau – Įstatymas). Įstatymo 11 straipsnio 4 dalyje numatyta, kad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kitokio kuro, kurio faktinės sąnaudos kiekvieną mėnesį nenustatomos (toliau – kuras), – pagal savivaldybėse patvirtintas vidutines kainas.</w:t>
      </w:r>
    </w:p>
    <w:p w14:paraId="2BE0FA8A" w14:textId="7FE0F606" w:rsidR="003405E4" w:rsidRPr="002C42CF" w:rsidRDefault="002A53D3" w:rsidP="002A53D3">
      <w:pPr>
        <w:widowControl/>
        <w:ind w:firstLine="851"/>
        <w:jc w:val="both"/>
        <w:rPr>
          <w:rFonts w:eastAsia="Times New Roman" w:cs="Times New Roman"/>
          <w:kern w:val="0"/>
          <w:lang w:eastAsia="lt-LT" w:bidi="ar-SA"/>
        </w:rPr>
      </w:pPr>
      <w:r w:rsidRPr="002C42CF">
        <w:rPr>
          <w:rFonts w:eastAsia="Times New Roman" w:cs="Times New Roman"/>
          <w:kern w:val="0"/>
          <w:lang w:eastAsia="lt-LT" w:bidi="ar-SA"/>
        </w:rPr>
        <w:t>Kuro kainos kasmet kinta, todėl atskirų kuro rūšių kainos, naudotinos kompensacijoms apskaičiuoti, nustatomos metams. Šios kainos būtų taikomos s</w:t>
      </w:r>
      <w:r w:rsidR="00173088" w:rsidRPr="002C42CF">
        <w:rPr>
          <w:rFonts w:eastAsia="Times New Roman" w:cs="Times New Roman"/>
          <w:kern w:val="0"/>
          <w:lang w:eastAsia="lt-LT" w:bidi="ar-SA"/>
        </w:rPr>
        <w:t>kaičiuojant 202</w:t>
      </w:r>
      <w:r w:rsidR="002C42CF">
        <w:rPr>
          <w:rFonts w:eastAsia="Times New Roman" w:cs="Times New Roman"/>
          <w:kern w:val="0"/>
          <w:lang w:eastAsia="lt-LT" w:bidi="ar-SA"/>
        </w:rPr>
        <w:t>5</w:t>
      </w:r>
      <w:r w:rsidR="00173088" w:rsidRPr="002C42CF">
        <w:rPr>
          <w:rFonts w:eastAsia="Times New Roman" w:cs="Times New Roman"/>
          <w:kern w:val="0"/>
          <w:lang w:eastAsia="lt-LT" w:bidi="ar-SA"/>
        </w:rPr>
        <w:t xml:space="preserve"> m. spalio</w:t>
      </w:r>
      <w:r w:rsidR="000F5BC0" w:rsidRPr="002C42CF">
        <w:rPr>
          <w:rFonts w:eastAsia="Times New Roman" w:cs="Times New Roman"/>
          <w:kern w:val="0"/>
          <w:lang w:eastAsia="lt-LT" w:bidi="ar-SA"/>
        </w:rPr>
        <w:t>–</w:t>
      </w:r>
      <w:r w:rsidR="00865C64">
        <w:rPr>
          <w:rFonts w:eastAsia="Times New Roman" w:cs="Times New Roman"/>
          <w:kern w:val="0"/>
          <w:lang w:eastAsia="lt-LT" w:bidi="ar-SA"/>
        </w:rPr>
        <w:br/>
      </w:r>
      <w:r w:rsidRPr="002C42CF">
        <w:rPr>
          <w:rFonts w:eastAsia="Times New Roman" w:cs="Times New Roman"/>
          <w:kern w:val="0"/>
          <w:lang w:eastAsia="lt-LT" w:bidi="ar-SA"/>
        </w:rPr>
        <w:t>202</w:t>
      </w:r>
      <w:r w:rsidR="002C42CF">
        <w:rPr>
          <w:rFonts w:eastAsia="Times New Roman" w:cs="Times New Roman"/>
          <w:kern w:val="0"/>
          <w:lang w:eastAsia="lt-LT" w:bidi="ar-SA"/>
        </w:rPr>
        <w:t>6</w:t>
      </w:r>
      <w:r w:rsidRPr="002C42CF">
        <w:rPr>
          <w:rFonts w:eastAsia="Times New Roman" w:cs="Times New Roman"/>
          <w:kern w:val="0"/>
          <w:lang w:eastAsia="lt-LT" w:bidi="ar-SA"/>
        </w:rPr>
        <w:t xml:space="preserve"> m. rugsėjo mėn. būsto šildymo ir karšto vandens išlaidų kompensacijas. </w:t>
      </w:r>
    </w:p>
    <w:p w14:paraId="78D86771" w14:textId="5A4A66FD" w:rsidR="005C57AC" w:rsidRPr="002C42CF" w:rsidRDefault="00B916F5" w:rsidP="005C57AC">
      <w:pPr>
        <w:ind w:right="30"/>
        <w:jc w:val="both"/>
        <w:rPr>
          <w:b/>
        </w:rPr>
      </w:pPr>
      <w:r w:rsidRPr="002C42CF">
        <w:rPr>
          <w:color w:val="000000"/>
          <w:spacing w:val="-3"/>
        </w:rPr>
        <w:tab/>
      </w:r>
      <w:r w:rsidR="005C57AC" w:rsidRPr="002C42CF">
        <w:rPr>
          <w:b/>
          <w:bCs/>
          <w:color w:val="000000"/>
          <w:spacing w:val="-3"/>
        </w:rPr>
        <w:t>3.</w:t>
      </w:r>
      <w:r w:rsidR="005C57AC" w:rsidRPr="002C42CF">
        <w:rPr>
          <w:color w:val="000000"/>
          <w:spacing w:val="-3"/>
        </w:rPr>
        <w:t xml:space="preserve"> </w:t>
      </w:r>
      <w:r w:rsidR="005C57AC" w:rsidRPr="002C42CF">
        <w:rPr>
          <w:b/>
        </w:rPr>
        <w:t>Lėšų poreikis ir šaltiniai</w:t>
      </w:r>
    </w:p>
    <w:p w14:paraId="21054760" w14:textId="77777777" w:rsidR="005C57AC" w:rsidRPr="00865C64" w:rsidRDefault="005C57AC" w:rsidP="005C57AC">
      <w:pPr>
        <w:ind w:left="30" w:firstLine="690"/>
        <w:jc w:val="both"/>
      </w:pPr>
      <w:r w:rsidRPr="00865C64">
        <w:t>Sprendimas įgyvendinamas iš savivaldybės biudžeto lėšų, papildomų lėšų nereikės.</w:t>
      </w:r>
    </w:p>
    <w:p w14:paraId="628FE1F3" w14:textId="73E80607" w:rsidR="005C57AC" w:rsidRPr="00865C64" w:rsidRDefault="005C57AC" w:rsidP="005C57AC">
      <w:pPr>
        <w:jc w:val="both"/>
        <w:rPr>
          <w:b/>
          <w:color w:val="000000"/>
        </w:rPr>
      </w:pPr>
      <w:r w:rsidRPr="00865C64">
        <w:rPr>
          <w:b/>
          <w:color w:val="000000"/>
        </w:rPr>
        <w:tab/>
        <w:t xml:space="preserve">4. </w:t>
      </w:r>
      <w:r w:rsidRPr="00865C64">
        <w:rPr>
          <w:b/>
        </w:rPr>
        <w:t>Kiti reikalingi pagrindimai, skaičiavimai ar paaiškinimai</w:t>
      </w:r>
    </w:p>
    <w:p w14:paraId="78A89057" w14:textId="1F34BD99" w:rsidR="002A53D3" w:rsidRDefault="003405E4" w:rsidP="003405E4">
      <w:pPr>
        <w:ind w:right="72" w:firstLine="709"/>
        <w:jc w:val="both"/>
        <w:rPr>
          <w:b/>
        </w:rPr>
      </w:pPr>
      <w:r w:rsidRPr="00865C64">
        <w:t xml:space="preserve">Rengiant sprendimo projektą buvo atliktas pagrindinių kuro rūšių (malkų, medienos briketų, pjuvenų granulių, durpių briketų, akmens anglies, dyzelinio krosnių kuro ir suskystintų dujų) tiekėjų rinkos </w:t>
      </w:r>
      <w:r w:rsidR="002522B1" w:rsidRPr="00865C64">
        <w:t xml:space="preserve">kainų </w:t>
      </w:r>
      <w:r w:rsidRPr="00865C64">
        <w:t xml:space="preserve">tyrimas. Buvo pasirinktos 3 </w:t>
      </w:r>
      <w:r w:rsidR="009F7A24">
        <w:t xml:space="preserve">(dyzelinio krosnių kuro 2) </w:t>
      </w:r>
      <w:r w:rsidRPr="00865C64">
        <w:t xml:space="preserve">kuro tiekėjų </w:t>
      </w:r>
      <w:r w:rsidR="00173088" w:rsidRPr="00865C64">
        <w:t xml:space="preserve">internete </w:t>
      </w:r>
      <w:r w:rsidRPr="00865C64">
        <w:t xml:space="preserve">paskelbtos mažiausios kuro kainos ir </w:t>
      </w:r>
      <w:r w:rsidR="00173088" w:rsidRPr="00865C64">
        <w:t>ap</w:t>
      </w:r>
      <w:r w:rsidRPr="00865C64">
        <w:t>skaičiuota vidutinė kiekvien</w:t>
      </w:r>
      <w:r w:rsidR="00173088" w:rsidRPr="00865C64">
        <w:t>os</w:t>
      </w:r>
      <w:r w:rsidRPr="00865C64">
        <w:t xml:space="preserve"> kuro rūš</w:t>
      </w:r>
      <w:r w:rsidR="00173088" w:rsidRPr="00865C64">
        <w:t>ies</w:t>
      </w:r>
      <w:r w:rsidRPr="00865C64">
        <w:t xml:space="preserve"> </w:t>
      </w:r>
      <w:r w:rsidR="00173088" w:rsidRPr="00865C64">
        <w:t xml:space="preserve">kaina </w:t>
      </w:r>
      <w:r w:rsidRPr="00865C64">
        <w:t>(įskaitant PVM</w:t>
      </w:r>
      <w:r w:rsidR="00723DC7" w:rsidRPr="00865C64">
        <w:t>)</w:t>
      </w:r>
      <w:r w:rsidRPr="00865C64">
        <w:t xml:space="preserve"> (pridedama).</w:t>
      </w:r>
      <w:r w:rsidRPr="00865C64">
        <w:rPr>
          <w:b/>
        </w:rPr>
        <w:t xml:space="preserve"> </w:t>
      </w:r>
    </w:p>
    <w:p w14:paraId="7B33A595" w14:textId="2416D31C" w:rsidR="009834D0" w:rsidRPr="009834D0" w:rsidRDefault="009834D0" w:rsidP="003405E4">
      <w:pPr>
        <w:ind w:right="72" w:firstLine="709"/>
        <w:jc w:val="both"/>
        <w:rPr>
          <w:bCs/>
        </w:rPr>
      </w:pPr>
      <w:r w:rsidRPr="009834D0">
        <w:rPr>
          <w:bCs/>
        </w:rPr>
        <w:t>Reikalingas sprendimo projekto antikorupcinis vertinimas.</w:t>
      </w:r>
    </w:p>
    <w:p w14:paraId="1E5535EE" w14:textId="77777777" w:rsidR="00E27448" w:rsidRPr="00865C64" w:rsidRDefault="00E27448" w:rsidP="003405E4">
      <w:pPr>
        <w:ind w:right="72" w:firstLine="709"/>
        <w:jc w:val="both"/>
        <w:rPr>
          <w:b/>
        </w:rPr>
      </w:pPr>
    </w:p>
    <w:p w14:paraId="1557D8AC" w14:textId="77777777" w:rsidR="002A53D3" w:rsidRPr="002C42CF" w:rsidRDefault="002A53D3" w:rsidP="003405E4">
      <w:pPr>
        <w:ind w:right="72" w:firstLine="709"/>
        <w:jc w:val="both"/>
        <w:rPr>
          <w:b/>
          <w:highlight w:val="yellow"/>
        </w:rPr>
      </w:pPr>
    </w:p>
    <w:p w14:paraId="7255DEC1" w14:textId="77777777" w:rsidR="002A53D3" w:rsidRPr="002C42CF" w:rsidRDefault="002A53D3" w:rsidP="003405E4">
      <w:pPr>
        <w:ind w:right="72" w:firstLine="709"/>
        <w:jc w:val="both"/>
        <w:rPr>
          <w:b/>
          <w:highlight w:val="yellow"/>
        </w:rPr>
      </w:pPr>
    </w:p>
    <w:p w14:paraId="7A549125" w14:textId="77777777" w:rsidR="002A53D3" w:rsidRPr="00865C64" w:rsidRDefault="002A53D3" w:rsidP="003405E4">
      <w:pPr>
        <w:ind w:right="72" w:firstLine="709"/>
        <w:jc w:val="both"/>
        <w:rPr>
          <w:b/>
        </w:rPr>
      </w:pPr>
    </w:p>
    <w:p w14:paraId="5D282E1C" w14:textId="14B6ADF2" w:rsidR="002A53D3" w:rsidRPr="00865C64" w:rsidRDefault="002A53D3" w:rsidP="002A53D3">
      <w:pPr>
        <w:jc w:val="both"/>
      </w:pPr>
      <w:r w:rsidRPr="00865C64">
        <w:t>Vyriausioji specialistė</w:t>
      </w:r>
      <w:r w:rsidRPr="00865C64">
        <w:tab/>
      </w:r>
      <w:r w:rsidRPr="00865C64">
        <w:tab/>
      </w:r>
      <w:r w:rsidRPr="00865C64">
        <w:tab/>
      </w:r>
      <w:r w:rsidRPr="00865C64">
        <w:tab/>
      </w:r>
      <w:r w:rsidRPr="00865C64">
        <w:tab/>
      </w:r>
      <w:r w:rsidRPr="00865C64">
        <w:tab/>
      </w:r>
      <w:r w:rsidRPr="00865C64">
        <w:tab/>
      </w:r>
      <w:r w:rsidRPr="00865C64">
        <w:tab/>
        <w:t>Jonė Baronaitė-Šniutė</w:t>
      </w:r>
    </w:p>
    <w:p w14:paraId="75A3C60A" w14:textId="08C5A238" w:rsidR="003405E4" w:rsidRPr="002C42CF" w:rsidRDefault="002A53D3" w:rsidP="002A53D3">
      <w:pPr>
        <w:widowControl/>
        <w:suppressAutoHyphens w:val="0"/>
        <w:spacing w:after="160" w:line="259" w:lineRule="auto"/>
        <w:rPr>
          <w:highlight w:val="yellow"/>
        </w:rPr>
      </w:pPr>
      <w:r w:rsidRPr="002C42CF">
        <w:rPr>
          <w:highlight w:val="yellow"/>
        </w:rPr>
        <w:br w:type="page"/>
      </w:r>
    </w:p>
    <w:p w14:paraId="6B8E0628" w14:textId="29FD4205" w:rsidR="003405E4" w:rsidRPr="00865C64" w:rsidRDefault="005C57AC" w:rsidP="003405E4">
      <w:pPr>
        <w:spacing w:line="276" w:lineRule="auto"/>
        <w:jc w:val="center"/>
        <w:rPr>
          <w:rFonts w:eastAsia="Times New Roman" w:cs="Times New Roman"/>
          <w:b/>
          <w:kern w:val="0"/>
          <w:lang w:eastAsia="en-US" w:bidi="ar-SA"/>
        </w:rPr>
      </w:pPr>
      <w:r w:rsidRPr="00865C64">
        <w:lastRenderedPageBreak/>
        <w:tab/>
      </w:r>
      <w:r w:rsidR="003405E4" w:rsidRPr="00865C64">
        <w:rPr>
          <w:rFonts w:eastAsia="Times New Roman" w:cs="Times New Roman"/>
          <w:b/>
          <w:kern w:val="0"/>
          <w:lang w:eastAsia="en-US" w:bidi="ar-SA"/>
        </w:rPr>
        <w:t xml:space="preserve">KURO </w:t>
      </w:r>
      <w:r w:rsidR="002522B1" w:rsidRPr="00865C64">
        <w:rPr>
          <w:rFonts w:eastAsia="Times New Roman" w:cs="Times New Roman"/>
          <w:b/>
          <w:kern w:val="0"/>
          <w:lang w:eastAsia="en-US" w:bidi="ar-SA"/>
        </w:rPr>
        <w:t xml:space="preserve">RINKOS </w:t>
      </w:r>
      <w:r w:rsidR="003405E4" w:rsidRPr="00865C64">
        <w:rPr>
          <w:rFonts w:eastAsia="Times New Roman" w:cs="Times New Roman"/>
          <w:b/>
          <w:kern w:val="0"/>
          <w:lang w:eastAsia="en-US" w:bidi="ar-SA"/>
        </w:rPr>
        <w:t>KAINŲ TYRIMAS</w:t>
      </w:r>
    </w:p>
    <w:p w14:paraId="428F1103" w14:textId="77777777" w:rsidR="003405E4" w:rsidRPr="00865C64" w:rsidRDefault="003405E4" w:rsidP="003405E4">
      <w:pPr>
        <w:widowControl/>
        <w:suppressAutoHyphens w:val="0"/>
        <w:rPr>
          <w:rFonts w:eastAsia="Times New Roman" w:cs="Times New Roman"/>
          <w:kern w:val="0"/>
          <w:lang w:eastAsia="en-US" w:bidi="ar-SA"/>
        </w:rPr>
      </w:pPr>
    </w:p>
    <w:p w14:paraId="058C69E6" w14:textId="4D1EFCFD" w:rsidR="003405E4" w:rsidRPr="00865C64" w:rsidRDefault="003405E4" w:rsidP="003405E4">
      <w:pPr>
        <w:widowControl/>
        <w:suppressAutoHyphens w:val="0"/>
        <w:spacing w:line="276" w:lineRule="auto"/>
        <w:jc w:val="center"/>
        <w:rPr>
          <w:rFonts w:eastAsia="Times New Roman" w:cs="Times New Roman"/>
          <w:b/>
          <w:kern w:val="0"/>
          <w:lang w:eastAsia="en-US" w:bidi="ar-SA"/>
        </w:rPr>
      </w:pPr>
      <w:r w:rsidRPr="00865C64">
        <w:rPr>
          <w:rFonts w:eastAsia="Times New Roman" w:cs="Times New Roman"/>
          <w:b/>
          <w:kern w:val="0"/>
          <w:lang w:eastAsia="en-US" w:bidi="ar-SA"/>
        </w:rPr>
        <w:t>202</w:t>
      </w:r>
      <w:r w:rsidR="00865C64" w:rsidRPr="00865C64">
        <w:rPr>
          <w:rFonts w:eastAsia="Times New Roman" w:cs="Times New Roman"/>
          <w:b/>
          <w:kern w:val="0"/>
          <w:lang w:eastAsia="en-US" w:bidi="ar-SA"/>
        </w:rPr>
        <w:t>5</w:t>
      </w:r>
      <w:r w:rsidRPr="00865C64">
        <w:rPr>
          <w:rFonts w:eastAsia="Times New Roman" w:cs="Times New Roman"/>
          <w:b/>
          <w:kern w:val="0"/>
          <w:lang w:eastAsia="en-US" w:bidi="ar-SA"/>
        </w:rPr>
        <w:t xml:space="preserve"> m. rugsėjo mėn.</w:t>
      </w:r>
    </w:p>
    <w:p w14:paraId="76C74CCE" w14:textId="77777777" w:rsidR="003405E4" w:rsidRPr="002C42CF" w:rsidRDefault="003405E4" w:rsidP="003405E4">
      <w:pPr>
        <w:widowControl/>
        <w:suppressAutoHyphens w:val="0"/>
        <w:rPr>
          <w:rFonts w:eastAsia="Times New Roman" w:cs="Times New Roman"/>
          <w:kern w:val="0"/>
          <w:highlight w:val="yellow"/>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008"/>
        <w:gridCol w:w="3081"/>
      </w:tblGrid>
      <w:tr w:rsidR="003405E4" w:rsidRPr="002C42CF" w14:paraId="168C81EF" w14:textId="77777777" w:rsidTr="00AE029E">
        <w:trPr>
          <w:trHeight w:val="377"/>
        </w:trPr>
        <w:tc>
          <w:tcPr>
            <w:tcW w:w="9628" w:type="dxa"/>
            <w:gridSpan w:val="3"/>
          </w:tcPr>
          <w:p w14:paraId="56DA7A23" w14:textId="77777777" w:rsidR="003405E4" w:rsidRPr="002C42CF" w:rsidRDefault="003405E4" w:rsidP="003405E4">
            <w:pPr>
              <w:widowControl/>
              <w:suppressAutoHyphens w:val="0"/>
              <w:jc w:val="center"/>
              <w:rPr>
                <w:rFonts w:eastAsia="Times New Roman" w:cs="Times New Roman"/>
                <w:b/>
                <w:kern w:val="0"/>
                <w:highlight w:val="yellow"/>
                <w:lang w:eastAsia="en-US" w:bidi="ar-SA"/>
              </w:rPr>
            </w:pPr>
            <w:r w:rsidRPr="0073580A">
              <w:rPr>
                <w:rFonts w:eastAsia="Times New Roman" w:cs="Times New Roman"/>
                <w:b/>
                <w:kern w:val="0"/>
                <w:lang w:eastAsia="en-US" w:bidi="ar-SA"/>
              </w:rPr>
              <w:t>Akmens anglis, Eur/kg</w:t>
            </w:r>
          </w:p>
        </w:tc>
      </w:tr>
      <w:tr w:rsidR="0073580A" w:rsidRPr="002C42CF" w14:paraId="649C688D" w14:textId="77777777" w:rsidTr="00B65523">
        <w:tc>
          <w:tcPr>
            <w:tcW w:w="3539" w:type="dxa"/>
            <w:tcBorders>
              <w:bottom w:val="single" w:sz="4" w:space="0" w:color="auto"/>
            </w:tcBorders>
          </w:tcPr>
          <w:p w14:paraId="196EF194" w14:textId="214E9CE5" w:rsidR="0073580A" w:rsidRPr="00AE029E" w:rsidRDefault="0073580A" w:rsidP="00091969">
            <w:pPr>
              <w:widowControl/>
              <w:suppressAutoHyphens w:val="0"/>
              <w:jc w:val="center"/>
              <w:rPr>
                <w:rFonts w:eastAsia="Times New Roman" w:cs="Times New Roman"/>
                <w:kern w:val="0"/>
                <w:highlight w:val="yellow"/>
                <w:lang w:eastAsia="en-US" w:bidi="ar-SA"/>
              </w:rPr>
            </w:pPr>
            <w:r w:rsidRPr="00AE029E">
              <w:rPr>
                <w:rFonts w:eastAsia="Times New Roman" w:cs="Times New Roman"/>
                <w:kern w:val="0"/>
                <w:lang w:eastAsia="en-US" w:bidi="ar-SA"/>
              </w:rPr>
              <w:t>„</w:t>
            </w:r>
            <w:r w:rsidR="00AE029E" w:rsidRPr="00AE029E">
              <w:rPr>
                <w:rFonts w:eastAsia="Times New Roman" w:cs="Times New Roman"/>
                <w:kern w:val="0"/>
                <w:lang w:eastAsia="en-US" w:bidi="ar-SA"/>
              </w:rPr>
              <w:t>UAB „</w:t>
            </w:r>
            <w:proofErr w:type="spellStart"/>
            <w:r w:rsidR="00AE029E" w:rsidRPr="00AE029E">
              <w:rPr>
                <w:rFonts w:eastAsia="Times New Roman" w:cs="Times New Roman"/>
                <w:kern w:val="0"/>
                <w:lang w:eastAsia="en-US" w:bidi="ar-SA"/>
              </w:rPr>
              <w:t>Viljosinda</w:t>
            </w:r>
            <w:proofErr w:type="spellEnd"/>
            <w:r w:rsidR="00AE029E" w:rsidRPr="00AE029E">
              <w:rPr>
                <w:rFonts w:eastAsia="Times New Roman" w:cs="Times New Roman"/>
                <w:kern w:val="0"/>
                <w:lang w:eastAsia="en-US" w:bidi="ar-SA"/>
              </w:rPr>
              <w:t>“</w:t>
            </w:r>
          </w:p>
        </w:tc>
        <w:tc>
          <w:tcPr>
            <w:tcW w:w="3008" w:type="dxa"/>
          </w:tcPr>
          <w:p w14:paraId="50366972" w14:textId="4A94AC39" w:rsidR="0073580A" w:rsidRPr="002C42CF" w:rsidRDefault="0073580A" w:rsidP="003405E4">
            <w:pPr>
              <w:widowControl/>
              <w:suppressAutoHyphens w:val="0"/>
              <w:jc w:val="center"/>
              <w:rPr>
                <w:rFonts w:eastAsia="Times New Roman" w:cs="Times New Roman"/>
                <w:kern w:val="0"/>
                <w:highlight w:val="yellow"/>
                <w:lang w:eastAsia="en-US" w:bidi="ar-SA"/>
              </w:rPr>
            </w:pPr>
            <w:r w:rsidRPr="00A5407E">
              <w:rPr>
                <w:rFonts w:eastAsia="Times New Roman" w:cs="Times New Roman"/>
                <w:kern w:val="0"/>
                <w:lang w:eastAsia="en-US" w:bidi="ar-SA"/>
              </w:rPr>
              <w:t>0,39</w:t>
            </w:r>
            <w:r w:rsidR="00AE029E">
              <w:rPr>
                <w:rFonts w:eastAsia="Times New Roman" w:cs="Times New Roman"/>
                <w:kern w:val="0"/>
                <w:lang w:eastAsia="en-US" w:bidi="ar-SA"/>
              </w:rPr>
              <w:t>0</w:t>
            </w:r>
          </w:p>
        </w:tc>
        <w:tc>
          <w:tcPr>
            <w:tcW w:w="3081" w:type="dxa"/>
            <w:vMerge w:val="restart"/>
          </w:tcPr>
          <w:p w14:paraId="16E5D29D" w14:textId="3A68D330" w:rsidR="00AE029E" w:rsidRPr="00AE029E" w:rsidRDefault="00AE029E" w:rsidP="003405E4">
            <w:pPr>
              <w:widowControl/>
              <w:suppressAutoHyphens w:val="0"/>
              <w:jc w:val="center"/>
              <w:rPr>
                <w:rFonts w:eastAsia="Times New Roman" w:cs="Times New Roman"/>
                <w:bCs/>
                <w:kern w:val="0"/>
                <w:lang w:eastAsia="en-US" w:bidi="ar-SA"/>
              </w:rPr>
            </w:pPr>
            <w:r w:rsidRPr="00AE029E">
              <w:rPr>
                <w:rFonts w:eastAsia="Times New Roman" w:cs="Times New Roman"/>
                <w:bCs/>
                <w:kern w:val="0"/>
                <w:lang w:eastAsia="en-US" w:bidi="ar-SA"/>
              </w:rPr>
              <w:t>Vidutinė kaina –</w:t>
            </w:r>
          </w:p>
          <w:p w14:paraId="52781A79" w14:textId="7C88605D" w:rsidR="0073580A" w:rsidRPr="002C42CF" w:rsidRDefault="00AE029E" w:rsidP="003405E4">
            <w:pPr>
              <w:widowControl/>
              <w:suppressAutoHyphens w:val="0"/>
              <w:jc w:val="center"/>
              <w:rPr>
                <w:rFonts w:eastAsia="Times New Roman" w:cs="Times New Roman"/>
                <w:b/>
                <w:kern w:val="0"/>
                <w:highlight w:val="yellow"/>
                <w:lang w:eastAsia="en-US" w:bidi="ar-SA"/>
              </w:rPr>
            </w:pPr>
            <w:r w:rsidRPr="00AE029E">
              <w:rPr>
                <w:rFonts w:eastAsia="Times New Roman" w:cs="Times New Roman"/>
                <w:b/>
                <w:kern w:val="0"/>
                <w:lang w:eastAsia="en-US" w:bidi="ar-SA"/>
              </w:rPr>
              <w:t>0,36</w:t>
            </w:r>
          </w:p>
        </w:tc>
      </w:tr>
      <w:tr w:rsidR="0073580A" w:rsidRPr="002C42CF" w14:paraId="28C3BBAF" w14:textId="77777777" w:rsidTr="00B65523">
        <w:tc>
          <w:tcPr>
            <w:tcW w:w="3539" w:type="dxa"/>
            <w:tcBorders>
              <w:top w:val="single" w:sz="4" w:space="0" w:color="auto"/>
            </w:tcBorders>
          </w:tcPr>
          <w:p w14:paraId="28F3CFAA" w14:textId="3863434A" w:rsidR="0073580A" w:rsidRPr="0014360E" w:rsidRDefault="0073580A" w:rsidP="003405E4">
            <w:pPr>
              <w:widowControl/>
              <w:suppressAutoHyphens w:val="0"/>
              <w:jc w:val="center"/>
              <w:rPr>
                <w:rFonts w:eastAsia="Times New Roman" w:cs="Times New Roman"/>
                <w:kern w:val="0"/>
                <w:lang w:eastAsia="en-US" w:bidi="ar-SA"/>
              </w:rPr>
            </w:pPr>
            <w:r w:rsidRPr="0014360E">
              <w:rPr>
                <w:rFonts w:eastAsia="Times New Roman" w:cs="Times New Roman"/>
                <w:kern w:val="0"/>
                <w:lang w:eastAsia="en-US" w:bidi="ar-SA"/>
              </w:rPr>
              <w:t>UAB „Biokuro bazė“</w:t>
            </w:r>
          </w:p>
        </w:tc>
        <w:tc>
          <w:tcPr>
            <w:tcW w:w="3008" w:type="dxa"/>
          </w:tcPr>
          <w:p w14:paraId="2C72791C" w14:textId="4E2B284F" w:rsidR="0073580A" w:rsidRPr="0014360E" w:rsidRDefault="0073580A" w:rsidP="003405E4">
            <w:pPr>
              <w:widowControl/>
              <w:suppressAutoHyphens w:val="0"/>
              <w:jc w:val="center"/>
              <w:rPr>
                <w:rFonts w:eastAsia="Times New Roman" w:cs="Times New Roman"/>
                <w:kern w:val="0"/>
                <w:lang w:eastAsia="en-US" w:bidi="ar-SA"/>
              </w:rPr>
            </w:pPr>
            <w:r w:rsidRPr="0014360E">
              <w:rPr>
                <w:rFonts w:eastAsia="Times New Roman" w:cs="Times New Roman"/>
                <w:kern w:val="0"/>
                <w:lang w:eastAsia="en-US" w:bidi="ar-SA"/>
              </w:rPr>
              <w:t>0,3</w:t>
            </w:r>
            <w:r>
              <w:rPr>
                <w:rFonts w:eastAsia="Times New Roman" w:cs="Times New Roman"/>
                <w:kern w:val="0"/>
                <w:lang w:eastAsia="en-US" w:bidi="ar-SA"/>
              </w:rPr>
              <w:t>55</w:t>
            </w:r>
          </w:p>
        </w:tc>
        <w:tc>
          <w:tcPr>
            <w:tcW w:w="3081" w:type="dxa"/>
            <w:vMerge/>
          </w:tcPr>
          <w:p w14:paraId="3E9D0488" w14:textId="77777777" w:rsidR="0073580A" w:rsidRPr="002C42CF" w:rsidRDefault="0073580A" w:rsidP="003405E4">
            <w:pPr>
              <w:widowControl/>
              <w:suppressAutoHyphens w:val="0"/>
              <w:jc w:val="center"/>
              <w:rPr>
                <w:rFonts w:eastAsia="Times New Roman" w:cs="Times New Roman"/>
                <w:b/>
                <w:kern w:val="0"/>
                <w:highlight w:val="yellow"/>
                <w:lang w:eastAsia="en-US" w:bidi="ar-SA"/>
              </w:rPr>
            </w:pPr>
          </w:p>
        </w:tc>
      </w:tr>
      <w:tr w:rsidR="0073580A" w:rsidRPr="002C42CF" w14:paraId="0F41C0FC" w14:textId="77777777" w:rsidTr="00B65523">
        <w:tc>
          <w:tcPr>
            <w:tcW w:w="3539" w:type="dxa"/>
            <w:tcBorders>
              <w:top w:val="single" w:sz="4" w:space="0" w:color="auto"/>
            </w:tcBorders>
          </w:tcPr>
          <w:p w14:paraId="558AD8C6" w14:textId="24899AAB" w:rsidR="0073580A" w:rsidRPr="0014360E" w:rsidRDefault="0073580A" w:rsidP="003405E4">
            <w:pPr>
              <w:widowControl/>
              <w:suppressAutoHyphens w:val="0"/>
              <w:jc w:val="center"/>
              <w:rPr>
                <w:rFonts w:eastAsia="Times New Roman" w:cs="Times New Roman"/>
                <w:kern w:val="0"/>
                <w:lang w:eastAsia="en-US" w:bidi="ar-SA"/>
              </w:rPr>
            </w:pPr>
            <w:r>
              <w:rPr>
                <w:rFonts w:eastAsia="Times New Roman" w:cs="Times New Roman"/>
                <w:kern w:val="0"/>
                <w:lang w:eastAsia="en-US" w:bidi="ar-SA"/>
              </w:rPr>
              <w:t>„</w:t>
            </w:r>
            <w:proofErr w:type="spellStart"/>
            <w:r>
              <w:rPr>
                <w:rFonts w:eastAsia="Times New Roman" w:cs="Times New Roman"/>
                <w:kern w:val="0"/>
                <w:lang w:eastAsia="en-US" w:bidi="ar-SA"/>
              </w:rPr>
              <w:t>Skelbiu.lt</w:t>
            </w:r>
            <w:proofErr w:type="spellEnd"/>
            <w:r>
              <w:rPr>
                <w:rFonts w:eastAsia="Times New Roman" w:cs="Times New Roman"/>
                <w:kern w:val="0"/>
                <w:lang w:eastAsia="en-US" w:bidi="ar-SA"/>
              </w:rPr>
              <w:t>“</w:t>
            </w:r>
          </w:p>
        </w:tc>
        <w:tc>
          <w:tcPr>
            <w:tcW w:w="3008" w:type="dxa"/>
          </w:tcPr>
          <w:p w14:paraId="4AAB0FFA" w14:textId="02AD429D" w:rsidR="0073580A" w:rsidRPr="0014360E" w:rsidRDefault="0073580A" w:rsidP="003405E4">
            <w:pPr>
              <w:widowControl/>
              <w:suppressAutoHyphens w:val="0"/>
              <w:jc w:val="center"/>
              <w:rPr>
                <w:rFonts w:eastAsia="Times New Roman" w:cs="Times New Roman"/>
                <w:kern w:val="0"/>
                <w:lang w:eastAsia="en-US" w:bidi="ar-SA"/>
              </w:rPr>
            </w:pPr>
            <w:r>
              <w:rPr>
                <w:rFonts w:eastAsia="Times New Roman" w:cs="Times New Roman"/>
                <w:kern w:val="0"/>
                <w:lang w:eastAsia="en-US" w:bidi="ar-SA"/>
              </w:rPr>
              <w:t>0,330</w:t>
            </w:r>
          </w:p>
        </w:tc>
        <w:tc>
          <w:tcPr>
            <w:tcW w:w="3081" w:type="dxa"/>
            <w:vMerge/>
          </w:tcPr>
          <w:p w14:paraId="1F90C0D0" w14:textId="77777777" w:rsidR="0073580A" w:rsidRPr="002C42CF" w:rsidRDefault="0073580A" w:rsidP="003405E4">
            <w:pPr>
              <w:widowControl/>
              <w:suppressAutoHyphens w:val="0"/>
              <w:jc w:val="center"/>
              <w:rPr>
                <w:rFonts w:eastAsia="Times New Roman" w:cs="Times New Roman"/>
                <w:b/>
                <w:kern w:val="0"/>
                <w:highlight w:val="yellow"/>
                <w:lang w:eastAsia="en-US" w:bidi="ar-SA"/>
              </w:rPr>
            </w:pPr>
          </w:p>
        </w:tc>
      </w:tr>
      <w:tr w:rsidR="003405E4" w:rsidRPr="002C42CF" w14:paraId="4C845230" w14:textId="77777777" w:rsidTr="007B4445">
        <w:tc>
          <w:tcPr>
            <w:tcW w:w="9628" w:type="dxa"/>
            <w:gridSpan w:val="3"/>
          </w:tcPr>
          <w:p w14:paraId="78040016" w14:textId="77777777" w:rsidR="003405E4" w:rsidRPr="00B65523" w:rsidRDefault="003405E4" w:rsidP="003405E4">
            <w:pPr>
              <w:widowControl/>
              <w:suppressAutoHyphens w:val="0"/>
              <w:jc w:val="center"/>
              <w:rPr>
                <w:rFonts w:eastAsia="Times New Roman" w:cs="Times New Roman"/>
                <w:b/>
                <w:kern w:val="0"/>
                <w:lang w:eastAsia="en-US" w:bidi="ar-SA"/>
              </w:rPr>
            </w:pPr>
            <w:r w:rsidRPr="00B65523">
              <w:rPr>
                <w:rFonts w:eastAsia="Times New Roman" w:cs="Times New Roman"/>
                <w:b/>
                <w:kern w:val="0"/>
                <w:lang w:eastAsia="en-US" w:bidi="ar-SA"/>
              </w:rPr>
              <w:t>Medienos granulės, Eur/kg</w:t>
            </w:r>
          </w:p>
        </w:tc>
      </w:tr>
      <w:tr w:rsidR="003405E4" w:rsidRPr="002C42CF" w14:paraId="7E5CF72D" w14:textId="77777777" w:rsidTr="00B65523">
        <w:tc>
          <w:tcPr>
            <w:tcW w:w="3539" w:type="dxa"/>
          </w:tcPr>
          <w:p w14:paraId="0B51E191" w14:textId="410267F5" w:rsidR="003405E4" w:rsidRPr="00B65523" w:rsidRDefault="001C7EBB" w:rsidP="009D5952">
            <w:pPr>
              <w:widowControl/>
              <w:suppressAutoHyphens w:val="0"/>
              <w:jc w:val="center"/>
              <w:rPr>
                <w:rFonts w:eastAsia="Times New Roman" w:cs="Times New Roman"/>
                <w:kern w:val="0"/>
                <w:lang w:eastAsia="en-US" w:bidi="ar-SA"/>
              </w:rPr>
            </w:pPr>
            <w:r w:rsidRPr="001C7EBB">
              <w:rPr>
                <w:rFonts w:eastAsia="Times New Roman" w:cs="Times New Roman"/>
                <w:kern w:val="0"/>
                <w:lang w:eastAsia="en-US" w:bidi="ar-SA"/>
              </w:rPr>
              <w:t>„</w:t>
            </w:r>
            <w:proofErr w:type="spellStart"/>
            <w:r w:rsidRPr="001C7EBB">
              <w:rPr>
                <w:rFonts w:eastAsia="Times New Roman" w:cs="Times New Roman"/>
                <w:kern w:val="0"/>
                <w:lang w:eastAsia="en-US" w:bidi="ar-SA"/>
              </w:rPr>
              <w:t>Biosiluma.lt</w:t>
            </w:r>
            <w:proofErr w:type="spellEnd"/>
            <w:r w:rsidRPr="001C7EBB">
              <w:rPr>
                <w:rFonts w:eastAsia="Times New Roman" w:cs="Times New Roman"/>
                <w:kern w:val="0"/>
                <w:lang w:eastAsia="en-US" w:bidi="ar-SA"/>
              </w:rPr>
              <w:t>“</w:t>
            </w:r>
          </w:p>
        </w:tc>
        <w:tc>
          <w:tcPr>
            <w:tcW w:w="3008" w:type="dxa"/>
          </w:tcPr>
          <w:p w14:paraId="5F474141" w14:textId="260E18FD" w:rsidR="003405E4" w:rsidRPr="00B65523" w:rsidRDefault="003405E4" w:rsidP="003405E4">
            <w:pPr>
              <w:widowControl/>
              <w:suppressAutoHyphens w:val="0"/>
              <w:jc w:val="center"/>
              <w:rPr>
                <w:rFonts w:eastAsia="Times New Roman" w:cs="Times New Roman"/>
                <w:kern w:val="0"/>
                <w:lang w:eastAsia="en-US" w:bidi="ar-SA"/>
              </w:rPr>
            </w:pPr>
            <w:r w:rsidRPr="00B65523">
              <w:rPr>
                <w:rFonts w:eastAsia="Times New Roman" w:cs="Times New Roman"/>
                <w:kern w:val="0"/>
                <w:lang w:eastAsia="en-US" w:bidi="ar-SA"/>
              </w:rPr>
              <w:t>0,2</w:t>
            </w:r>
            <w:r w:rsidR="002F2B81">
              <w:rPr>
                <w:rFonts w:eastAsia="Times New Roman" w:cs="Times New Roman"/>
                <w:kern w:val="0"/>
                <w:lang w:eastAsia="en-US" w:bidi="ar-SA"/>
              </w:rPr>
              <w:t>36</w:t>
            </w:r>
          </w:p>
        </w:tc>
        <w:tc>
          <w:tcPr>
            <w:tcW w:w="3081" w:type="dxa"/>
            <w:vMerge w:val="restart"/>
          </w:tcPr>
          <w:p w14:paraId="4B9F42B0" w14:textId="77777777" w:rsidR="003405E4" w:rsidRPr="00B65523" w:rsidRDefault="003405E4" w:rsidP="003405E4">
            <w:pPr>
              <w:widowControl/>
              <w:suppressAutoHyphens w:val="0"/>
              <w:jc w:val="center"/>
              <w:rPr>
                <w:rFonts w:eastAsia="Times New Roman" w:cs="Times New Roman"/>
                <w:kern w:val="0"/>
                <w:lang w:eastAsia="en-US" w:bidi="ar-SA"/>
              </w:rPr>
            </w:pPr>
            <w:r w:rsidRPr="00B65523">
              <w:rPr>
                <w:rFonts w:eastAsia="Times New Roman" w:cs="Times New Roman"/>
                <w:kern w:val="0"/>
                <w:lang w:eastAsia="en-US" w:bidi="ar-SA"/>
              </w:rPr>
              <w:t xml:space="preserve">Vidutinė kaina – </w:t>
            </w:r>
          </w:p>
          <w:p w14:paraId="37CE3F3E" w14:textId="12288491" w:rsidR="003405E4" w:rsidRPr="00B65523" w:rsidRDefault="003405E4" w:rsidP="003405E4">
            <w:pPr>
              <w:widowControl/>
              <w:suppressAutoHyphens w:val="0"/>
              <w:jc w:val="center"/>
              <w:rPr>
                <w:rFonts w:eastAsia="Times New Roman" w:cs="Times New Roman"/>
                <w:b/>
                <w:kern w:val="0"/>
                <w:lang w:eastAsia="en-US" w:bidi="ar-SA"/>
              </w:rPr>
            </w:pPr>
            <w:r w:rsidRPr="00B65523">
              <w:rPr>
                <w:rFonts w:eastAsia="Times New Roman" w:cs="Times New Roman"/>
                <w:b/>
                <w:kern w:val="0"/>
                <w:lang w:eastAsia="en-US" w:bidi="ar-SA"/>
              </w:rPr>
              <w:t>0,2</w:t>
            </w:r>
            <w:r w:rsidR="00AE029E">
              <w:rPr>
                <w:rFonts w:eastAsia="Times New Roman" w:cs="Times New Roman"/>
                <w:b/>
                <w:kern w:val="0"/>
                <w:lang w:eastAsia="en-US" w:bidi="ar-SA"/>
              </w:rPr>
              <w:t>3</w:t>
            </w:r>
          </w:p>
        </w:tc>
      </w:tr>
      <w:tr w:rsidR="003405E4" w:rsidRPr="002C42CF" w14:paraId="4F34D8DA" w14:textId="77777777" w:rsidTr="00B65523">
        <w:tc>
          <w:tcPr>
            <w:tcW w:w="3539" w:type="dxa"/>
          </w:tcPr>
          <w:p w14:paraId="4F836864" w14:textId="7C585FD8" w:rsidR="003405E4" w:rsidRPr="00BD37BF" w:rsidRDefault="00DF6388" w:rsidP="003405E4">
            <w:pPr>
              <w:widowControl/>
              <w:suppressAutoHyphens w:val="0"/>
              <w:jc w:val="center"/>
              <w:rPr>
                <w:rFonts w:eastAsia="Times New Roman" w:cs="Times New Roman"/>
                <w:kern w:val="0"/>
                <w:lang w:eastAsia="en-US" w:bidi="ar-SA"/>
              </w:rPr>
            </w:pPr>
            <w:r w:rsidRPr="00BD37BF">
              <w:rPr>
                <w:rFonts w:eastAsia="Times New Roman" w:cs="Times New Roman"/>
                <w:kern w:val="0"/>
                <w:lang w:eastAsia="en-US" w:bidi="ar-SA"/>
              </w:rPr>
              <w:t xml:space="preserve">UAB </w:t>
            </w:r>
            <w:r w:rsidR="008F18DD" w:rsidRPr="00BD37BF">
              <w:rPr>
                <w:rFonts w:eastAsia="Times New Roman" w:cs="Times New Roman"/>
                <w:kern w:val="0"/>
                <w:lang w:eastAsia="en-US" w:bidi="ar-SA"/>
              </w:rPr>
              <w:t>„</w:t>
            </w:r>
            <w:r w:rsidRPr="00BD37BF">
              <w:rPr>
                <w:rFonts w:eastAsia="Times New Roman" w:cs="Times New Roman"/>
                <w:kern w:val="0"/>
                <w:lang w:eastAsia="en-US" w:bidi="ar-SA"/>
              </w:rPr>
              <w:t>Biokuro bazė</w:t>
            </w:r>
            <w:r w:rsidR="008F18DD" w:rsidRPr="00BD37BF">
              <w:rPr>
                <w:rFonts w:eastAsia="Times New Roman" w:cs="Times New Roman"/>
                <w:kern w:val="0"/>
                <w:lang w:eastAsia="en-US" w:bidi="ar-SA"/>
              </w:rPr>
              <w:t>“</w:t>
            </w:r>
          </w:p>
        </w:tc>
        <w:tc>
          <w:tcPr>
            <w:tcW w:w="3008" w:type="dxa"/>
          </w:tcPr>
          <w:p w14:paraId="7F48A5A8" w14:textId="270ACF1B" w:rsidR="003405E4" w:rsidRPr="00BD37BF" w:rsidRDefault="003405E4" w:rsidP="003405E4">
            <w:pPr>
              <w:widowControl/>
              <w:suppressAutoHyphens w:val="0"/>
              <w:jc w:val="center"/>
              <w:rPr>
                <w:rFonts w:eastAsia="Times New Roman" w:cs="Times New Roman"/>
                <w:kern w:val="0"/>
                <w:lang w:eastAsia="en-US" w:bidi="ar-SA"/>
              </w:rPr>
            </w:pPr>
            <w:r w:rsidRPr="00BD37BF">
              <w:rPr>
                <w:rFonts w:eastAsia="Times New Roman" w:cs="Times New Roman"/>
                <w:kern w:val="0"/>
                <w:lang w:eastAsia="en-US" w:bidi="ar-SA"/>
              </w:rPr>
              <w:t>0,2</w:t>
            </w:r>
            <w:r w:rsidR="00BD37BF">
              <w:rPr>
                <w:rFonts w:eastAsia="Times New Roman" w:cs="Times New Roman"/>
                <w:kern w:val="0"/>
                <w:lang w:eastAsia="en-US" w:bidi="ar-SA"/>
              </w:rPr>
              <w:t>31</w:t>
            </w:r>
          </w:p>
        </w:tc>
        <w:tc>
          <w:tcPr>
            <w:tcW w:w="3081" w:type="dxa"/>
            <w:vMerge/>
          </w:tcPr>
          <w:p w14:paraId="21081C5D" w14:textId="77777777" w:rsidR="003405E4" w:rsidRPr="002C42CF" w:rsidRDefault="003405E4" w:rsidP="003405E4">
            <w:pPr>
              <w:widowControl/>
              <w:suppressAutoHyphens w:val="0"/>
              <w:jc w:val="center"/>
              <w:rPr>
                <w:rFonts w:eastAsia="Times New Roman" w:cs="Times New Roman"/>
                <w:b/>
                <w:kern w:val="0"/>
                <w:highlight w:val="yellow"/>
                <w:lang w:eastAsia="en-US" w:bidi="ar-SA"/>
              </w:rPr>
            </w:pPr>
          </w:p>
        </w:tc>
      </w:tr>
      <w:tr w:rsidR="003405E4" w:rsidRPr="002C42CF" w14:paraId="2C2128A1" w14:textId="77777777" w:rsidTr="00B65523">
        <w:tc>
          <w:tcPr>
            <w:tcW w:w="3539" w:type="dxa"/>
          </w:tcPr>
          <w:p w14:paraId="396FFE75" w14:textId="2A06A487" w:rsidR="003405E4" w:rsidRPr="00AE029E" w:rsidRDefault="00AE029E" w:rsidP="009D5952">
            <w:pPr>
              <w:widowControl/>
              <w:suppressAutoHyphens w:val="0"/>
              <w:jc w:val="center"/>
              <w:rPr>
                <w:rFonts w:eastAsia="Times New Roman" w:cs="Times New Roman"/>
                <w:kern w:val="0"/>
                <w:lang w:eastAsia="en-US" w:bidi="ar-SA"/>
              </w:rPr>
            </w:pPr>
            <w:r w:rsidRPr="00AE029E">
              <w:rPr>
                <w:rFonts w:eastAsia="Times New Roman" w:cs="Times New Roman"/>
                <w:kern w:val="0"/>
                <w:lang w:eastAsia="en-US" w:bidi="ar-SA"/>
              </w:rPr>
              <w:t>UAB „</w:t>
            </w:r>
            <w:proofErr w:type="spellStart"/>
            <w:r w:rsidRPr="00AE029E">
              <w:rPr>
                <w:rFonts w:eastAsia="Times New Roman" w:cs="Times New Roman"/>
                <w:kern w:val="0"/>
                <w:lang w:eastAsia="en-US" w:bidi="ar-SA"/>
              </w:rPr>
              <w:t>Viljosinda</w:t>
            </w:r>
            <w:proofErr w:type="spellEnd"/>
            <w:r w:rsidRPr="00AE029E">
              <w:rPr>
                <w:rFonts w:eastAsia="Times New Roman" w:cs="Times New Roman"/>
                <w:kern w:val="0"/>
                <w:lang w:eastAsia="en-US" w:bidi="ar-SA"/>
              </w:rPr>
              <w:t>“</w:t>
            </w:r>
          </w:p>
        </w:tc>
        <w:tc>
          <w:tcPr>
            <w:tcW w:w="3008" w:type="dxa"/>
          </w:tcPr>
          <w:p w14:paraId="1881B17D" w14:textId="614D4E7A" w:rsidR="003405E4" w:rsidRPr="00BD37BF" w:rsidRDefault="003405E4" w:rsidP="003405E4">
            <w:pPr>
              <w:widowControl/>
              <w:suppressAutoHyphens w:val="0"/>
              <w:jc w:val="center"/>
              <w:rPr>
                <w:rFonts w:eastAsia="Times New Roman" w:cs="Times New Roman"/>
                <w:kern w:val="0"/>
                <w:lang w:eastAsia="en-US" w:bidi="ar-SA"/>
              </w:rPr>
            </w:pPr>
            <w:r w:rsidRPr="00BD37BF">
              <w:rPr>
                <w:rFonts w:eastAsia="Times New Roman" w:cs="Times New Roman"/>
                <w:kern w:val="0"/>
                <w:lang w:eastAsia="en-US" w:bidi="ar-SA"/>
              </w:rPr>
              <w:t>0,2</w:t>
            </w:r>
            <w:r w:rsidR="00AE029E">
              <w:rPr>
                <w:rFonts w:eastAsia="Times New Roman" w:cs="Times New Roman"/>
                <w:kern w:val="0"/>
                <w:lang w:eastAsia="en-US" w:bidi="ar-SA"/>
              </w:rPr>
              <w:t>29</w:t>
            </w:r>
          </w:p>
        </w:tc>
        <w:tc>
          <w:tcPr>
            <w:tcW w:w="3081" w:type="dxa"/>
            <w:vMerge/>
          </w:tcPr>
          <w:p w14:paraId="4282B9DD" w14:textId="77777777" w:rsidR="003405E4" w:rsidRPr="002C42CF" w:rsidRDefault="003405E4" w:rsidP="003405E4">
            <w:pPr>
              <w:widowControl/>
              <w:suppressAutoHyphens w:val="0"/>
              <w:jc w:val="center"/>
              <w:rPr>
                <w:rFonts w:eastAsia="Times New Roman" w:cs="Times New Roman"/>
                <w:b/>
                <w:kern w:val="0"/>
                <w:highlight w:val="yellow"/>
                <w:lang w:eastAsia="en-US" w:bidi="ar-SA"/>
              </w:rPr>
            </w:pPr>
          </w:p>
        </w:tc>
      </w:tr>
      <w:tr w:rsidR="003405E4" w:rsidRPr="002C42CF" w14:paraId="6C90C98F" w14:textId="77777777" w:rsidTr="007B4445">
        <w:tc>
          <w:tcPr>
            <w:tcW w:w="9628" w:type="dxa"/>
            <w:gridSpan w:val="3"/>
          </w:tcPr>
          <w:p w14:paraId="0F207E0F" w14:textId="2FCC6432" w:rsidR="003405E4" w:rsidRPr="00A82EF0" w:rsidRDefault="003405E4" w:rsidP="003405E4">
            <w:pPr>
              <w:widowControl/>
              <w:suppressAutoHyphens w:val="0"/>
              <w:jc w:val="center"/>
              <w:rPr>
                <w:rFonts w:eastAsia="Times New Roman" w:cs="Times New Roman"/>
                <w:b/>
                <w:kern w:val="0"/>
                <w:lang w:eastAsia="en-US" w:bidi="ar-SA"/>
              </w:rPr>
            </w:pPr>
            <w:r w:rsidRPr="00A82EF0">
              <w:rPr>
                <w:rFonts w:eastAsia="Times New Roman" w:cs="Times New Roman"/>
                <w:b/>
                <w:kern w:val="0"/>
                <w:lang w:eastAsia="en-US" w:bidi="ar-SA"/>
              </w:rPr>
              <w:t>M</w:t>
            </w:r>
            <w:r w:rsidR="00A82EF0" w:rsidRPr="00A82EF0">
              <w:rPr>
                <w:rFonts w:eastAsia="Times New Roman" w:cs="Times New Roman"/>
                <w:b/>
                <w:kern w:val="0"/>
                <w:lang w:eastAsia="en-US" w:bidi="ar-SA"/>
              </w:rPr>
              <w:t>išrūs m</w:t>
            </w:r>
            <w:r w:rsidRPr="00A82EF0">
              <w:rPr>
                <w:rFonts w:eastAsia="Times New Roman" w:cs="Times New Roman"/>
                <w:b/>
                <w:kern w:val="0"/>
                <w:lang w:eastAsia="en-US" w:bidi="ar-SA"/>
              </w:rPr>
              <w:t>edžio pjuvenų briketai, Eur/kg</w:t>
            </w:r>
          </w:p>
        </w:tc>
      </w:tr>
      <w:tr w:rsidR="003405E4" w:rsidRPr="002C42CF" w14:paraId="4DE939A5" w14:textId="77777777" w:rsidTr="00B65523">
        <w:tc>
          <w:tcPr>
            <w:tcW w:w="3539" w:type="dxa"/>
          </w:tcPr>
          <w:p w14:paraId="09915110" w14:textId="4FFBF3A4" w:rsidR="003405E4" w:rsidRPr="00A82EF0" w:rsidRDefault="003405E4" w:rsidP="003405E4">
            <w:pPr>
              <w:widowControl/>
              <w:suppressAutoHyphens w:val="0"/>
              <w:jc w:val="center"/>
              <w:rPr>
                <w:rFonts w:eastAsia="Times New Roman" w:cs="Times New Roman"/>
                <w:kern w:val="0"/>
                <w:lang w:eastAsia="en-US" w:bidi="ar-SA"/>
              </w:rPr>
            </w:pPr>
            <w:r w:rsidRPr="00A82EF0">
              <w:rPr>
                <w:rFonts w:eastAsia="Times New Roman" w:cs="Times New Roman"/>
                <w:kern w:val="0"/>
                <w:lang w:eastAsia="en-US" w:bidi="ar-SA"/>
              </w:rPr>
              <w:t xml:space="preserve">UAB </w:t>
            </w:r>
            <w:r w:rsidR="008F18DD" w:rsidRPr="00A82EF0">
              <w:rPr>
                <w:rFonts w:eastAsia="Times New Roman" w:cs="Times New Roman"/>
                <w:kern w:val="0"/>
                <w:lang w:eastAsia="en-US" w:bidi="ar-SA"/>
              </w:rPr>
              <w:t>„</w:t>
            </w:r>
            <w:r w:rsidRPr="00A82EF0">
              <w:rPr>
                <w:rFonts w:eastAsia="Times New Roman" w:cs="Times New Roman"/>
                <w:kern w:val="0"/>
                <w:lang w:eastAsia="en-US" w:bidi="ar-SA"/>
              </w:rPr>
              <w:t>Biokuro bazė</w:t>
            </w:r>
            <w:r w:rsidR="008F18DD" w:rsidRPr="00A82EF0">
              <w:rPr>
                <w:rFonts w:eastAsia="Times New Roman" w:cs="Times New Roman"/>
                <w:kern w:val="0"/>
                <w:lang w:eastAsia="en-US" w:bidi="ar-SA"/>
              </w:rPr>
              <w:t>“</w:t>
            </w:r>
          </w:p>
        </w:tc>
        <w:tc>
          <w:tcPr>
            <w:tcW w:w="3008" w:type="dxa"/>
          </w:tcPr>
          <w:p w14:paraId="26DF8BAF" w14:textId="6D2E7993" w:rsidR="003405E4" w:rsidRPr="00A82EF0" w:rsidRDefault="003405E4" w:rsidP="003405E4">
            <w:pPr>
              <w:widowControl/>
              <w:suppressAutoHyphens w:val="0"/>
              <w:jc w:val="center"/>
              <w:rPr>
                <w:rFonts w:eastAsia="Times New Roman" w:cs="Times New Roman"/>
                <w:kern w:val="0"/>
                <w:lang w:eastAsia="en-US" w:bidi="ar-SA"/>
              </w:rPr>
            </w:pPr>
            <w:r w:rsidRPr="00A82EF0">
              <w:rPr>
                <w:rFonts w:eastAsia="Times New Roman" w:cs="Times New Roman"/>
                <w:kern w:val="0"/>
                <w:lang w:eastAsia="en-US" w:bidi="ar-SA"/>
              </w:rPr>
              <w:t>0,</w:t>
            </w:r>
            <w:r w:rsidR="00A82EF0" w:rsidRPr="00A82EF0">
              <w:rPr>
                <w:rFonts w:eastAsia="Times New Roman" w:cs="Times New Roman"/>
                <w:kern w:val="0"/>
                <w:lang w:eastAsia="en-US" w:bidi="ar-SA"/>
              </w:rPr>
              <w:t>198</w:t>
            </w:r>
          </w:p>
        </w:tc>
        <w:tc>
          <w:tcPr>
            <w:tcW w:w="3081" w:type="dxa"/>
            <w:vMerge w:val="restart"/>
          </w:tcPr>
          <w:p w14:paraId="68FE8D3E" w14:textId="77777777" w:rsidR="003405E4" w:rsidRPr="009A1BF0" w:rsidRDefault="003405E4" w:rsidP="003405E4">
            <w:pPr>
              <w:widowControl/>
              <w:suppressAutoHyphens w:val="0"/>
              <w:jc w:val="center"/>
              <w:rPr>
                <w:rFonts w:eastAsia="Times New Roman" w:cs="Times New Roman"/>
                <w:kern w:val="0"/>
                <w:lang w:eastAsia="en-US" w:bidi="ar-SA"/>
              </w:rPr>
            </w:pPr>
            <w:r w:rsidRPr="009A1BF0">
              <w:rPr>
                <w:rFonts w:eastAsia="Times New Roman" w:cs="Times New Roman"/>
                <w:kern w:val="0"/>
                <w:lang w:eastAsia="en-US" w:bidi="ar-SA"/>
              </w:rPr>
              <w:t xml:space="preserve">Vidutinė kaina – </w:t>
            </w:r>
          </w:p>
          <w:p w14:paraId="087D671B" w14:textId="328E4E0D" w:rsidR="003405E4" w:rsidRPr="002C42CF" w:rsidRDefault="003405E4" w:rsidP="003405E4">
            <w:pPr>
              <w:widowControl/>
              <w:suppressAutoHyphens w:val="0"/>
              <w:jc w:val="center"/>
              <w:rPr>
                <w:rFonts w:eastAsia="Times New Roman" w:cs="Times New Roman"/>
                <w:b/>
                <w:kern w:val="0"/>
                <w:highlight w:val="yellow"/>
                <w:lang w:eastAsia="en-US" w:bidi="ar-SA"/>
              </w:rPr>
            </w:pPr>
            <w:r w:rsidRPr="009A1BF0">
              <w:rPr>
                <w:rFonts w:eastAsia="Times New Roman" w:cs="Times New Roman"/>
                <w:b/>
                <w:kern w:val="0"/>
                <w:lang w:eastAsia="en-US" w:bidi="ar-SA"/>
              </w:rPr>
              <w:t>0,2</w:t>
            </w:r>
            <w:r w:rsidR="005865A2" w:rsidRPr="009A1BF0">
              <w:rPr>
                <w:rFonts w:eastAsia="Times New Roman" w:cs="Times New Roman"/>
                <w:b/>
                <w:kern w:val="0"/>
                <w:lang w:eastAsia="en-US" w:bidi="ar-SA"/>
              </w:rPr>
              <w:t>1</w:t>
            </w:r>
          </w:p>
        </w:tc>
      </w:tr>
      <w:tr w:rsidR="003405E4" w:rsidRPr="002C42CF" w14:paraId="201FAA04" w14:textId="77777777" w:rsidTr="00B65523">
        <w:tc>
          <w:tcPr>
            <w:tcW w:w="3539" w:type="dxa"/>
          </w:tcPr>
          <w:p w14:paraId="075549AF" w14:textId="636C1325" w:rsidR="003405E4" w:rsidRPr="002C42CF" w:rsidRDefault="001C7EBB" w:rsidP="003405E4">
            <w:pPr>
              <w:widowControl/>
              <w:suppressAutoHyphens w:val="0"/>
              <w:jc w:val="center"/>
              <w:rPr>
                <w:rFonts w:eastAsia="Times New Roman" w:cs="Times New Roman"/>
                <w:kern w:val="0"/>
                <w:highlight w:val="yellow"/>
                <w:lang w:eastAsia="en-US" w:bidi="ar-SA"/>
              </w:rPr>
            </w:pPr>
            <w:r w:rsidRPr="001C7EBB">
              <w:rPr>
                <w:rFonts w:eastAsia="Times New Roman" w:cs="Times New Roman"/>
                <w:kern w:val="0"/>
                <w:lang w:eastAsia="en-US" w:bidi="ar-SA"/>
              </w:rPr>
              <w:t>„</w:t>
            </w:r>
            <w:proofErr w:type="spellStart"/>
            <w:r w:rsidRPr="001C7EBB">
              <w:rPr>
                <w:rFonts w:eastAsia="Times New Roman" w:cs="Times New Roman"/>
                <w:kern w:val="0"/>
                <w:lang w:eastAsia="en-US" w:bidi="ar-SA"/>
              </w:rPr>
              <w:t>Biosiluma.lt</w:t>
            </w:r>
            <w:proofErr w:type="spellEnd"/>
            <w:r w:rsidRPr="001C7EBB">
              <w:rPr>
                <w:rFonts w:eastAsia="Times New Roman" w:cs="Times New Roman"/>
                <w:kern w:val="0"/>
                <w:lang w:eastAsia="en-US" w:bidi="ar-SA"/>
              </w:rPr>
              <w:t>“</w:t>
            </w:r>
          </w:p>
        </w:tc>
        <w:tc>
          <w:tcPr>
            <w:tcW w:w="3008" w:type="dxa"/>
          </w:tcPr>
          <w:p w14:paraId="6DF870C6" w14:textId="67A84710" w:rsidR="003405E4" w:rsidRPr="002C42CF" w:rsidRDefault="003405E4" w:rsidP="003405E4">
            <w:pPr>
              <w:widowControl/>
              <w:suppressAutoHyphens w:val="0"/>
              <w:jc w:val="center"/>
              <w:rPr>
                <w:rFonts w:eastAsia="Times New Roman" w:cs="Times New Roman"/>
                <w:kern w:val="0"/>
                <w:highlight w:val="yellow"/>
                <w:lang w:eastAsia="en-US" w:bidi="ar-SA"/>
              </w:rPr>
            </w:pPr>
            <w:r w:rsidRPr="00DA7866">
              <w:rPr>
                <w:rFonts w:eastAsia="Times New Roman" w:cs="Times New Roman"/>
                <w:kern w:val="0"/>
                <w:lang w:eastAsia="en-US" w:bidi="ar-SA"/>
              </w:rPr>
              <w:t>0,</w:t>
            </w:r>
            <w:r w:rsidR="00DA7866" w:rsidRPr="00DA7866">
              <w:rPr>
                <w:rFonts w:eastAsia="Times New Roman" w:cs="Times New Roman"/>
                <w:kern w:val="0"/>
                <w:lang w:eastAsia="en-US" w:bidi="ar-SA"/>
              </w:rPr>
              <w:t>214</w:t>
            </w:r>
          </w:p>
        </w:tc>
        <w:tc>
          <w:tcPr>
            <w:tcW w:w="3081" w:type="dxa"/>
            <w:vMerge/>
          </w:tcPr>
          <w:p w14:paraId="6F0B5097" w14:textId="77777777" w:rsidR="003405E4" w:rsidRPr="002C42CF" w:rsidRDefault="003405E4" w:rsidP="003405E4">
            <w:pPr>
              <w:widowControl/>
              <w:suppressAutoHyphens w:val="0"/>
              <w:jc w:val="center"/>
              <w:rPr>
                <w:rFonts w:eastAsia="Times New Roman" w:cs="Times New Roman"/>
                <w:b/>
                <w:kern w:val="0"/>
                <w:highlight w:val="yellow"/>
                <w:lang w:eastAsia="en-US" w:bidi="ar-SA"/>
              </w:rPr>
            </w:pPr>
          </w:p>
        </w:tc>
      </w:tr>
      <w:tr w:rsidR="003405E4" w:rsidRPr="002C42CF" w14:paraId="400E2076" w14:textId="77777777" w:rsidTr="00B65523">
        <w:tc>
          <w:tcPr>
            <w:tcW w:w="3539" w:type="dxa"/>
          </w:tcPr>
          <w:p w14:paraId="79CA2A59" w14:textId="28E94CC2" w:rsidR="003405E4" w:rsidRPr="00DA7866" w:rsidRDefault="005865A2" w:rsidP="003405E4">
            <w:pPr>
              <w:widowControl/>
              <w:suppressAutoHyphens w:val="0"/>
              <w:jc w:val="center"/>
              <w:rPr>
                <w:rFonts w:eastAsia="Times New Roman" w:cs="Times New Roman"/>
                <w:kern w:val="0"/>
                <w:lang w:eastAsia="en-US" w:bidi="ar-SA"/>
              </w:rPr>
            </w:pPr>
            <w:r w:rsidRPr="00DA7866">
              <w:rPr>
                <w:rFonts w:eastAsia="Times New Roman" w:cs="Times New Roman"/>
                <w:kern w:val="0"/>
                <w:lang w:eastAsia="en-US" w:bidi="ar-SA"/>
              </w:rPr>
              <w:t xml:space="preserve">UAB </w:t>
            </w:r>
            <w:r w:rsidR="008F18DD" w:rsidRPr="00DA7866">
              <w:rPr>
                <w:rFonts w:eastAsia="Times New Roman" w:cs="Times New Roman"/>
                <w:kern w:val="0"/>
                <w:lang w:eastAsia="en-US" w:bidi="ar-SA"/>
              </w:rPr>
              <w:t>„</w:t>
            </w:r>
            <w:proofErr w:type="spellStart"/>
            <w:r w:rsidRPr="00DA7866">
              <w:rPr>
                <w:rFonts w:eastAsia="Times New Roman" w:cs="Times New Roman"/>
                <w:kern w:val="0"/>
                <w:lang w:eastAsia="en-US" w:bidi="ar-SA"/>
              </w:rPr>
              <w:t>Destra</w:t>
            </w:r>
            <w:proofErr w:type="spellEnd"/>
            <w:r w:rsidR="008F18DD" w:rsidRPr="00DA7866">
              <w:rPr>
                <w:rFonts w:eastAsia="Times New Roman" w:cs="Times New Roman"/>
                <w:kern w:val="0"/>
                <w:lang w:eastAsia="en-US" w:bidi="ar-SA"/>
              </w:rPr>
              <w:t>“</w:t>
            </w:r>
          </w:p>
        </w:tc>
        <w:tc>
          <w:tcPr>
            <w:tcW w:w="3008" w:type="dxa"/>
          </w:tcPr>
          <w:p w14:paraId="5BC7A2CC" w14:textId="4249AAA8" w:rsidR="003405E4" w:rsidRPr="00DA7866" w:rsidRDefault="003405E4" w:rsidP="003405E4">
            <w:pPr>
              <w:widowControl/>
              <w:suppressAutoHyphens w:val="0"/>
              <w:jc w:val="center"/>
              <w:rPr>
                <w:rFonts w:eastAsia="Times New Roman" w:cs="Times New Roman"/>
                <w:kern w:val="0"/>
                <w:lang w:eastAsia="en-US" w:bidi="ar-SA"/>
              </w:rPr>
            </w:pPr>
            <w:r w:rsidRPr="00DA7866">
              <w:rPr>
                <w:rFonts w:eastAsia="Times New Roman" w:cs="Times New Roman"/>
                <w:kern w:val="0"/>
                <w:lang w:eastAsia="en-US" w:bidi="ar-SA"/>
              </w:rPr>
              <w:t>0</w:t>
            </w:r>
            <w:r w:rsidR="005865A2" w:rsidRPr="00DA7866">
              <w:rPr>
                <w:rFonts w:eastAsia="Times New Roman" w:cs="Times New Roman"/>
                <w:kern w:val="0"/>
                <w:lang w:eastAsia="en-US" w:bidi="ar-SA"/>
              </w:rPr>
              <w:t>,2</w:t>
            </w:r>
            <w:r w:rsidR="00DA7866" w:rsidRPr="00DA7866">
              <w:rPr>
                <w:rFonts w:eastAsia="Times New Roman" w:cs="Times New Roman"/>
                <w:kern w:val="0"/>
                <w:lang w:eastAsia="en-US" w:bidi="ar-SA"/>
              </w:rPr>
              <w:t>03</w:t>
            </w:r>
          </w:p>
        </w:tc>
        <w:tc>
          <w:tcPr>
            <w:tcW w:w="3081" w:type="dxa"/>
            <w:vMerge/>
          </w:tcPr>
          <w:p w14:paraId="14BD5FBA" w14:textId="77777777" w:rsidR="003405E4" w:rsidRPr="002C42CF" w:rsidRDefault="003405E4" w:rsidP="003405E4">
            <w:pPr>
              <w:widowControl/>
              <w:suppressAutoHyphens w:val="0"/>
              <w:jc w:val="center"/>
              <w:rPr>
                <w:rFonts w:eastAsia="Times New Roman" w:cs="Times New Roman"/>
                <w:b/>
                <w:kern w:val="0"/>
                <w:highlight w:val="yellow"/>
                <w:lang w:eastAsia="en-US" w:bidi="ar-SA"/>
              </w:rPr>
            </w:pPr>
          </w:p>
        </w:tc>
      </w:tr>
      <w:tr w:rsidR="003405E4" w:rsidRPr="002C42CF" w14:paraId="165A371A" w14:textId="77777777" w:rsidTr="007B4445">
        <w:tc>
          <w:tcPr>
            <w:tcW w:w="9628" w:type="dxa"/>
            <w:gridSpan w:val="3"/>
          </w:tcPr>
          <w:p w14:paraId="79002A0D" w14:textId="77777777" w:rsidR="003405E4" w:rsidRPr="001C7EBB" w:rsidRDefault="003405E4" w:rsidP="003405E4">
            <w:pPr>
              <w:widowControl/>
              <w:suppressAutoHyphens w:val="0"/>
              <w:jc w:val="center"/>
              <w:rPr>
                <w:rFonts w:eastAsia="Times New Roman" w:cs="Times New Roman"/>
                <w:b/>
                <w:kern w:val="0"/>
                <w:lang w:eastAsia="en-US" w:bidi="ar-SA"/>
              </w:rPr>
            </w:pPr>
            <w:r w:rsidRPr="001C7EBB">
              <w:rPr>
                <w:rFonts w:eastAsia="Times New Roman" w:cs="Times New Roman"/>
                <w:b/>
                <w:kern w:val="0"/>
                <w:lang w:eastAsia="en-US" w:bidi="ar-SA"/>
              </w:rPr>
              <w:t>Durpių briketai, Eur/kg</w:t>
            </w:r>
          </w:p>
        </w:tc>
      </w:tr>
      <w:tr w:rsidR="003405E4" w:rsidRPr="002C42CF" w14:paraId="276894B4" w14:textId="77777777" w:rsidTr="00B65523">
        <w:tc>
          <w:tcPr>
            <w:tcW w:w="3539" w:type="dxa"/>
          </w:tcPr>
          <w:p w14:paraId="1E009605" w14:textId="0A9B39A2" w:rsidR="003405E4" w:rsidRPr="002C42CF" w:rsidRDefault="001C7EBB" w:rsidP="003405E4">
            <w:pPr>
              <w:widowControl/>
              <w:suppressAutoHyphens w:val="0"/>
              <w:jc w:val="center"/>
              <w:rPr>
                <w:rFonts w:eastAsia="Times New Roman" w:cs="Times New Roman"/>
                <w:kern w:val="0"/>
                <w:highlight w:val="yellow"/>
                <w:lang w:eastAsia="en-US" w:bidi="ar-SA"/>
              </w:rPr>
            </w:pPr>
            <w:r w:rsidRPr="001C7EBB">
              <w:rPr>
                <w:rFonts w:eastAsia="Times New Roman" w:cs="Times New Roman"/>
                <w:kern w:val="0"/>
                <w:lang w:eastAsia="en-US" w:bidi="ar-SA"/>
              </w:rPr>
              <w:t>„</w:t>
            </w:r>
            <w:proofErr w:type="spellStart"/>
            <w:r w:rsidRPr="001C7EBB">
              <w:rPr>
                <w:rFonts w:eastAsia="Times New Roman" w:cs="Times New Roman"/>
                <w:kern w:val="0"/>
                <w:lang w:eastAsia="en-US" w:bidi="ar-SA"/>
              </w:rPr>
              <w:t>Biosiluma.lt</w:t>
            </w:r>
            <w:proofErr w:type="spellEnd"/>
            <w:r w:rsidRPr="001C7EBB">
              <w:rPr>
                <w:rFonts w:eastAsia="Times New Roman" w:cs="Times New Roman"/>
                <w:kern w:val="0"/>
                <w:lang w:eastAsia="en-US" w:bidi="ar-SA"/>
              </w:rPr>
              <w:t>“</w:t>
            </w:r>
          </w:p>
        </w:tc>
        <w:tc>
          <w:tcPr>
            <w:tcW w:w="3008" w:type="dxa"/>
          </w:tcPr>
          <w:p w14:paraId="178812CA" w14:textId="32C736A9" w:rsidR="003405E4" w:rsidRPr="001C7EBB" w:rsidRDefault="003405E4" w:rsidP="003405E4">
            <w:pPr>
              <w:widowControl/>
              <w:suppressAutoHyphens w:val="0"/>
              <w:jc w:val="center"/>
              <w:rPr>
                <w:rFonts w:eastAsia="Times New Roman" w:cs="Times New Roman"/>
                <w:kern w:val="0"/>
                <w:lang w:eastAsia="en-US" w:bidi="ar-SA"/>
              </w:rPr>
            </w:pPr>
            <w:r w:rsidRPr="001C7EBB">
              <w:rPr>
                <w:rFonts w:eastAsia="Times New Roman" w:cs="Times New Roman"/>
                <w:kern w:val="0"/>
                <w:lang w:eastAsia="en-US" w:bidi="ar-SA"/>
              </w:rPr>
              <w:t>0,</w:t>
            </w:r>
            <w:r w:rsidR="001C7EBB">
              <w:rPr>
                <w:rFonts w:eastAsia="Times New Roman" w:cs="Times New Roman"/>
                <w:kern w:val="0"/>
                <w:lang w:eastAsia="en-US" w:bidi="ar-SA"/>
              </w:rPr>
              <w:t>225</w:t>
            </w:r>
          </w:p>
        </w:tc>
        <w:tc>
          <w:tcPr>
            <w:tcW w:w="3081" w:type="dxa"/>
            <w:vMerge w:val="restart"/>
          </w:tcPr>
          <w:p w14:paraId="5A45821C" w14:textId="77777777" w:rsidR="003405E4" w:rsidRPr="001C7EBB" w:rsidRDefault="003405E4" w:rsidP="003405E4">
            <w:pPr>
              <w:widowControl/>
              <w:suppressAutoHyphens w:val="0"/>
              <w:jc w:val="center"/>
              <w:rPr>
                <w:rFonts w:eastAsia="Times New Roman" w:cs="Times New Roman"/>
                <w:kern w:val="0"/>
                <w:lang w:eastAsia="en-US" w:bidi="ar-SA"/>
              </w:rPr>
            </w:pPr>
            <w:r w:rsidRPr="001C7EBB">
              <w:rPr>
                <w:rFonts w:eastAsia="Times New Roman" w:cs="Times New Roman"/>
                <w:kern w:val="0"/>
                <w:lang w:eastAsia="en-US" w:bidi="ar-SA"/>
              </w:rPr>
              <w:t xml:space="preserve">Vidutinė kaina – </w:t>
            </w:r>
          </w:p>
          <w:p w14:paraId="379D44E3" w14:textId="6760C927" w:rsidR="003405E4" w:rsidRPr="002C42CF" w:rsidRDefault="003405E4" w:rsidP="003405E4">
            <w:pPr>
              <w:widowControl/>
              <w:suppressAutoHyphens w:val="0"/>
              <w:jc w:val="center"/>
              <w:rPr>
                <w:rFonts w:eastAsia="Times New Roman" w:cs="Times New Roman"/>
                <w:b/>
                <w:kern w:val="0"/>
                <w:highlight w:val="yellow"/>
                <w:lang w:eastAsia="en-US" w:bidi="ar-SA"/>
              </w:rPr>
            </w:pPr>
            <w:r w:rsidRPr="001C7EBB">
              <w:rPr>
                <w:rFonts w:eastAsia="Times New Roman" w:cs="Times New Roman"/>
                <w:b/>
                <w:kern w:val="0"/>
                <w:lang w:eastAsia="en-US" w:bidi="ar-SA"/>
              </w:rPr>
              <w:t>0,</w:t>
            </w:r>
            <w:r w:rsidR="001C7EBB">
              <w:rPr>
                <w:rFonts w:eastAsia="Times New Roman" w:cs="Times New Roman"/>
                <w:b/>
                <w:kern w:val="0"/>
                <w:lang w:eastAsia="en-US" w:bidi="ar-SA"/>
              </w:rPr>
              <w:t>22</w:t>
            </w:r>
          </w:p>
        </w:tc>
      </w:tr>
      <w:tr w:rsidR="00091969" w:rsidRPr="002C42CF" w14:paraId="746EEE21" w14:textId="77777777" w:rsidTr="00B65523">
        <w:tc>
          <w:tcPr>
            <w:tcW w:w="3539" w:type="dxa"/>
          </w:tcPr>
          <w:p w14:paraId="721D87DE" w14:textId="30EA877E" w:rsidR="00091969" w:rsidRPr="002C42CF" w:rsidRDefault="00091969" w:rsidP="00091969">
            <w:pPr>
              <w:widowControl/>
              <w:suppressAutoHyphens w:val="0"/>
              <w:jc w:val="center"/>
              <w:rPr>
                <w:rFonts w:eastAsia="Times New Roman" w:cs="Times New Roman"/>
                <w:kern w:val="0"/>
                <w:highlight w:val="yellow"/>
                <w:lang w:eastAsia="en-US" w:bidi="ar-SA"/>
              </w:rPr>
            </w:pPr>
            <w:r w:rsidRPr="00621F69">
              <w:rPr>
                <w:rFonts w:eastAsia="Times New Roman" w:cs="Times New Roman"/>
                <w:kern w:val="0"/>
                <w:lang w:eastAsia="en-US" w:bidi="ar-SA"/>
              </w:rPr>
              <w:t>UAB „</w:t>
            </w:r>
            <w:proofErr w:type="spellStart"/>
            <w:r w:rsidRPr="00621F69">
              <w:rPr>
                <w:rFonts w:eastAsia="Times New Roman" w:cs="Times New Roman"/>
                <w:kern w:val="0"/>
                <w:lang w:eastAsia="en-US" w:bidi="ar-SA"/>
              </w:rPr>
              <w:t>Saurida</w:t>
            </w:r>
            <w:proofErr w:type="spellEnd"/>
            <w:r w:rsidRPr="00621F69">
              <w:rPr>
                <w:rFonts w:eastAsia="Times New Roman" w:cs="Times New Roman"/>
                <w:kern w:val="0"/>
                <w:lang w:eastAsia="en-US" w:bidi="ar-SA"/>
              </w:rPr>
              <w:t>“</w:t>
            </w:r>
          </w:p>
        </w:tc>
        <w:tc>
          <w:tcPr>
            <w:tcW w:w="3008" w:type="dxa"/>
          </w:tcPr>
          <w:p w14:paraId="71F23E9D" w14:textId="2457895B" w:rsidR="00091969" w:rsidRPr="002C42CF" w:rsidRDefault="00091969" w:rsidP="00091969">
            <w:pPr>
              <w:widowControl/>
              <w:suppressAutoHyphens w:val="0"/>
              <w:jc w:val="center"/>
              <w:rPr>
                <w:rFonts w:eastAsia="Times New Roman" w:cs="Times New Roman"/>
                <w:kern w:val="0"/>
                <w:highlight w:val="yellow"/>
                <w:lang w:eastAsia="en-US" w:bidi="ar-SA"/>
              </w:rPr>
            </w:pPr>
            <w:r w:rsidRPr="00091969">
              <w:rPr>
                <w:rFonts w:eastAsia="Times New Roman" w:cs="Times New Roman"/>
                <w:kern w:val="0"/>
                <w:lang w:eastAsia="en-US" w:bidi="ar-SA"/>
              </w:rPr>
              <w:t>0,230</w:t>
            </w:r>
          </w:p>
        </w:tc>
        <w:tc>
          <w:tcPr>
            <w:tcW w:w="3081" w:type="dxa"/>
            <w:vMerge/>
          </w:tcPr>
          <w:p w14:paraId="75590DAF"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0D952562" w14:textId="77777777" w:rsidTr="00B65523">
        <w:tc>
          <w:tcPr>
            <w:tcW w:w="3539" w:type="dxa"/>
          </w:tcPr>
          <w:p w14:paraId="5EB2560E" w14:textId="6D8D6B07" w:rsidR="00091969" w:rsidRPr="00091969" w:rsidRDefault="00091969" w:rsidP="00091969">
            <w:pPr>
              <w:widowControl/>
              <w:suppressAutoHyphens w:val="0"/>
              <w:jc w:val="center"/>
              <w:rPr>
                <w:rFonts w:eastAsia="Times New Roman" w:cs="Times New Roman"/>
                <w:kern w:val="0"/>
                <w:lang w:eastAsia="en-US" w:bidi="ar-SA"/>
              </w:rPr>
            </w:pPr>
            <w:r w:rsidRPr="00091969">
              <w:rPr>
                <w:rFonts w:eastAsia="Times New Roman" w:cs="Times New Roman"/>
                <w:kern w:val="0"/>
                <w:lang w:eastAsia="en-US" w:bidi="ar-SA"/>
              </w:rPr>
              <w:t>UAB „Biokuro bazė“</w:t>
            </w:r>
          </w:p>
        </w:tc>
        <w:tc>
          <w:tcPr>
            <w:tcW w:w="3008" w:type="dxa"/>
          </w:tcPr>
          <w:p w14:paraId="7A9C50D7" w14:textId="3EBD059A" w:rsidR="00091969" w:rsidRPr="00091969" w:rsidRDefault="00091969" w:rsidP="00091969">
            <w:pPr>
              <w:widowControl/>
              <w:suppressAutoHyphens w:val="0"/>
              <w:jc w:val="center"/>
              <w:rPr>
                <w:rFonts w:eastAsia="Times New Roman" w:cs="Times New Roman"/>
                <w:kern w:val="0"/>
                <w:lang w:eastAsia="en-US" w:bidi="ar-SA"/>
              </w:rPr>
            </w:pPr>
            <w:r w:rsidRPr="00091969">
              <w:rPr>
                <w:rFonts w:eastAsia="Times New Roman" w:cs="Times New Roman"/>
                <w:kern w:val="0"/>
                <w:lang w:eastAsia="en-US" w:bidi="ar-SA"/>
              </w:rPr>
              <w:t>0,210</w:t>
            </w:r>
          </w:p>
        </w:tc>
        <w:tc>
          <w:tcPr>
            <w:tcW w:w="3081" w:type="dxa"/>
            <w:vMerge/>
          </w:tcPr>
          <w:p w14:paraId="59D64EAD"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654DFE60" w14:textId="77777777" w:rsidTr="007B4445">
        <w:tc>
          <w:tcPr>
            <w:tcW w:w="9628" w:type="dxa"/>
            <w:gridSpan w:val="3"/>
          </w:tcPr>
          <w:p w14:paraId="2DC7CE9C" w14:textId="77777777" w:rsidR="00091969" w:rsidRPr="002C42CF" w:rsidRDefault="00091969" w:rsidP="00091969">
            <w:pPr>
              <w:widowControl/>
              <w:tabs>
                <w:tab w:val="left" w:pos="4252"/>
              </w:tabs>
              <w:suppressAutoHyphens w:val="0"/>
              <w:jc w:val="center"/>
              <w:rPr>
                <w:rFonts w:eastAsia="Times New Roman" w:cs="Times New Roman"/>
                <w:b/>
                <w:kern w:val="0"/>
                <w:highlight w:val="yellow"/>
                <w:lang w:eastAsia="en-US" w:bidi="ar-SA"/>
              </w:rPr>
            </w:pPr>
            <w:r w:rsidRPr="00621F69">
              <w:rPr>
                <w:rFonts w:eastAsia="Times New Roman" w:cs="Times New Roman"/>
                <w:b/>
                <w:kern w:val="0"/>
                <w:lang w:eastAsia="en-US" w:bidi="ar-SA"/>
              </w:rPr>
              <w:t>Dyzelinis krosnių kuras, Eur/l</w:t>
            </w:r>
          </w:p>
        </w:tc>
      </w:tr>
      <w:tr w:rsidR="00091969" w:rsidRPr="002C42CF" w14:paraId="74669CF6" w14:textId="77777777" w:rsidTr="00B65523">
        <w:tc>
          <w:tcPr>
            <w:tcW w:w="3539" w:type="dxa"/>
          </w:tcPr>
          <w:p w14:paraId="7C24A28E" w14:textId="01F64933" w:rsidR="00091969" w:rsidRPr="007E0127" w:rsidRDefault="00091969" w:rsidP="00091969">
            <w:pPr>
              <w:widowControl/>
              <w:suppressAutoHyphens w:val="0"/>
              <w:jc w:val="center"/>
              <w:rPr>
                <w:rFonts w:eastAsia="Times New Roman" w:cs="Times New Roman"/>
                <w:kern w:val="0"/>
                <w:lang w:eastAsia="en-US" w:bidi="ar-SA"/>
              </w:rPr>
            </w:pPr>
            <w:r w:rsidRPr="007E0127">
              <w:rPr>
                <w:rFonts w:eastAsia="Times New Roman" w:cs="Times New Roman"/>
                <w:kern w:val="0"/>
                <w:lang w:eastAsia="en-US" w:bidi="ar-SA"/>
              </w:rPr>
              <w:t>UAB „</w:t>
            </w:r>
            <w:proofErr w:type="spellStart"/>
            <w:r w:rsidRPr="007E0127">
              <w:rPr>
                <w:rFonts w:eastAsia="Times New Roman" w:cs="Times New Roman"/>
                <w:kern w:val="0"/>
                <w:lang w:eastAsia="en-US" w:bidi="ar-SA"/>
              </w:rPr>
              <w:t>Naftėnas</w:t>
            </w:r>
            <w:proofErr w:type="spellEnd"/>
            <w:r w:rsidRPr="007E0127">
              <w:rPr>
                <w:rFonts w:eastAsia="Times New Roman" w:cs="Times New Roman"/>
                <w:kern w:val="0"/>
                <w:lang w:eastAsia="en-US" w:bidi="ar-SA"/>
              </w:rPr>
              <w:t>“</w:t>
            </w:r>
          </w:p>
        </w:tc>
        <w:tc>
          <w:tcPr>
            <w:tcW w:w="3008" w:type="dxa"/>
          </w:tcPr>
          <w:p w14:paraId="247D2131" w14:textId="2724AE6A" w:rsidR="00091969" w:rsidRPr="007E0127" w:rsidRDefault="00091969" w:rsidP="00091969">
            <w:pPr>
              <w:widowControl/>
              <w:suppressAutoHyphens w:val="0"/>
              <w:jc w:val="center"/>
              <w:rPr>
                <w:rFonts w:eastAsia="Times New Roman" w:cs="Times New Roman"/>
                <w:kern w:val="0"/>
                <w:lang w:eastAsia="en-US" w:bidi="ar-SA"/>
              </w:rPr>
            </w:pPr>
            <w:r w:rsidRPr="007E0127">
              <w:rPr>
                <w:rFonts w:eastAsia="Times New Roman" w:cs="Times New Roman"/>
                <w:kern w:val="0"/>
                <w:lang w:eastAsia="en-US" w:bidi="ar-SA"/>
              </w:rPr>
              <w:t>0,8</w:t>
            </w:r>
            <w:r w:rsidR="007E0127" w:rsidRPr="007E0127">
              <w:rPr>
                <w:rFonts w:eastAsia="Times New Roman" w:cs="Times New Roman"/>
                <w:kern w:val="0"/>
                <w:lang w:eastAsia="en-US" w:bidi="ar-SA"/>
              </w:rPr>
              <w:t>90</w:t>
            </w:r>
          </w:p>
        </w:tc>
        <w:tc>
          <w:tcPr>
            <w:tcW w:w="3081" w:type="dxa"/>
            <w:vMerge w:val="restart"/>
          </w:tcPr>
          <w:p w14:paraId="6F6F1529" w14:textId="77777777" w:rsidR="00091969" w:rsidRPr="007E0127" w:rsidRDefault="00091969" w:rsidP="00091969">
            <w:pPr>
              <w:widowControl/>
              <w:suppressAutoHyphens w:val="0"/>
              <w:jc w:val="center"/>
              <w:rPr>
                <w:rFonts w:eastAsia="Times New Roman" w:cs="Times New Roman"/>
                <w:kern w:val="0"/>
                <w:lang w:eastAsia="en-US" w:bidi="ar-SA"/>
              </w:rPr>
            </w:pPr>
            <w:r w:rsidRPr="007E0127">
              <w:rPr>
                <w:rFonts w:eastAsia="Times New Roman" w:cs="Times New Roman"/>
                <w:kern w:val="0"/>
                <w:lang w:eastAsia="en-US" w:bidi="ar-SA"/>
              </w:rPr>
              <w:t xml:space="preserve">Vidutinė kaina – </w:t>
            </w:r>
          </w:p>
          <w:p w14:paraId="138BC739" w14:textId="6522692A" w:rsidR="00091969" w:rsidRPr="002C42CF" w:rsidRDefault="00091969" w:rsidP="00091969">
            <w:pPr>
              <w:widowControl/>
              <w:suppressAutoHyphens w:val="0"/>
              <w:jc w:val="center"/>
              <w:rPr>
                <w:rFonts w:eastAsia="Times New Roman" w:cs="Times New Roman"/>
                <w:b/>
                <w:kern w:val="0"/>
                <w:highlight w:val="yellow"/>
                <w:lang w:eastAsia="en-US" w:bidi="ar-SA"/>
              </w:rPr>
            </w:pPr>
            <w:r w:rsidRPr="007E0127">
              <w:rPr>
                <w:rFonts w:eastAsia="Times New Roman" w:cs="Times New Roman"/>
                <w:b/>
                <w:kern w:val="0"/>
                <w:lang w:eastAsia="en-US" w:bidi="ar-SA"/>
              </w:rPr>
              <w:t>0,</w:t>
            </w:r>
            <w:r w:rsidR="009F7A24">
              <w:rPr>
                <w:rFonts w:eastAsia="Times New Roman" w:cs="Times New Roman"/>
                <w:b/>
                <w:kern w:val="0"/>
                <w:lang w:eastAsia="en-US" w:bidi="ar-SA"/>
              </w:rPr>
              <w:t>91</w:t>
            </w:r>
          </w:p>
        </w:tc>
      </w:tr>
      <w:tr w:rsidR="00091969" w:rsidRPr="002C42CF" w14:paraId="2BD5DCA8" w14:textId="77777777" w:rsidTr="009F7A24">
        <w:trPr>
          <w:trHeight w:val="367"/>
        </w:trPr>
        <w:tc>
          <w:tcPr>
            <w:tcW w:w="3539" w:type="dxa"/>
          </w:tcPr>
          <w:p w14:paraId="4A0CD8F7" w14:textId="3BB5F1E9" w:rsidR="00091969" w:rsidRPr="00621F69" w:rsidRDefault="00091969" w:rsidP="00091969">
            <w:pPr>
              <w:widowControl/>
              <w:suppressAutoHyphens w:val="0"/>
              <w:jc w:val="center"/>
              <w:rPr>
                <w:rFonts w:eastAsia="Times New Roman" w:cs="Times New Roman"/>
                <w:kern w:val="0"/>
                <w:lang w:eastAsia="en-US" w:bidi="ar-SA"/>
              </w:rPr>
            </w:pPr>
            <w:r w:rsidRPr="00621F69">
              <w:rPr>
                <w:rFonts w:eastAsia="Times New Roman" w:cs="Times New Roman"/>
                <w:kern w:val="0"/>
                <w:lang w:eastAsia="en-US" w:bidi="ar-SA"/>
              </w:rPr>
              <w:t>UAB „</w:t>
            </w:r>
            <w:proofErr w:type="spellStart"/>
            <w:r w:rsidRPr="00621F69">
              <w:rPr>
                <w:rFonts w:eastAsia="Times New Roman" w:cs="Times New Roman"/>
                <w:kern w:val="0"/>
                <w:lang w:eastAsia="en-US" w:bidi="ar-SA"/>
              </w:rPr>
              <w:t>Saurida</w:t>
            </w:r>
            <w:proofErr w:type="spellEnd"/>
            <w:r w:rsidRPr="00621F69">
              <w:rPr>
                <w:rFonts w:eastAsia="Times New Roman" w:cs="Times New Roman"/>
                <w:kern w:val="0"/>
                <w:lang w:eastAsia="en-US" w:bidi="ar-SA"/>
              </w:rPr>
              <w:t>“</w:t>
            </w:r>
          </w:p>
        </w:tc>
        <w:tc>
          <w:tcPr>
            <w:tcW w:w="3008" w:type="dxa"/>
          </w:tcPr>
          <w:p w14:paraId="69EC4921" w14:textId="0A7BC89D" w:rsidR="00091969" w:rsidRPr="00621F69" w:rsidRDefault="00091969" w:rsidP="00091969">
            <w:pPr>
              <w:widowControl/>
              <w:suppressAutoHyphens w:val="0"/>
              <w:jc w:val="center"/>
              <w:rPr>
                <w:rFonts w:eastAsia="Times New Roman" w:cs="Times New Roman"/>
                <w:kern w:val="0"/>
                <w:lang w:eastAsia="en-US" w:bidi="ar-SA"/>
              </w:rPr>
            </w:pPr>
            <w:r w:rsidRPr="00621F69">
              <w:rPr>
                <w:rFonts w:eastAsia="Times New Roman" w:cs="Times New Roman"/>
                <w:kern w:val="0"/>
                <w:lang w:eastAsia="en-US" w:bidi="ar-SA"/>
              </w:rPr>
              <w:t>0,</w:t>
            </w:r>
            <w:r>
              <w:rPr>
                <w:rFonts w:eastAsia="Times New Roman" w:cs="Times New Roman"/>
                <w:kern w:val="0"/>
                <w:lang w:eastAsia="en-US" w:bidi="ar-SA"/>
              </w:rPr>
              <w:t>930</w:t>
            </w:r>
          </w:p>
        </w:tc>
        <w:tc>
          <w:tcPr>
            <w:tcW w:w="3081" w:type="dxa"/>
            <w:vMerge/>
          </w:tcPr>
          <w:p w14:paraId="28BE692E"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0FA841A5" w14:textId="77777777" w:rsidTr="007B4445">
        <w:tc>
          <w:tcPr>
            <w:tcW w:w="9628" w:type="dxa"/>
            <w:gridSpan w:val="3"/>
          </w:tcPr>
          <w:p w14:paraId="467EF5CB" w14:textId="77777777" w:rsidR="00091969" w:rsidRPr="004453E4" w:rsidRDefault="00091969" w:rsidP="00091969">
            <w:pPr>
              <w:widowControl/>
              <w:suppressAutoHyphens w:val="0"/>
              <w:jc w:val="center"/>
              <w:rPr>
                <w:rFonts w:eastAsia="Times New Roman" w:cs="Times New Roman"/>
                <w:b/>
                <w:kern w:val="0"/>
                <w:lang w:eastAsia="en-US" w:bidi="ar-SA"/>
              </w:rPr>
            </w:pPr>
            <w:r w:rsidRPr="004453E4">
              <w:rPr>
                <w:rFonts w:eastAsia="Times New Roman" w:cs="Times New Roman"/>
                <w:b/>
                <w:kern w:val="0"/>
                <w:lang w:eastAsia="en-US" w:bidi="ar-SA"/>
              </w:rPr>
              <w:t>Suskystintos naftos dujos, Eur/ kg</w:t>
            </w:r>
          </w:p>
        </w:tc>
      </w:tr>
      <w:tr w:rsidR="00091969" w:rsidRPr="002C42CF" w14:paraId="5592361F" w14:textId="77777777" w:rsidTr="00B65523">
        <w:tc>
          <w:tcPr>
            <w:tcW w:w="3539" w:type="dxa"/>
          </w:tcPr>
          <w:p w14:paraId="44EB02B3" w14:textId="78E80589" w:rsidR="00091969" w:rsidRPr="004453E4" w:rsidRDefault="00091969" w:rsidP="00091969">
            <w:pPr>
              <w:widowControl/>
              <w:suppressAutoHyphens w:val="0"/>
              <w:jc w:val="center"/>
              <w:rPr>
                <w:rFonts w:eastAsia="Times New Roman" w:cs="Times New Roman"/>
                <w:kern w:val="0"/>
                <w:lang w:eastAsia="en-US" w:bidi="ar-SA"/>
              </w:rPr>
            </w:pPr>
            <w:r w:rsidRPr="004453E4">
              <w:rPr>
                <w:rFonts w:eastAsia="Times New Roman" w:cs="Times New Roman"/>
                <w:kern w:val="0"/>
                <w:lang w:eastAsia="en-US" w:bidi="ar-SA"/>
              </w:rPr>
              <w:t>UAB „</w:t>
            </w:r>
            <w:proofErr w:type="spellStart"/>
            <w:r w:rsidRPr="004453E4">
              <w:rPr>
                <w:rFonts w:eastAsia="Times New Roman" w:cs="Times New Roman"/>
                <w:kern w:val="0"/>
                <w:lang w:eastAsia="en-US" w:bidi="ar-SA"/>
              </w:rPr>
              <w:t>Grivzas</w:t>
            </w:r>
            <w:proofErr w:type="spellEnd"/>
            <w:r w:rsidRPr="004453E4">
              <w:rPr>
                <w:rFonts w:eastAsia="Times New Roman" w:cs="Times New Roman"/>
                <w:kern w:val="0"/>
                <w:lang w:eastAsia="en-US" w:bidi="ar-SA"/>
              </w:rPr>
              <w:t>“</w:t>
            </w:r>
          </w:p>
        </w:tc>
        <w:tc>
          <w:tcPr>
            <w:tcW w:w="3008" w:type="dxa"/>
          </w:tcPr>
          <w:p w14:paraId="06D369DE" w14:textId="45582D41" w:rsidR="00091969" w:rsidRPr="004453E4" w:rsidRDefault="00091969" w:rsidP="00091969">
            <w:pPr>
              <w:widowControl/>
              <w:suppressAutoHyphens w:val="0"/>
              <w:jc w:val="center"/>
              <w:rPr>
                <w:rFonts w:eastAsia="Times New Roman" w:cs="Times New Roman"/>
                <w:kern w:val="0"/>
                <w:lang w:eastAsia="en-US" w:bidi="ar-SA"/>
              </w:rPr>
            </w:pPr>
            <w:r w:rsidRPr="004453E4">
              <w:rPr>
                <w:rFonts w:eastAsia="Times New Roman" w:cs="Times New Roman"/>
                <w:kern w:val="0"/>
                <w:lang w:eastAsia="en-US" w:bidi="ar-SA"/>
              </w:rPr>
              <w:t>0,</w:t>
            </w:r>
            <w:r>
              <w:rPr>
                <w:rFonts w:eastAsia="Times New Roman" w:cs="Times New Roman"/>
                <w:kern w:val="0"/>
                <w:lang w:eastAsia="en-US" w:bidi="ar-SA"/>
              </w:rPr>
              <w:t>689</w:t>
            </w:r>
          </w:p>
        </w:tc>
        <w:tc>
          <w:tcPr>
            <w:tcW w:w="3081" w:type="dxa"/>
            <w:vMerge w:val="restart"/>
          </w:tcPr>
          <w:p w14:paraId="77911F25" w14:textId="77777777" w:rsidR="00091969" w:rsidRPr="00BC28F8" w:rsidRDefault="00091969" w:rsidP="00091969">
            <w:pPr>
              <w:widowControl/>
              <w:suppressAutoHyphens w:val="0"/>
              <w:jc w:val="center"/>
              <w:rPr>
                <w:rFonts w:eastAsia="Times New Roman" w:cs="Times New Roman"/>
                <w:kern w:val="0"/>
                <w:lang w:eastAsia="en-US" w:bidi="ar-SA"/>
              </w:rPr>
            </w:pPr>
            <w:r w:rsidRPr="00BC28F8">
              <w:rPr>
                <w:rFonts w:eastAsia="Times New Roman" w:cs="Times New Roman"/>
                <w:kern w:val="0"/>
                <w:lang w:eastAsia="en-US" w:bidi="ar-SA"/>
              </w:rPr>
              <w:t xml:space="preserve">Vidutinė kaina – </w:t>
            </w:r>
          </w:p>
          <w:p w14:paraId="1564C2CF" w14:textId="3E371AAC" w:rsidR="00091969" w:rsidRPr="002C42CF" w:rsidRDefault="00091969" w:rsidP="00091969">
            <w:pPr>
              <w:widowControl/>
              <w:suppressAutoHyphens w:val="0"/>
              <w:jc w:val="center"/>
              <w:rPr>
                <w:rFonts w:eastAsia="Times New Roman" w:cs="Times New Roman"/>
                <w:b/>
                <w:kern w:val="0"/>
                <w:highlight w:val="yellow"/>
                <w:lang w:eastAsia="en-US" w:bidi="ar-SA"/>
              </w:rPr>
            </w:pPr>
            <w:r w:rsidRPr="00BC28F8">
              <w:rPr>
                <w:rFonts w:eastAsia="Times New Roman" w:cs="Times New Roman"/>
                <w:b/>
                <w:kern w:val="0"/>
                <w:lang w:eastAsia="en-US" w:bidi="ar-SA"/>
              </w:rPr>
              <w:t>0,73</w:t>
            </w:r>
          </w:p>
        </w:tc>
      </w:tr>
      <w:tr w:rsidR="00091969" w:rsidRPr="002C42CF" w14:paraId="6419FC0F" w14:textId="77777777" w:rsidTr="00B65523">
        <w:tc>
          <w:tcPr>
            <w:tcW w:w="3539" w:type="dxa"/>
          </w:tcPr>
          <w:p w14:paraId="65332292" w14:textId="4604533A" w:rsidR="00091969" w:rsidRPr="005E7A98" w:rsidRDefault="00091969" w:rsidP="00091969">
            <w:pPr>
              <w:widowControl/>
              <w:suppressAutoHyphens w:val="0"/>
              <w:ind w:firstLine="72"/>
              <w:jc w:val="center"/>
              <w:rPr>
                <w:rFonts w:eastAsia="Times New Roman" w:cs="Times New Roman"/>
                <w:kern w:val="0"/>
                <w:lang w:eastAsia="en-US" w:bidi="ar-SA"/>
              </w:rPr>
            </w:pPr>
            <w:r w:rsidRPr="005E7A98">
              <w:rPr>
                <w:rFonts w:eastAsia="Times New Roman" w:cs="Times New Roman"/>
                <w:kern w:val="0"/>
                <w:lang w:eastAsia="en-US" w:bidi="ar-SA"/>
              </w:rPr>
              <w:t>UAB „</w:t>
            </w:r>
            <w:proofErr w:type="spellStart"/>
            <w:r w:rsidRPr="005E7A98">
              <w:rPr>
                <w:rFonts w:eastAsia="Times New Roman" w:cs="Times New Roman"/>
                <w:kern w:val="0"/>
                <w:lang w:eastAsia="en-US" w:bidi="ar-SA"/>
              </w:rPr>
              <w:t>Saurida</w:t>
            </w:r>
            <w:proofErr w:type="spellEnd"/>
            <w:r w:rsidRPr="005E7A98">
              <w:rPr>
                <w:rFonts w:eastAsia="Times New Roman" w:cs="Times New Roman"/>
                <w:kern w:val="0"/>
                <w:lang w:eastAsia="en-US" w:bidi="ar-SA"/>
              </w:rPr>
              <w:t>“</w:t>
            </w:r>
          </w:p>
        </w:tc>
        <w:tc>
          <w:tcPr>
            <w:tcW w:w="3008" w:type="dxa"/>
          </w:tcPr>
          <w:p w14:paraId="75C216AC" w14:textId="2097297F" w:rsidR="00091969" w:rsidRPr="005E7A98" w:rsidRDefault="00091969" w:rsidP="00091969">
            <w:pPr>
              <w:widowControl/>
              <w:suppressAutoHyphens w:val="0"/>
              <w:jc w:val="center"/>
              <w:rPr>
                <w:rFonts w:eastAsia="Times New Roman" w:cs="Times New Roman"/>
                <w:kern w:val="0"/>
                <w:lang w:eastAsia="en-US" w:bidi="ar-SA"/>
              </w:rPr>
            </w:pPr>
            <w:r w:rsidRPr="005E7A98">
              <w:rPr>
                <w:rFonts w:eastAsia="Times New Roman" w:cs="Times New Roman"/>
                <w:kern w:val="0"/>
                <w:lang w:eastAsia="en-US" w:bidi="ar-SA"/>
              </w:rPr>
              <w:t>0,800</w:t>
            </w:r>
          </w:p>
        </w:tc>
        <w:tc>
          <w:tcPr>
            <w:tcW w:w="3081" w:type="dxa"/>
            <w:vMerge/>
          </w:tcPr>
          <w:p w14:paraId="31ECCA4F"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18D694AA" w14:textId="77777777" w:rsidTr="00B65523">
        <w:tc>
          <w:tcPr>
            <w:tcW w:w="3539" w:type="dxa"/>
          </w:tcPr>
          <w:p w14:paraId="53E7B09A" w14:textId="3C82B434" w:rsidR="00091969" w:rsidRPr="00BC28F8" w:rsidRDefault="00091969" w:rsidP="00091969">
            <w:pPr>
              <w:widowControl/>
              <w:suppressAutoHyphens w:val="0"/>
              <w:jc w:val="center"/>
              <w:rPr>
                <w:rFonts w:eastAsia="Times New Roman" w:cs="Times New Roman"/>
                <w:kern w:val="0"/>
                <w:lang w:eastAsia="en-US" w:bidi="ar-SA"/>
              </w:rPr>
            </w:pPr>
            <w:r w:rsidRPr="00BC28F8">
              <w:rPr>
                <w:rFonts w:eastAsia="Times New Roman" w:cs="Times New Roman"/>
                <w:kern w:val="0"/>
                <w:lang w:eastAsia="en-US" w:bidi="ar-SA"/>
              </w:rPr>
              <w:t>UAB „Jungtinis dujų centras“</w:t>
            </w:r>
          </w:p>
        </w:tc>
        <w:tc>
          <w:tcPr>
            <w:tcW w:w="3008" w:type="dxa"/>
          </w:tcPr>
          <w:p w14:paraId="7A6EE606" w14:textId="21E7DC6E" w:rsidR="00091969" w:rsidRPr="002C42CF" w:rsidRDefault="00091969" w:rsidP="00091969">
            <w:pPr>
              <w:widowControl/>
              <w:suppressAutoHyphens w:val="0"/>
              <w:jc w:val="center"/>
              <w:rPr>
                <w:rFonts w:eastAsia="Times New Roman" w:cs="Times New Roman"/>
                <w:kern w:val="0"/>
                <w:highlight w:val="yellow"/>
                <w:lang w:eastAsia="en-US" w:bidi="ar-SA"/>
              </w:rPr>
            </w:pPr>
            <w:r w:rsidRPr="00BC28F8">
              <w:rPr>
                <w:rFonts w:eastAsia="Times New Roman" w:cs="Times New Roman"/>
                <w:kern w:val="0"/>
                <w:lang w:eastAsia="en-US" w:bidi="ar-SA"/>
              </w:rPr>
              <w:t>0,689</w:t>
            </w:r>
          </w:p>
        </w:tc>
        <w:tc>
          <w:tcPr>
            <w:tcW w:w="3081" w:type="dxa"/>
            <w:vMerge/>
          </w:tcPr>
          <w:p w14:paraId="0B7B6B78"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7ECFC962" w14:textId="77777777" w:rsidTr="007B4445">
        <w:tc>
          <w:tcPr>
            <w:tcW w:w="9628" w:type="dxa"/>
            <w:gridSpan w:val="3"/>
          </w:tcPr>
          <w:p w14:paraId="7B120ED4" w14:textId="484CD1D7" w:rsidR="00091969" w:rsidRPr="002C42CF" w:rsidRDefault="00091969" w:rsidP="00091969">
            <w:pPr>
              <w:widowControl/>
              <w:suppressAutoHyphens w:val="0"/>
              <w:jc w:val="center"/>
              <w:rPr>
                <w:rFonts w:eastAsia="Times New Roman" w:cs="Times New Roman"/>
                <w:b/>
                <w:kern w:val="0"/>
                <w:highlight w:val="yellow"/>
                <w:lang w:eastAsia="en-US" w:bidi="ar-SA"/>
              </w:rPr>
            </w:pPr>
            <w:r w:rsidRPr="00554962">
              <w:rPr>
                <w:rFonts w:eastAsia="Times New Roman" w:cs="Times New Roman"/>
                <w:b/>
                <w:kern w:val="0"/>
                <w:lang w:eastAsia="en-US" w:bidi="ar-SA"/>
              </w:rPr>
              <w:t>Mišrios malkos, Eur/</w:t>
            </w:r>
            <w:r w:rsidR="00DC5A39" w:rsidRPr="00554962">
              <w:rPr>
                <w:rFonts w:eastAsia="Times New Roman" w:cs="Times New Roman"/>
                <w:b/>
                <w:kern w:val="0"/>
                <w:lang w:eastAsia="en-US" w:bidi="ar-SA"/>
              </w:rPr>
              <w:t xml:space="preserve"> </w:t>
            </w:r>
            <w:r w:rsidR="00554962" w:rsidRPr="00554962">
              <w:rPr>
                <w:rFonts w:eastAsia="Times New Roman" w:cs="Times New Roman"/>
                <w:b/>
                <w:kern w:val="0"/>
                <w:lang w:eastAsia="en-US" w:bidi="ar-SA"/>
              </w:rPr>
              <w:t>m</w:t>
            </w:r>
            <w:r w:rsidR="00554962" w:rsidRPr="00554962">
              <w:rPr>
                <w:rFonts w:eastAsia="Times New Roman" w:cs="Times New Roman"/>
                <w:b/>
                <w:kern w:val="0"/>
                <w:vertAlign w:val="superscript"/>
                <w:lang w:eastAsia="en-US" w:bidi="ar-SA"/>
              </w:rPr>
              <w:t>3</w:t>
            </w:r>
          </w:p>
        </w:tc>
      </w:tr>
      <w:tr w:rsidR="00091969" w:rsidRPr="002C42CF" w14:paraId="5BB1FBB0" w14:textId="77777777" w:rsidTr="00B65523">
        <w:tc>
          <w:tcPr>
            <w:tcW w:w="3539" w:type="dxa"/>
          </w:tcPr>
          <w:p w14:paraId="046DA3E0" w14:textId="22DC8674" w:rsidR="00091969" w:rsidRPr="00EA225C" w:rsidRDefault="00111FEE" w:rsidP="00091969">
            <w:pPr>
              <w:widowControl/>
              <w:suppressAutoHyphens w:val="0"/>
              <w:jc w:val="center"/>
              <w:rPr>
                <w:rFonts w:eastAsia="Times New Roman" w:cs="Times New Roman"/>
                <w:kern w:val="0"/>
                <w:lang w:eastAsia="en-US" w:bidi="ar-SA"/>
              </w:rPr>
            </w:pPr>
            <w:r w:rsidRPr="00EA225C">
              <w:rPr>
                <w:rFonts w:eastAsia="Times New Roman" w:cs="Times New Roman"/>
                <w:kern w:val="0"/>
                <w:lang w:eastAsia="en-US" w:bidi="ar-SA"/>
              </w:rPr>
              <w:t xml:space="preserve">UAB </w:t>
            </w:r>
            <w:r w:rsidR="00EA225C" w:rsidRPr="00EA225C">
              <w:rPr>
                <w:rFonts w:eastAsia="Times New Roman" w:cs="Times New Roman"/>
                <w:kern w:val="0"/>
                <w:lang w:eastAsia="en-US" w:bidi="ar-SA"/>
              </w:rPr>
              <w:t>„</w:t>
            </w:r>
            <w:proofErr w:type="spellStart"/>
            <w:r w:rsidR="00EA225C" w:rsidRPr="00EA225C">
              <w:rPr>
                <w:rFonts w:eastAsia="Times New Roman" w:cs="Times New Roman"/>
                <w:kern w:val="0"/>
                <w:lang w:eastAsia="en-US" w:bidi="ar-SA"/>
              </w:rPr>
              <w:t>Gesara</w:t>
            </w:r>
            <w:proofErr w:type="spellEnd"/>
            <w:r w:rsidR="00EA225C" w:rsidRPr="00EA225C">
              <w:rPr>
                <w:rFonts w:eastAsia="Times New Roman" w:cs="Times New Roman"/>
                <w:kern w:val="0"/>
                <w:lang w:eastAsia="en-US" w:bidi="ar-SA"/>
              </w:rPr>
              <w:t>“</w:t>
            </w:r>
          </w:p>
        </w:tc>
        <w:tc>
          <w:tcPr>
            <w:tcW w:w="3008" w:type="dxa"/>
          </w:tcPr>
          <w:p w14:paraId="7D3471CF" w14:textId="77777777" w:rsidR="00091969" w:rsidRPr="00EA225C" w:rsidRDefault="00091969" w:rsidP="00091969">
            <w:pPr>
              <w:widowControl/>
              <w:suppressAutoHyphens w:val="0"/>
              <w:jc w:val="center"/>
              <w:rPr>
                <w:rFonts w:eastAsia="Times New Roman" w:cs="Times New Roman"/>
                <w:kern w:val="0"/>
                <w:lang w:eastAsia="en-US" w:bidi="ar-SA"/>
              </w:rPr>
            </w:pPr>
            <w:r w:rsidRPr="00EA225C">
              <w:rPr>
                <w:rFonts w:eastAsia="Times New Roman" w:cs="Times New Roman"/>
                <w:kern w:val="0"/>
                <w:lang w:eastAsia="en-US" w:bidi="ar-SA"/>
              </w:rPr>
              <w:t>50,0</w:t>
            </w:r>
          </w:p>
        </w:tc>
        <w:tc>
          <w:tcPr>
            <w:tcW w:w="3081" w:type="dxa"/>
            <w:vMerge w:val="restart"/>
          </w:tcPr>
          <w:p w14:paraId="5FFEFD32" w14:textId="77777777" w:rsidR="00091969" w:rsidRPr="00EA225C" w:rsidRDefault="00091969" w:rsidP="00091969">
            <w:pPr>
              <w:widowControl/>
              <w:suppressAutoHyphens w:val="0"/>
              <w:jc w:val="center"/>
              <w:rPr>
                <w:rFonts w:eastAsia="Times New Roman" w:cs="Times New Roman"/>
                <w:kern w:val="0"/>
                <w:lang w:eastAsia="en-US" w:bidi="ar-SA"/>
              </w:rPr>
            </w:pPr>
            <w:r w:rsidRPr="00EA225C">
              <w:rPr>
                <w:rFonts w:eastAsia="Times New Roman" w:cs="Times New Roman"/>
                <w:kern w:val="0"/>
                <w:lang w:eastAsia="en-US" w:bidi="ar-SA"/>
              </w:rPr>
              <w:t xml:space="preserve">Vidutinė kaina – </w:t>
            </w:r>
          </w:p>
          <w:p w14:paraId="54444FB0" w14:textId="09A6968E" w:rsidR="00091969" w:rsidRPr="00EA225C" w:rsidRDefault="00091969" w:rsidP="00091969">
            <w:pPr>
              <w:widowControl/>
              <w:suppressAutoHyphens w:val="0"/>
              <w:jc w:val="center"/>
              <w:rPr>
                <w:rFonts w:eastAsia="Times New Roman" w:cs="Times New Roman"/>
                <w:b/>
                <w:kern w:val="0"/>
                <w:lang w:eastAsia="en-US" w:bidi="ar-SA"/>
              </w:rPr>
            </w:pPr>
            <w:r w:rsidRPr="00EA225C">
              <w:rPr>
                <w:rFonts w:eastAsia="Times New Roman" w:cs="Times New Roman"/>
                <w:b/>
                <w:kern w:val="0"/>
                <w:lang w:eastAsia="en-US" w:bidi="ar-SA"/>
              </w:rPr>
              <w:t>50,0</w:t>
            </w:r>
          </w:p>
        </w:tc>
      </w:tr>
      <w:tr w:rsidR="00091969" w:rsidRPr="002C42CF" w14:paraId="0737A7D2" w14:textId="77777777" w:rsidTr="00B65523">
        <w:tc>
          <w:tcPr>
            <w:tcW w:w="3539" w:type="dxa"/>
          </w:tcPr>
          <w:p w14:paraId="70261B91" w14:textId="5CB4E359" w:rsidR="00091969" w:rsidRPr="00EA225C" w:rsidRDefault="00EA225C" w:rsidP="00111FEE">
            <w:pPr>
              <w:widowControl/>
              <w:suppressAutoHyphens w:val="0"/>
              <w:jc w:val="center"/>
            </w:pPr>
            <w:r w:rsidRPr="00EA225C">
              <w:t>Dianos Dambrauskienės įmonė</w:t>
            </w:r>
          </w:p>
        </w:tc>
        <w:tc>
          <w:tcPr>
            <w:tcW w:w="3008" w:type="dxa"/>
          </w:tcPr>
          <w:p w14:paraId="00FC7FEB" w14:textId="16D57BE8" w:rsidR="00091969" w:rsidRPr="00EA225C" w:rsidRDefault="00DC5A39" w:rsidP="00091969">
            <w:pPr>
              <w:widowControl/>
              <w:suppressAutoHyphens w:val="0"/>
              <w:jc w:val="center"/>
            </w:pPr>
            <w:r w:rsidRPr="00EA225C">
              <w:t>5</w:t>
            </w:r>
            <w:r w:rsidR="00111FEE" w:rsidRPr="00EA225C">
              <w:t>0</w:t>
            </w:r>
            <w:r w:rsidRPr="00EA225C">
              <w:t>,0</w:t>
            </w:r>
          </w:p>
        </w:tc>
        <w:tc>
          <w:tcPr>
            <w:tcW w:w="3081" w:type="dxa"/>
            <w:vMerge/>
          </w:tcPr>
          <w:p w14:paraId="71C3FFC2"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r w:rsidR="00091969" w:rsidRPr="002C42CF" w14:paraId="5E4218AB" w14:textId="77777777" w:rsidTr="00B65523">
        <w:tc>
          <w:tcPr>
            <w:tcW w:w="3539" w:type="dxa"/>
          </w:tcPr>
          <w:p w14:paraId="5611663A" w14:textId="3299D203" w:rsidR="00091969" w:rsidRPr="00D71BB9" w:rsidRDefault="00091969" w:rsidP="00091969">
            <w:pPr>
              <w:widowControl/>
              <w:suppressAutoHyphens w:val="0"/>
              <w:jc w:val="center"/>
              <w:rPr>
                <w:rFonts w:eastAsia="Times New Roman" w:cs="Times New Roman"/>
                <w:kern w:val="0"/>
                <w:lang w:eastAsia="en-US" w:bidi="ar-SA"/>
              </w:rPr>
            </w:pPr>
            <w:r w:rsidRPr="00D71BB9">
              <w:t>Valstybinių miškų urėdija</w:t>
            </w:r>
          </w:p>
        </w:tc>
        <w:tc>
          <w:tcPr>
            <w:tcW w:w="3008" w:type="dxa"/>
          </w:tcPr>
          <w:p w14:paraId="748BB05C" w14:textId="5F84CC7F" w:rsidR="00091969" w:rsidRPr="00D71BB9" w:rsidRDefault="00091969" w:rsidP="00091969">
            <w:pPr>
              <w:widowControl/>
              <w:suppressAutoHyphens w:val="0"/>
              <w:jc w:val="center"/>
              <w:rPr>
                <w:rFonts w:eastAsia="Times New Roman" w:cs="Times New Roman"/>
                <w:kern w:val="0"/>
                <w:lang w:eastAsia="en-US" w:bidi="ar-SA"/>
              </w:rPr>
            </w:pPr>
            <w:r w:rsidRPr="00D71BB9">
              <w:t>49,00</w:t>
            </w:r>
          </w:p>
        </w:tc>
        <w:tc>
          <w:tcPr>
            <w:tcW w:w="3081" w:type="dxa"/>
            <w:vMerge/>
          </w:tcPr>
          <w:p w14:paraId="2DF9ABD7" w14:textId="77777777" w:rsidR="00091969" w:rsidRPr="002C42CF" w:rsidRDefault="00091969" w:rsidP="00091969">
            <w:pPr>
              <w:widowControl/>
              <w:suppressAutoHyphens w:val="0"/>
              <w:jc w:val="center"/>
              <w:rPr>
                <w:rFonts w:eastAsia="Times New Roman" w:cs="Times New Roman"/>
                <w:b/>
                <w:kern w:val="0"/>
                <w:highlight w:val="yellow"/>
                <w:lang w:eastAsia="en-US" w:bidi="ar-SA"/>
              </w:rPr>
            </w:pPr>
          </w:p>
        </w:tc>
      </w:tr>
    </w:tbl>
    <w:p w14:paraId="07267F3A" w14:textId="77777777" w:rsidR="003405E4" w:rsidRPr="002C42CF" w:rsidRDefault="003405E4" w:rsidP="00B6541E">
      <w:pPr>
        <w:jc w:val="both"/>
        <w:rPr>
          <w:highlight w:val="yellow"/>
        </w:rPr>
      </w:pPr>
    </w:p>
    <w:p w14:paraId="67012B72" w14:textId="5114D83D" w:rsidR="003405E4" w:rsidRDefault="00173088" w:rsidP="00173088">
      <w:pPr>
        <w:jc w:val="center"/>
      </w:pPr>
      <w:r w:rsidRPr="00865C64">
        <w:t>__________________</w:t>
      </w:r>
    </w:p>
    <w:p w14:paraId="3B28021C" w14:textId="77777777" w:rsidR="003405E4" w:rsidRDefault="003405E4" w:rsidP="00B6541E">
      <w:pPr>
        <w:jc w:val="both"/>
      </w:pPr>
    </w:p>
    <w:p w14:paraId="70970205" w14:textId="77777777" w:rsidR="003405E4" w:rsidRDefault="003405E4" w:rsidP="00B6541E">
      <w:pPr>
        <w:jc w:val="both"/>
      </w:pPr>
    </w:p>
    <w:p w14:paraId="58A879CE" w14:textId="77777777" w:rsidR="003405E4" w:rsidRDefault="003405E4" w:rsidP="00B6541E">
      <w:pPr>
        <w:jc w:val="both"/>
      </w:pPr>
    </w:p>
    <w:p w14:paraId="3FAEEC95" w14:textId="77777777" w:rsidR="003405E4" w:rsidRDefault="003405E4" w:rsidP="00B6541E">
      <w:pPr>
        <w:jc w:val="both"/>
      </w:pPr>
    </w:p>
    <w:p w14:paraId="6A17CB4C" w14:textId="77777777" w:rsidR="003405E4" w:rsidRDefault="003405E4" w:rsidP="00B6541E">
      <w:pPr>
        <w:jc w:val="both"/>
      </w:pPr>
    </w:p>
    <w:p w14:paraId="5F6D8F1A" w14:textId="77777777" w:rsidR="003405E4" w:rsidRDefault="003405E4" w:rsidP="00B6541E">
      <w:pPr>
        <w:jc w:val="both"/>
      </w:pPr>
    </w:p>
    <w:p w14:paraId="6F641211" w14:textId="77777777" w:rsidR="003405E4" w:rsidRDefault="003405E4" w:rsidP="00B6541E">
      <w:pPr>
        <w:jc w:val="both"/>
      </w:pPr>
    </w:p>
    <w:p w14:paraId="7F4F080E" w14:textId="77777777" w:rsidR="003405E4" w:rsidRDefault="003405E4" w:rsidP="00B6541E">
      <w:pPr>
        <w:jc w:val="both"/>
      </w:pPr>
    </w:p>
    <w:p w14:paraId="031F1214" w14:textId="77777777" w:rsidR="00B916F5" w:rsidRDefault="00B916F5" w:rsidP="00B916F5">
      <w:pPr>
        <w:jc w:val="both"/>
      </w:pPr>
    </w:p>
    <w:sectPr w:rsidR="00B916F5" w:rsidSect="00831680">
      <w:headerReference w:type="default" r:id="rId8"/>
      <w:headerReference w:type="first" r:id="rId9"/>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F9A2" w14:textId="77777777" w:rsidR="005A6CA1" w:rsidRDefault="005A6CA1">
      <w:r>
        <w:separator/>
      </w:r>
    </w:p>
  </w:endnote>
  <w:endnote w:type="continuationSeparator" w:id="0">
    <w:p w14:paraId="4E923BB4" w14:textId="77777777" w:rsidR="005A6CA1" w:rsidRDefault="005A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B1C2" w14:textId="77777777" w:rsidR="005A6CA1" w:rsidRDefault="005A6CA1">
      <w:r>
        <w:separator/>
      </w:r>
    </w:p>
  </w:footnote>
  <w:footnote w:type="continuationSeparator" w:id="0">
    <w:p w14:paraId="5624C3F6" w14:textId="77777777" w:rsidR="005A6CA1" w:rsidRDefault="005A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818927407"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2835"/>
    <w:multiLevelType w:val="hybridMultilevel"/>
    <w:tmpl w:val="05F262CE"/>
    <w:lvl w:ilvl="0" w:tplc="41B409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5309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6BF4"/>
    <w:rsid w:val="00007513"/>
    <w:rsid w:val="00015F84"/>
    <w:rsid w:val="00034C2C"/>
    <w:rsid w:val="00035655"/>
    <w:rsid w:val="00041537"/>
    <w:rsid w:val="00055F66"/>
    <w:rsid w:val="00073980"/>
    <w:rsid w:val="00083541"/>
    <w:rsid w:val="00091969"/>
    <w:rsid w:val="000C0FC2"/>
    <w:rsid w:val="000F5BC0"/>
    <w:rsid w:val="00111FEE"/>
    <w:rsid w:val="00115A94"/>
    <w:rsid w:val="00122220"/>
    <w:rsid w:val="0014360E"/>
    <w:rsid w:val="00146B61"/>
    <w:rsid w:val="00167C33"/>
    <w:rsid w:val="00173088"/>
    <w:rsid w:val="001759AE"/>
    <w:rsid w:val="00194CFE"/>
    <w:rsid w:val="001C7EBB"/>
    <w:rsid w:val="001E33B2"/>
    <w:rsid w:val="00205E98"/>
    <w:rsid w:val="00244661"/>
    <w:rsid w:val="002469B2"/>
    <w:rsid w:val="002522B1"/>
    <w:rsid w:val="00270F54"/>
    <w:rsid w:val="00273163"/>
    <w:rsid w:val="002815E5"/>
    <w:rsid w:val="002A0A70"/>
    <w:rsid w:val="002A53D3"/>
    <w:rsid w:val="002A6007"/>
    <w:rsid w:val="002C42CF"/>
    <w:rsid w:val="002C438C"/>
    <w:rsid w:val="002F2B81"/>
    <w:rsid w:val="00322689"/>
    <w:rsid w:val="0033161C"/>
    <w:rsid w:val="003405E4"/>
    <w:rsid w:val="00374580"/>
    <w:rsid w:val="0038257C"/>
    <w:rsid w:val="00387317"/>
    <w:rsid w:val="003A1672"/>
    <w:rsid w:val="003A2B0E"/>
    <w:rsid w:val="003A4B00"/>
    <w:rsid w:val="003B2FE8"/>
    <w:rsid w:val="003E6F32"/>
    <w:rsid w:val="003F278D"/>
    <w:rsid w:val="003F338F"/>
    <w:rsid w:val="003F3E84"/>
    <w:rsid w:val="004139F3"/>
    <w:rsid w:val="004453E4"/>
    <w:rsid w:val="0046440B"/>
    <w:rsid w:val="004C71F5"/>
    <w:rsid w:val="004D1CA2"/>
    <w:rsid w:val="004D488C"/>
    <w:rsid w:val="004E58BC"/>
    <w:rsid w:val="004F71D4"/>
    <w:rsid w:val="005101CE"/>
    <w:rsid w:val="00511D43"/>
    <w:rsid w:val="00516006"/>
    <w:rsid w:val="0052481C"/>
    <w:rsid w:val="00554962"/>
    <w:rsid w:val="00555F2F"/>
    <w:rsid w:val="00576D0C"/>
    <w:rsid w:val="005865A2"/>
    <w:rsid w:val="005A2F23"/>
    <w:rsid w:val="005A6CA1"/>
    <w:rsid w:val="005C0C27"/>
    <w:rsid w:val="005C4C70"/>
    <w:rsid w:val="005C57AC"/>
    <w:rsid w:val="005D3265"/>
    <w:rsid w:val="005E5783"/>
    <w:rsid w:val="005E7A98"/>
    <w:rsid w:val="005F114D"/>
    <w:rsid w:val="005F29CC"/>
    <w:rsid w:val="00611C28"/>
    <w:rsid w:val="00621F69"/>
    <w:rsid w:val="006267E0"/>
    <w:rsid w:val="00640A1E"/>
    <w:rsid w:val="00671067"/>
    <w:rsid w:val="0067686C"/>
    <w:rsid w:val="00683C3F"/>
    <w:rsid w:val="006A271B"/>
    <w:rsid w:val="006A5CCF"/>
    <w:rsid w:val="006C1569"/>
    <w:rsid w:val="006C2EFD"/>
    <w:rsid w:val="006D3E38"/>
    <w:rsid w:val="006D40AE"/>
    <w:rsid w:val="006D53EE"/>
    <w:rsid w:val="006D5AED"/>
    <w:rsid w:val="006E2A5A"/>
    <w:rsid w:val="006F76A0"/>
    <w:rsid w:val="00703D3D"/>
    <w:rsid w:val="00720639"/>
    <w:rsid w:val="00723DC7"/>
    <w:rsid w:val="00733870"/>
    <w:rsid w:val="0073580A"/>
    <w:rsid w:val="007429CF"/>
    <w:rsid w:val="00753696"/>
    <w:rsid w:val="00797056"/>
    <w:rsid w:val="00797ED8"/>
    <w:rsid w:val="007A7982"/>
    <w:rsid w:val="007B4445"/>
    <w:rsid w:val="007D2869"/>
    <w:rsid w:val="007E0127"/>
    <w:rsid w:val="007E4DE4"/>
    <w:rsid w:val="007E5895"/>
    <w:rsid w:val="007F2595"/>
    <w:rsid w:val="00805402"/>
    <w:rsid w:val="00815314"/>
    <w:rsid w:val="00824EA5"/>
    <w:rsid w:val="00825EF2"/>
    <w:rsid w:val="00831680"/>
    <w:rsid w:val="0086201D"/>
    <w:rsid w:val="00865C64"/>
    <w:rsid w:val="00874264"/>
    <w:rsid w:val="008767C1"/>
    <w:rsid w:val="00883893"/>
    <w:rsid w:val="00891539"/>
    <w:rsid w:val="008A1640"/>
    <w:rsid w:val="008A33A1"/>
    <w:rsid w:val="008C3665"/>
    <w:rsid w:val="008E76F1"/>
    <w:rsid w:val="008F18DD"/>
    <w:rsid w:val="00907257"/>
    <w:rsid w:val="00925718"/>
    <w:rsid w:val="00934C21"/>
    <w:rsid w:val="00942364"/>
    <w:rsid w:val="00952DF0"/>
    <w:rsid w:val="00961879"/>
    <w:rsid w:val="00964ECD"/>
    <w:rsid w:val="00971F86"/>
    <w:rsid w:val="00975B95"/>
    <w:rsid w:val="00975D56"/>
    <w:rsid w:val="009834D0"/>
    <w:rsid w:val="009839BD"/>
    <w:rsid w:val="00994BF1"/>
    <w:rsid w:val="009A1BF0"/>
    <w:rsid w:val="009A64D4"/>
    <w:rsid w:val="009A6598"/>
    <w:rsid w:val="009D173C"/>
    <w:rsid w:val="009D5952"/>
    <w:rsid w:val="009E2796"/>
    <w:rsid w:val="009F7A24"/>
    <w:rsid w:val="00A003F7"/>
    <w:rsid w:val="00A20910"/>
    <w:rsid w:val="00A27BA9"/>
    <w:rsid w:val="00A36BE0"/>
    <w:rsid w:val="00A36DD5"/>
    <w:rsid w:val="00A5407E"/>
    <w:rsid w:val="00A60455"/>
    <w:rsid w:val="00A735DF"/>
    <w:rsid w:val="00A82EF0"/>
    <w:rsid w:val="00AC20C3"/>
    <w:rsid w:val="00AE029E"/>
    <w:rsid w:val="00AE606F"/>
    <w:rsid w:val="00AF0B11"/>
    <w:rsid w:val="00B00102"/>
    <w:rsid w:val="00B1410B"/>
    <w:rsid w:val="00B14F82"/>
    <w:rsid w:val="00B15861"/>
    <w:rsid w:val="00B3491C"/>
    <w:rsid w:val="00B4650A"/>
    <w:rsid w:val="00B54C4F"/>
    <w:rsid w:val="00B611BF"/>
    <w:rsid w:val="00B613B4"/>
    <w:rsid w:val="00B6541E"/>
    <w:rsid w:val="00B65523"/>
    <w:rsid w:val="00B818A1"/>
    <w:rsid w:val="00B85F78"/>
    <w:rsid w:val="00B91450"/>
    <w:rsid w:val="00B916F5"/>
    <w:rsid w:val="00BA60CF"/>
    <w:rsid w:val="00BC28F8"/>
    <w:rsid w:val="00BD37BF"/>
    <w:rsid w:val="00BE2197"/>
    <w:rsid w:val="00C01289"/>
    <w:rsid w:val="00C134BF"/>
    <w:rsid w:val="00C22A78"/>
    <w:rsid w:val="00C25AF8"/>
    <w:rsid w:val="00C378CE"/>
    <w:rsid w:val="00C7699E"/>
    <w:rsid w:val="00C77AA1"/>
    <w:rsid w:val="00C82E27"/>
    <w:rsid w:val="00CA0CE9"/>
    <w:rsid w:val="00CE137C"/>
    <w:rsid w:val="00CF0673"/>
    <w:rsid w:val="00D14759"/>
    <w:rsid w:val="00D168CD"/>
    <w:rsid w:val="00D2415C"/>
    <w:rsid w:val="00D520C1"/>
    <w:rsid w:val="00D52EBD"/>
    <w:rsid w:val="00D534BD"/>
    <w:rsid w:val="00D63247"/>
    <w:rsid w:val="00D71BB9"/>
    <w:rsid w:val="00D72044"/>
    <w:rsid w:val="00D74523"/>
    <w:rsid w:val="00D801E7"/>
    <w:rsid w:val="00D817DD"/>
    <w:rsid w:val="00D84F3F"/>
    <w:rsid w:val="00D96238"/>
    <w:rsid w:val="00DA22E3"/>
    <w:rsid w:val="00DA7866"/>
    <w:rsid w:val="00DB2223"/>
    <w:rsid w:val="00DC5A39"/>
    <w:rsid w:val="00DF6388"/>
    <w:rsid w:val="00E14A80"/>
    <w:rsid w:val="00E27448"/>
    <w:rsid w:val="00E33280"/>
    <w:rsid w:val="00E45E66"/>
    <w:rsid w:val="00E52581"/>
    <w:rsid w:val="00E64490"/>
    <w:rsid w:val="00E82F63"/>
    <w:rsid w:val="00E865B8"/>
    <w:rsid w:val="00E92A6F"/>
    <w:rsid w:val="00EA225C"/>
    <w:rsid w:val="00EC21C2"/>
    <w:rsid w:val="00EC352C"/>
    <w:rsid w:val="00F055CB"/>
    <w:rsid w:val="00F12EF7"/>
    <w:rsid w:val="00F2421D"/>
    <w:rsid w:val="00F41C02"/>
    <w:rsid w:val="00F47B38"/>
    <w:rsid w:val="00F47EBC"/>
    <w:rsid w:val="00F57D1A"/>
    <w:rsid w:val="00F74001"/>
    <w:rsid w:val="00FE6657"/>
    <w:rsid w:val="00FE6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B81C6809-8745-492F-B35B-A2576BD3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E4"/>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 w:type="character" w:styleId="CommentReference">
    <w:name w:val="annotation reference"/>
    <w:basedOn w:val="DefaultParagraphFont"/>
    <w:uiPriority w:val="99"/>
    <w:semiHidden/>
    <w:unhideWhenUsed/>
    <w:rsid w:val="003F3E84"/>
    <w:rPr>
      <w:sz w:val="16"/>
      <w:szCs w:val="16"/>
    </w:rPr>
  </w:style>
  <w:style w:type="paragraph" w:styleId="CommentText">
    <w:name w:val="annotation text"/>
    <w:basedOn w:val="Normal"/>
    <w:link w:val="CommentTextChar"/>
    <w:uiPriority w:val="99"/>
    <w:semiHidden/>
    <w:unhideWhenUsed/>
    <w:rsid w:val="003F3E84"/>
    <w:rPr>
      <w:sz w:val="20"/>
      <w:szCs w:val="18"/>
    </w:rPr>
  </w:style>
  <w:style w:type="character" w:customStyle="1" w:styleId="CommentTextChar">
    <w:name w:val="Comment Text Char"/>
    <w:basedOn w:val="DefaultParagraphFont"/>
    <w:link w:val="CommentText"/>
    <w:uiPriority w:val="99"/>
    <w:semiHidden/>
    <w:rsid w:val="003F3E84"/>
    <w:rPr>
      <w:rFonts w:ascii="Times New Roman" w:eastAsia="SimSun" w:hAnsi="Times New Roman" w:cs="Mangal"/>
      <w:kern w:val="1"/>
      <w:sz w:val="20"/>
      <w:szCs w:val="18"/>
      <w:lang w:val="lt-LT" w:eastAsia="zh-CN" w:bidi="hi-IN"/>
    </w:rPr>
  </w:style>
  <w:style w:type="paragraph" w:styleId="CommentSubject">
    <w:name w:val="annotation subject"/>
    <w:basedOn w:val="CommentText"/>
    <w:next w:val="CommentText"/>
    <w:link w:val="CommentSubjectChar"/>
    <w:uiPriority w:val="99"/>
    <w:semiHidden/>
    <w:unhideWhenUsed/>
    <w:rsid w:val="003F3E84"/>
    <w:rPr>
      <w:b/>
      <w:bCs/>
    </w:rPr>
  </w:style>
  <w:style w:type="character" w:customStyle="1" w:styleId="CommentSubjectChar">
    <w:name w:val="Comment Subject Char"/>
    <w:basedOn w:val="CommentTextChar"/>
    <w:link w:val="CommentSubject"/>
    <w:uiPriority w:val="99"/>
    <w:semiHidden/>
    <w:rsid w:val="003F3E84"/>
    <w:rPr>
      <w:rFonts w:ascii="Times New Roman" w:eastAsia="SimSun" w:hAnsi="Times New Roman" w:cs="Mangal"/>
      <w:b/>
      <w:bCs/>
      <w:kern w:val="1"/>
      <w:sz w:val="20"/>
      <w:szCs w:val="18"/>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3761">
      <w:bodyDiv w:val="1"/>
      <w:marLeft w:val="0"/>
      <w:marRight w:val="0"/>
      <w:marTop w:val="0"/>
      <w:marBottom w:val="0"/>
      <w:divBdr>
        <w:top w:val="none" w:sz="0" w:space="0" w:color="auto"/>
        <w:left w:val="none" w:sz="0" w:space="0" w:color="auto"/>
        <w:bottom w:val="none" w:sz="0" w:space="0" w:color="auto"/>
        <w:right w:val="none" w:sz="0" w:space="0" w:color="auto"/>
      </w:divBdr>
    </w:div>
    <w:div w:id="149614268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0B11C-6824-4DC1-9202-A6637688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3499</Words>
  <Characters>1995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v.savicke@hotmail.com</dc:creator>
  <cp:lastModifiedBy>Jonė Baronaitė</cp:lastModifiedBy>
  <cp:revision>5</cp:revision>
  <cp:lastPrinted>2025-09-08T08:26:00Z</cp:lastPrinted>
  <dcterms:created xsi:type="dcterms:W3CDTF">2025-09-08T10:21:00Z</dcterms:created>
  <dcterms:modified xsi:type="dcterms:W3CDTF">2025-09-09T09:50:00Z</dcterms:modified>
</cp:coreProperties>
</file>