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876" w14:textId="1E0E601F" w:rsidR="000F1088" w:rsidRDefault="009651FC">
      <w:pPr>
        <w:pStyle w:val="Pagrindiniotekstotrauka"/>
        <w:ind w:left="0"/>
        <w:jc w:val="center"/>
      </w:pPr>
      <w:r>
        <w:t xml:space="preserve"> </w:t>
      </w:r>
      <w:r w:rsidR="00027F24">
        <w:tab/>
      </w:r>
      <w:r w:rsidR="00027F24">
        <w:tab/>
      </w:r>
      <w:r w:rsidR="00027F24">
        <w:tab/>
      </w:r>
      <w:r w:rsidR="00027F24">
        <w:rPr>
          <w:noProof/>
          <w:lang w:eastAsia="lt-LT"/>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rsidR="00027F24">
        <w:tab/>
      </w:r>
      <w:r w:rsidR="00027F24">
        <w:tab/>
      </w:r>
      <w:r w:rsidR="00027F24">
        <w:tab/>
        <w:t>Projektas</w:t>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Pr="00E15343" w:rsidRDefault="00027F24">
      <w:pPr>
        <w:pStyle w:val="Antrats"/>
        <w:jc w:val="center"/>
        <w:rPr>
          <w:b/>
          <w:caps/>
          <w:sz w:val="24"/>
          <w:szCs w:val="24"/>
        </w:rPr>
      </w:pPr>
      <w:r w:rsidRPr="00E15343">
        <w:rPr>
          <w:b/>
          <w:caps/>
          <w:sz w:val="24"/>
          <w:szCs w:val="24"/>
        </w:rPr>
        <w:t>sprendimas</w:t>
      </w:r>
    </w:p>
    <w:p w14:paraId="1EC4DA8A" w14:textId="77777777" w:rsidR="007E6C6B" w:rsidRDefault="00027F24">
      <w:pPr>
        <w:jc w:val="center"/>
        <w:rPr>
          <w:b/>
          <w:bCs/>
          <w:sz w:val="24"/>
          <w:szCs w:val="24"/>
        </w:rPr>
      </w:pPr>
      <w:r w:rsidRPr="00E15343">
        <w:rPr>
          <w:b/>
          <w:bCs/>
          <w:sz w:val="24"/>
          <w:szCs w:val="24"/>
        </w:rPr>
        <w:t xml:space="preserve">DĖL PANEVĖŽIO RAJONO SAVIVALDYBĖS TURTO INVESTAVIMO Į </w:t>
      </w:r>
    </w:p>
    <w:p w14:paraId="40385A84" w14:textId="01009ABB" w:rsidR="000F1088" w:rsidRPr="00E15343" w:rsidRDefault="00027F24">
      <w:pPr>
        <w:jc w:val="center"/>
        <w:rPr>
          <w:b/>
          <w:sz w:val="24"/>
          <w:szCs w:val="24"/>
        </w:rPr>
      </w:pPr>
      <w:r w:rsidRPr="00E15343">
        <w:rPr>
          <w:b/>
          <w:bCs/>
          <w:sz w:val="24"/>
          <w:szCs w:val="24"/>
        </w:rPr>
        <w:t>VŠĮ VELŽIO KOMUNALINĮ ŪKĮ</w:t>
      </w:r>
    </w:p>
    <w:p w14:paraId="4CF547F4" w14:textId="77777777" w:rsidR="000F1088" w:rsidRDefault="000F1088">
      <w:pPr>
        <w:jc w:val="center"/>
        <w:rPr>
          <w:sz w:val="24"/>
          <w:szCs w:val="24"/>
        </w:rPr>
      </w:pPr>
    </w:p>
    <w:p w14:paraId="78D638D9" w14:textId="7A50B184" w:rsidR="000F1088" w:rsidRDefault="00027F24">
      <w:pPr>
        <w:jc w:val="center"/>
        <w:rPr>
          <w:sz w:val="24"/>
        </w:rPr>
      </w:pPr>
      <w:r>
        <w:rPr>
          <w:sz w:val="24"/>
        </w:rPr>
        <w:t>202</w:t>
      </w:r>
      <w:r w:rsidR="00120F24">
        <w:rPr>
          <w:sz w:val="24"/>
        </w:rPr>
        <w:t>5</w:t>
      </w:r>
      <w:r>
        <w:rPr>
          <w:sz w:val="24"/>
        </w:rPr>
        <w:t xml:space="preserve"> m. </w:t>
      </w:r>
      <w:r w:rsidR="00120F24">
        <w:rPr>
          <w:sz w:val="24"/>
        </w:rPr>
        <w:t>gegužės</w:t>
      </w:r>
      <w:r w:rsidR="00E15343">
        <w:rPr>
          <w:sz w:val="24"/>
        </w:rPr>
        <w:t xml:space="preserve"> 2</w:t>
      </w:r>
      <w:r w:rsidR="00120F24">
        <w:rPr>
          <w:sz w:val="24"/>
        </w:rPr>
        <w:t>9</w:t>
      </w:r>
      <w:r>
        <w:rPr>
          <w:sz w:val="24"/>
        </w:rPr>
        <w:t xml:space="preserve"> d. Nr. T-</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5507B051" w:rsidR="000F1088" w:rsidRPr="007B3DC8" w:rsidRDefault="00027F24">
      <w:pPr>
        <w:ind w:right="-30" w:firstLine="720"/>
        <w:jc w:val="both"/>
        <w:rPr>
          <w:sz w:val="24"/>
          <w:szCs w:val="24"/>
        </w:rPr>
      </w:pPr>
      <w:r w:rsidRPr="007B3DC8">
        <w:rPr>
          <w:sz w:val="24"/>
          <w:szCs w:val="24"/>
        </w:rPr>
        <w:t xml:space="preserve">Vadovaudamasi Lietuvos Respublikos valstybės ir savivaldybių turto valdymo, naudojimo ir disponavimo juo įstatymo 22 straipsnio 1 dalies 2 punktu, 2 dalies 5, 6 ir 7 punktais, </w:t>
      </w:r>
      <w:r w:rsidR="00406667">
        <w:rPr>
          <w:sz w:val="24"/>
          <w:szCs w:val="24"/>
        </w:rPr>
        <w:t>Lietuvos Respublikos šilumos</w:t>
      </w:r>
      <w:r w:rsidR="009723A6">
        <w:rPr>
          <w:sz w:val="24"/>
          <w:szCs w:val="24"/>
        </w:rPr>
        <w:t xml:space="preserve"> ūkio</w:t>
      </w:r>
      <w:r w:rsidR="00406667">
        <w:rPr>
          <w:sz w:val="24"/>
          <w:szCs w:val="24"/>
        </w:rPr>
        <w:t xml:space="preserve"> įstatymo </w:t>
      </w:r>
      <w:bookmarkStart w:id="0" w:name="_Hlk198207570"/>
      <w:r w:rsidR="00406667" w:rsidRPr="00406667">
        <w:rPr>
          <w:color w:val="000000"/>
          <w:sz w:val="24"/>
          <w:szCs w:val="24"/>
        </w:rPr>
        <w:t>8</w:t>
      </w:r>
      <w:r w:rsidR="00406667" w:rsidRPr="00406667">
        <w:rPr>
          <w:color w:val="000000"/>
          <w:sz w:val="24"/>
          <w:szCs w:val="24"/>
          <w:vertAlign w:val="superscript"/>
        </w:rPr>
        <w:t>1</w:t>
      </w:r>
      <w:r w:rsidR="00406667" w:rsidRPr="00406667">
        <w:rPr>
          <w:sz w:val="24"/>
          <w:szCs w:val="24"/>
        </w:rPr>
        <w:t xml:space="preserve"> </w:t>
      </w:r>
      <w:r w:rsidR="00406667">
        <w:rPr>
          <w:sz w:val="24"/>
          <w:szCs w:val="24"/>
        </w:rPr>
        <w:t>straipsnio 2 dalies 2 punktu</w:t>
      </w:r>
      <w:bookmarkEnd w:id="0"/>
      <w:r w:rsidR="00406667">
        <w:rPr>
          <w:sz w:val="24"/>
          <w:szCs w:val="24"/>
        </w:rPr>
        <w:t xml:space="preserve">, </w:t>
      </w:r>
      <w:r w:rsidRPr="007B3DC8">
        <w:rPr>
          <w:sz w:val="24"/>
          <w:szCs w:val="24"/>
        </w:rPr>
        <w:t>Sprendimo investuoti valstybės ir savivaldybių turtą priėmimo tvarkos aprašu, patvirtintu Lietuvos Respublikos Vyriausybės 2007 m. liepos 4 d. nutarimu Nr. 758 „Dėl Sprendimo investuoti valstybės ir savivaldybių turtą priėmimo tvarkos aprašo patvirtinimo</w:t>
      </w:r>
      <w:r w:rsidRPr="007B3DC8">
        <w:rPr>
          <w:color w:val="000000"/>
          <w:sz w:val="24"/>
          <w:szCs w:val="24"/>
        </w:rPr>
        <w:t xml:space="preserve">“, ir </w:t>
      </w:r>
      <w:r w:rsidRPr="007B3DC8">
        <w:rPr>
          <w:sz w:val="24"/>
          <w:szCs w:val="24"/>
        </w:rPr>
        <w:t xml:space="preserve">atsižvelgdama į Panevėžio rajono savivaldybės </w:t>
      </w:r>
      <w:r w:rsidR="000B6C4A">
        <w:rPr>
          <w:sz w:val="24"/>
          <w:szCs w:val="24"/>
        </w:rPr>
        <w:t xml:space="preserve">mero </w:t>
      </w:r>
      <w:r w:rsidRPr="007B3DC8">
        <w:rPr>
          <w:sz w:val="24"/>
          <w:szCs w:val="24"/>
        </w:rPr>
        <w:t>202</w:t>
      </w:r>
      <w:r w:rsidR="00120F24">
        <w:rPr>
          <w:sz w:val="24"/>
          <w:szCs w:val="24"/>
        </w:rPr>
        <w:t>5</w:t>
      </w:r>
      <w:r w:rsidRPr="007B3DC8">
        <w:rPr>
          <w:sz w:val="24"/>
          <w:szCs w:val="24"/>
        </w:rPr>
        <w:t xml:space="preserve"> m.</w:t>
      </w:r>
      <w:r w:rsidR="000B6C4A">
        <w:rPr>
          <w:sz w:val="24"/>
          <w:szCs w:val="24"/>
        </w:rPr>
        <w:t xml:space="preserve"> </w:t>
      </w:r>
      <w:r w:rsidR="00120F24">
        <w:rPr>
          <w:sz w:val="24"/>
          <w:szCs w:val="24"/>
        </w:rPr>
        <w:t>gegužės 15</w:t>
      </w:r>
      <w:r w:rsidR="00E15343">
        <w:rPr>
          <w:sz w:val="24"/>
          <w:szCs w:val="24"/>
        </w:rPr>
        <w:t xml:space="preserve"> </w:t>
      </w:r>
      <w:r w:rsidRPr="007B3DC8">
        <w:rPr>
          <w:sz w:val="24"/>
          <w:szCs w:val="24"/>
        </w:rPr>
        <w:t xml:space="preserve">d. </w:t>
      </w:r>
      <w:r w:rsidR="000B6C4A">
        <w:rPr>
          <w:sz w:val="24"/>
          <w:szCs w:val="24"/>
        </w:rPr>
        <w:t>potvarkį</w:t>
      </w:r>
      <w:r w:rsidRPr="007B3DC8">
        <w:rPr>
          <w:sz w:val="24"/>
          <w:szCs w:val="24"/>
        </w:rPr>
        <w:t xml:space="preserve"> Nr. </w:t>
      </w:r>
      <w:r w:rsidR="000B6C4A">
        <w:rPr>
          <w:sz w:val="24"/>
          <w:szCs w:val="24"/>
        </w:rPr>
        <w:t>M</w:t>
      </w:r>
      <w:r w:rsidR="0004462C" w:rsidRPr="007B3DC8">
        <w:rPr>
          <w:sz w:val="24"/>
          <w:szCs w:val="24"/>
        </w:rPr>
        <w:t>-</w:t>
      </w:r>
      <w:r w:rsidR="00AC53A5" w:rsidRPr="009723A6">
        <w:rPr>
          <w:sz w:val="24"/>
          <w:szCs w:val="24"/>
        </w:rPr>
        <w:t>3</w:t>
      </w:r>
      <w:r w:rsidR="009723A6" w:rsidRPr="009723A6">
        <w:rPr>
          <w:sz w:val="24"/>
          <w:szCs w:val="24"/>
        </w:rPr>
        <w:t>16</w:t>
      </w:r>
      <w:r w:rsidR="00E15343">
        <w:rPr>
          <w:sz w:val="24"/>
          <w:szCs w:val="24"/>
        </w:rPr>
        <w:t xml:space="preserve"> </w:t>
      </w:r>
      <w:r w:rsidRPr="007B3DC8">
        <w:rPr>
          <w:sz w:val="24"/>
          <w:szCs w:val="24"/>
        </w:rPr>
        <w:t>„</w:t>
      </w:r>
      <w:r w:rsidR="000B6C4A" w:rsidRPr="000B6C4A">
        <w:rPr>
          <w:sz w:val="24"/>
          <w:szCs w:val="24"/>
        </w:rPr>
        <w:t>Dėl pasiūlymo Panevėžio rajono savivaldybės tarybai priimti sprendimą investuoti Panevėžio rajono savivaldybės turtą</w:t>
      </w:r>
      <w:r w:rsidRPr="007B3DC8">
        <w:rPr>
          <w:sz w:val="24"/>
          <w:szCs w:val="24"/>
        </w:rPr>
        <w:t>“, Savivaldybės taryba n u s p r e n d ž i a:</w:t>
      </w:r>
    </w:p>
    <w:p w14:paraId="3BE1FC08" w14:textId="420ED5DA" w:rsidR="001418AD" w:rsidRPr="007B3DC8" w:rsidRDefault="001418AD" w:rsidP="000755F4">
      <w:pPr>
        <w:ind w:firstLine="720"/>
        <w:jc w:val="both"/>
        <w:rPr>
          <w:sz w:val="24"/>
          <w:szCs w:val="24"/>
        </w:rPr>
      </w:pPr>
      <w:r w:rsidRPr="007B3DC8">
        <w:rPr>
          <w:spacing w:val="-1"/>
          <w:sz w:val="24"/>
          <w:szCs w:val="24"/>
        </w:rPr>
        <w:t>1. I</w:t>
      </w:r>
      <w:r w:rsidRPr="007B3DC8">
        <w:rPr>
          <w:sz w:val="24"/>
          <w:szCs w:val="24"/>
        </w:rPr>
        <w:t xml:space="preserve">nvestuoti į VšĮ Velžio komunalinį ūkį, įstaigos kodas 168967899, adresas: Nevėžio g. </w:t>
      </w:r>
      <w:r w:rsidR="000B6C4A">
        <w:rPr>
          <w:sz w:val="24"/>
          <w:szCs w:val="24"/>
        </w:rPr>
        <w:t>62</w:t>
      </w:r>
      <w:r w:rsidRPr="007B3DC8">
        <w:rPr>
          <w:sz w:val="24"/>
          <w:szCs w:val="24"/>
        </w:rPr>
        <w:t>, Velžio k., Panevėžio r. sav.,</w:t>
      </w:r>
      <w:r w:rsidR="00E15343">
        <w:rPr>
          <w:sz w:val="24"/>
          <w:szCs w:val="24"/>
        </w:rPr>
        <w:t xml:space="preserve"> finansinį turtą (pinigus) </w:t>
      </w:r>
      <w:r w:rsidR="000755F4">
        <w:rPr>
          <w:sz w:val="24"/>
          <w:szCs w:val="24"/>
        </w:rPr>
        <w:t>191  825</w:t>
      </w:r>
      <w:r w:rsidR="000B6C4A" w:rsidRPr="004701CE">
        <w:t xml:space="preserve"> </w:t>
      </w:r>
      <w:r w:rsidRPr="007B3DC8">
        <w:rPr>
          <w:sz w:val="24"/>
          <w:szCs w:val="24"/>
        </w:rPr>
        <w:t>(</w:t>
      </w:r>
      <w:r w:rsidR="000755F4">
        <w:rPr>
          <w:sz w:val="24"/>
          <w:szCs w:val="24"/>
        </w:rPr>
        <w:t>v</w:t>
      </w:r>
      <w:r w:rsidR="000755F4" w:rsidRPr="000755F4">
        <w:rPr>
          <w:sz w:val="24"/>
          <w:szCs w:val="24"/>
        </w:rPr>
        <w:t>ien</w:t>
      </w:r>
      <w:r w:rsidR="007E6C6B">
        <w:rPr>
          <w:sz w:val="24"/>
          <w:szCs w:val="24"/>
        </w:rPr>
        <w:t>ą</w:t>
      </w:r>
      <w:r w:rsidR="000755F4" w:rsidRPr="000755F4">
        <w:rPr>
          <w:sz w:val="24"/>
          <w:szCs w:val="24"/>
        </w:rPr>
        <w:t xml:space="preserve"> šimt</w:t>
      </w:r>
      <w:r w:rsidR="007E6C6B">
        <w:rPr>
          <w:sz w:val="24"/>
          <w:szCs w:val="24"/>
        </w:rPr>
        <w:t>ą</w:t>
      </w:r>
      <w:r w:rsidR="000755F4" w:rsidRPr="000755F4">
        <w:rPr>
          <w:sz w:val="24"/>
          <w:szCs w:val="24"/>
        </w:rPr>
        <w:t xml:space="preserve"> devyniasdešimt vien</w:t>
      </w:r>
      <w:r w:rsidR="007E6C6B">
        <w:rPr>
          <w:sz w:val="24"/>
          <w:szCs w:val="24"/>
        </w:rPr>
        <w:t>ą</w:t>
      </w:r>
      <w:r w:rsidR="000755F4" w:rsidRPr="000755F4">
        <w:rPr>
          <w:sz w:val="24"/>
          <w:szCs w:val="24"/>
        </w:rPr>
        <w:t xml:space="preserve"> tūkstant</w:t>
      </w:r>
      <w:r w:rsidR="007E6C6B">
        <w:rPr>
          <w:sz w:val="24"/>
          <w:szCs w:val="24"/>
        </w:rPr>
        <w:t>į</w:t>
      </w:r>
      <w:r w:rsidR="000755F4" w:rsidRPr="000755F4">
        <w:rPr>
          <w:sz w:val="24"/>
          <w:szCs w:val="24"/>
        </w:rPr>
        <w:t xml:space="preserve"> aštuoni</w:t>
      </w:r>
      <w:r w:rsidR="007E6C6B">
        <w:rPr>
          <w:sz w:val="24"/>
          <w:szCs w:val="24"/>
        </w:rPr>
        <w:t>s</w:t>
      </w:r>
      <w:r w:rsidR="000755F4" w:rsidRPr="000755F4">
        <w:rPr>
          <w:sz w:val="24"/>
          <w:szCs w:val="24"/>
        </w:rPr>
        <w:t xml:space="preserve"> šimt</w:t>
      </w:r>
      <w:r w:rsidR="007E6C6B">
        <w:rPr>
          <w:sz w:val="24"/>
          <w:szCs w:val="24"/>
        </w:rPr>
        <w:t>us</w:t>
      </w:r>
      <w:r w:rsidR="000755F4" w:rsidRPr="000755F4">
        <w:rPr>
          <w:sz w:val="24"/>
          <w:szCs w:val="24"/>
        </w:rPr>
        <w:t xml:space="preserve"> dvidešimt penki</w:t>
      </w:r>
      <w:r w:rsidR="007E6C6B">
        <w:rPr>
          <w:sz w:val="24"/>
          <w:szCs w:val="24"/>
        </w:rPr>
        <w:t>s</w:t>
      </w:r>
      <w:r w:rsidR="000755F4" w:rsidRPr="000755F4">
        <w:rPr>
          <w:sz w:val="24"/>
          <w:szCs w:val="24"/>
        </w:rPr>
        <w:t xml:space="preserve"> eur</w:t>
      </w:r>
      <w:r w:rsidR="007E6C6B">
        <w:rPr>
          <w:sz w:val="24"/>
          <w:szCs w:val="24"/>
        </w:rPr>
        <w:t>us</w:t>
      </w:r>
      <w:r w:rsidR="000755F4" w:rsidRPr="000755F4">
        <w:rPr>
          <w:sz w:val="24"/>
          <w:szCs w:val="24"/>
        </w:rPr>
        <w:t xml:space="preserve"> 00 ct</w:t>
      </w:r>
      <w:r w:rsidR="000755F4">
        <w:rPr>
          <w:sz w:val="24"/>
          <w:szCs w:val="24"/>
        </w:rPr>
        <w:t>)</w:t>
      </w:r>
      <w:r w:rsidRPr="007B3DC8">
        <w:rPr>
          <w:sz w:val="24"/>
          <w:szCs w:val="24"/>
        </w:rPr>
        <w:t xml:space="preserve"> Eur dalininko įnašui </w:t>
      </w:r>
      <w:r w:rsidR="00FE5472">
        <w:rPr>
          <w:sz w:val="24"/>
          <w:szCs w:val="24"/>
        </w:rPr>
        <w:t xml:space="preserve">didinti </w:t>
      </w:r>
      <w:r w:rsidR="00E15343" w:rsidRPr="007B3DC8">
        <w:rPr>
          <w:sz w:val="24"/>
          <w:szCs w:val="24"/>
        </w:rPr>
        <w:t>iš Panevėžio rajono savivaldybės tarybos patvirtintų 202</w:t>
      </w:r>
      <w:r w:rsidR="00120F24">
        <w:rPr>
          <w:sz w:val="24"/>
          <w:szCs w:val="24"/>
        </w:rPr>
        <w:t>5</w:t>
      </w:r>
      <w:r w:rsidR="00E15343" w:rsidRPr="007B3DC8">
        <w:rPr>
          <w:sz w:val="24"/>
          <w:szCs w:val="24"/>
        </w:rPr>
        <w:t xml:space="preserve"> m. savivaldybės biudžeto asignavimų </w:t>
      </w:r>
      <w:r w:rsidR="007E6C6B">
        <w:rPr>
          <w:sz w:val="24"/>
          <w:szCs w:val="24"/>
        </w:rPr>
        <w:br/>
      </w:r>
      <w:r w:rsidR="00E15343" w:rsidRPr="007B3DC8">
        <w:rPr>
          <w:sz w:val="24"/>
          <w:szCs w:val="24"/>
        </w:rPr>
        <w:t>(04 Infrastruktūros priežiūros, modernizavimo ir plėtros programa)</w:t>
      </w:r>
      <w:r w:rsidR="00E15343">
        <w:rPr>
          <w:sz w:val="24"/>
          <w:szCs w:val="24"/>
        </w:rPr>
        <w:t>.</w:t>
      </w:r>
    </w:p>
    <w:p w14:paraId="5CD1DEF1" w14:textId="77777777" w:rsidR="000F1088" w:rsidRPr="007B3DC8" w:rsidRDefault="00027F24">
      <w:pPr>
        <w:ind w:firstLine="720"/>
        <w:jc w:val="both"/>
        <w:rPr>
          <w:sz w:val="24"/>
          <w:szCs w:val="24"/>
        </w:rPr>
      </w:pPr>
      <w:r w:rsidRPr="007B3DC8">
        <w:rPr>
          <w:sz w:val="24"/>
          <w:szCs w:val="24"/>
        </w:rPr>
        <w:t>2. Pavesti VšĮ Velžio komunalinio ūkio direktoriui spręsti visus su viešosios įstaigos kapitalo padidinimu susijusius klausimus.</w:t>
      </w:r>
    </w:p>
    <w:p w14:paraId="7A62AF72" w14:textId="77777777" w:rsidR="000F1088" w:rsidRPr="007B3DC8" w:rsidRDefault="000F1088">
      <w:pPr>
        <w:ind w:firstLine="720"/>
        <w:jc w:val="both"/>
        <w:rPr>
          <w:spacing w:val="-1"/>
          <w:sz w:val="24"/>
          <w:szCs w:val="24"/>
        </w:rPr>
      </w:pPr>
    </w:p>
    <w:p w14:paraId="36F197D5" w14:textId="77777777" w:rsidR="000F1088" w:rsidRPr="007B3DC8" w:rsidRDefault="000F1088">
      <w:pPr>
        <w:ind w:firstLine="720"/>
        <w:jc w:val="both"/>
        <w:rPr>
          <w:spacing w:val="-1"/>
          <w:sz w:val="24"/>
          <w:szCs w:val="24"/>
        </w:rPr>
      </w:pPr>
    </w:p>
    <w:p w14:paraId="6D5AA41D" w14:textId="77777777" w:rsidR="000F1088" w:rsidRPr="007B3DC8" w:rsidRDefault="000F1088">
      <w:pPr>
        <w:ind w:firstLine="720"/>
        <w:jc w:val="both"/>
        <w:rPr>
          <w:spacing w:val="-1"/>
          <w:sz w:val="24"/>
          <w:szCs w:val="24"/>
        </w:rPr>
      </w:pPr>
    </w:p>
    <w:p w14:paraId="4956CF4A" w14:textId="77777777" w:rsidR="000F1088" w:rsidRPr="007B3DC8" w:rsidRDefault="000F1088">
      <w:pPr>
        <w:ind w:firstLine="720"/>
        <w:jc w:val="both"/>
        <w:rPr>
          <w:spacing w:val="-1"/>
          <w:sz w:val="24"/>
          <w:szCs w:val="24"/>
        </w:rPr>
      </w:pPr>
    </w:p>
    <w:p w14:paraId="225B334F" w14:textId="77777777" w:rsidR="000F1088" w:rsidRPr="007B3DC8" w:rsidRDefault="000F1088">
      <w:pPr>
        <w:ind w:firstLine="720"/>
        <w:jc w:val="both"/>
        <w:rPr>
          <w:spacing w:val="-1"/>
          <w:sz w:val="24"/>
          <w:szCs w:val="24"/>
        </w:rPr>
      </w:pPr>
    </w:p>
    <w:p w14:paraId="1FCC26FB" w14:textId="77777777" w:rsidR="000F1088" w:rsidRPr="007B3DC8" w:rsidRDefault="000F1088">
      <w:pPr>
        <w:ind w:firstLine="720"/>
        <w:jc w:val="both"/>
        <w:rPr>
          <w:spacing w:val="-1"/>
          <w:sz w:val="24"/>
          <w:szCs w:val="24"/>
        </w:rPr>
      </w:pPr>
    </w:p>
    <w:p w14:paraId="76003762" w14:textId="77777777" w:rsidR="000F1088" w:rsidRPr="007B3DC8" w:rsidRDefault="000F1088">
      <w:pPr>
        <w:ind w:firstLine="720"/>
        <w:jc w:val="both"/>
        <w:rPr>
          <w:spacing w:val="-1"/>
          <w:sz w:val="24"/>
          <w:szCs w:val="24"/>
        </w:rPr>
      </w:pPr>
    </w:p>
    <w:p w14:paraId="0159A065" w14:textId="77777777" w:rsidR="000F1088" w:rsidRDefault="000F1088">
      <w:pPr>
        <w:ind w:firstLine="720"/>
        <w:jc w:val="both"/>
        <w:rPr>
          <w:spacing w:val="-1"/>
          <w:sz w:val="24"/>
          <w:szCs w:val="24"/>
        </w:rPr>
      </w:pPr>
    </w:p>
    <w:p w14:paraId="23CD8A70" w14:textId="77777777" w:rsidR="000F47CA" w:rsidRDefault="000F47CA">
      <w:pPr>
        <w:ind w:firstLine="720"/>
        <w:jc w:val="both"/>
        <w:rPr>
          <w:spacing w:val="-1"/>
          <w:sz w:val="24"/>
          <w:szCs w:val="24"/>
        </w:rPr>
      </w:pPr>
    </w:p>
    <w:p w14:paraId="27A53539" w14:textId="77777777" w:rsidR="000F47CA" w:rsidRDefault="000F47CA">
      <w:pPr>
        <w:ind w:firstLine="720"/>
        <w:jc w:val="both"/>
        <w:rPr>
          <w:spacing w:val="-1"/>
          <w:sz w:val="24"/>
          <w:szCs w:val="24"/>
        </w:rPr>
      </w:pPr>
    </w:p>
    <w:p w14:paraId="404C57EA" w14:textId="77777777" w:rsidR="000F47CA" w:rsidRDefault="000F47CA">
      <w:pPr>
        <w:ind w:firstLine="720"/>
        <w:jc w:val="both"/>
        <w:rPr>
          <w:spacing w:val="-1"/>
          <w:sz w:val="24"/>
          <w:szCs w:val="24"/>
        </w:rPr>
      </w:pPr>
    </w:p>
    <w:p w14:paraId="58ECEDF8" w14:textId="77777777" w:rsidR="000F47CA" w:rsidRDefault="000F47CA">
      <w:pPr>
        <w:ind w:firstLine="720"/>
        <w:jc w:val="both"/>
        <w:rPr>
          <w:spacing w:val="-1"/>
          <w:sz w:val="24"/>
          <w:szCs w:val="24"/>
        </w:rPr>
      </w:pPr>
    </w:p>
    <w:p w14:paraId="7ADDB6B2" w14:textId="77777777" w:rsidR="000F47CA" w:rsidRPr="007B3DC8" w:rsidRDefault="000F47CA">
      <w:pPr>
        <w:ind w:firstLine="720"/>
        <w:jc w:val="both"/>
        <w:rPr>
          <w:spacing w:val="-1"/>
          <w:sz w:val="24"/>
          <w:szCs w:val="24"/>
        </w:rPr>
      </w:pPr>
    </w:p>
    <w:p w14:paraId="666AE47B" w14:textId="77777777" w:rsidR="000F1088" w:rsidRDefault="000F1088">
      <w:pPr>
        <w:ind w:firstLine="720"/>
        <w:jc w:val="both"/>
        <w:rPr>
          <w:spacing w:val="-1"/>
          <w:sz w:val="24"/>
          <w:szCs w:val="24"/>
        </w:rPr>
      </w:pPr>
    </w:p>
    <w:p w14:paraId="76F1B3D7" w14:textId="77777777" w:rsidR="00406667" w:rsidRPr="007B3DC8" w:rsidRDefault="00406667">
      <w:pPr>
        <w:ind w:firstLine="720"/>
        <w:jc w:val="both"/>
        <w:rPr>
          <w:spacing w:val="-1"/>
          <w:sz w:val="24"/>
          <w:szCs w:val="24"/>
        </w:rPr>
      </w:pPr>
    </w:p>
    <w:p w14:paraId="756152FD" w14:textId="77777777" w:rsidR="000F1088" w:rsidRDefault="000F1088">
      <w:pPr>
        <w:ind w:firstLine="720"/>
        <w:jc w:val="both"/>
        <w:rPr>
          <w:spacing w:val="-1"/>
          <w:sz w:val="24"/>
          <w:szCs w:val="24"/>
        </w:rPr>
      </w:pPr>
    </w:p>
    <w:p w14:paraId="5131BC2F" w14:textId="77777777" w:rsidR="00406667" w:rsidRDefault="00406667">
      <w:pPr>
        <w:ind w:firstLine="720"/>
        <w:jc w:val="both"/>
        <w:rPr>
          <w:spacing w:val="-1"/>
          <w:sz w:val="24"/>
          <w:szCs w:val="24"/>
        </w:rPr>
      </w:pPr>
    </w:p>
    <w:p w14:paraId="22D4FEC4" w14:textId="77777777" w:rsidR="00406667" w:rsidRPr="007B3DC8" w:rsidRDefault="00406667">
      <w:pPr>
        <w:ind w:firstLine="720"/>
        <w:jc w:val="both"/>
        <w:rPr>
          <w:spacing w:val="-1"/>
          <w:sz w:val="24"/>
          <w:szCs w:val="24"/>
        </w:rPr>
      </w:pPr>
    </w:p>
    <w:p w14:paraId="31B9AFEB" w14:textId="77777777" w:rsidR="000F1088" w:rsidRPr="007B3DC8" w:rsidRDefault="000F1088">
      <w:pPr>
        <w:ind w:firstLine="720"/>
        <w:jc w:val="both"/>
        <w:rPr>
          <w:spacing w:val="-1"/>
          <w:sz w:val="24"/>
          <w:szCs w:val="24"/>
        </w:rPr>
      </w:pPr>
    </w:p>
    <w:p w14:paraId="3B9E9586" w14:textId="77777777" w:rsidR="000F1088" w:rsidRPr="007B3DC8" w:rsidRDefault="000F1088">
      <w:pPr>
        <w:ind w:firstLine="720"/>
        <w:jc w:val="both"/>
        <w:rPr>
          <w:spacing w:val="-1"/>
          <w:sz w:val="24"/>
          <w:szCs w:val="24"/>
        </w:rPr>
      </w:pPr>
    </w:p>
    <w:p w14:paraId="4DDB16A3" w14:textId="77777777" w:rsidR="000F1088" w:rsidRPr="007B3DC8" w:rsidRDefault="000F1088">
      <w:pPr>
        <w:ind w:firstLine="720"/>
        <w:jc w:val="both"/>
        <w:rPr>
          <w:spacing w:val="-1"/>
          <w:sz w:val="24"/>
          <w:szCs w:val="24"/>
        </w:rPr>
      </w:pPr>
    </w:p>
    <w:p w14:paraId="690046B3" w14:textId="77777777" w:rsidR="000F1088" w:rsidRPr="007B3DC8" w:rsidRDefault="000F1088">
      <w:pPr>
        <w:ind w:firstLine="720"/>
        <w:jc w:val="both"/>
        <w:rPr>
          <w:spacing w:val="-1"/>
          <w:sz w:val="24"/>
          <w:szCs w:val="24"/>
        </w:rPr>
      </w:pPr>
    </w:p>
    <w:p w14:paraId="4AA538EA" w14:textId="77777777" w:rsidR="00315B73" w:rsidRPr="007B3DC8" w:rsidRDefault="00315B73">
      <w:pPr>
        <w:ind w:firstLine="720"/>
        <w:jc w:val="both"/>
        <w:rPr>
          <w:spacing w:val="-1"/>
          <w:sz w:val="24"/>
          <w:szCs w:val="24"/>
        </w:rPr>
      </w:pPr>
    </w:p>
    <w:p w14:paraId="3F853476" w14:textId="77777777" w:rsidR="00315B73" w:rsidRPr="007B3DC8" w:rsidRDefault="00315B73">
      <w:pPr>
        <w:ind w:firstLine="720"/>
        <w:jc w:val="both"/>
        <w:rPr>
          <w:spacing w:val="-1"/>
          <w:sz w:val="24"/>
          <w:szCs w:val="24"/>
        </w:rPr>
      </w:pPr>
    </w:p>
    <w:p w14:paraId="60B25C6B" w14:textId="77777777" w:rsidR="00E15343" w:rsidRPr="00FE1381" w:rsidRDefault="00E15343" w:rsidP="00E15343">
      <w:pPr>
        <w:ind w:right="-1185"/>
        <w:jc w:val="center"/>
        <w:rPr>
          <w:b/>
          <w:sz w:val="24"/>
          <w:szCs w:val="24"/>
        </w:rPr>
      </w:pPr>
      <w:r w:rsidRPr="00FE1381">
        <w:rPr>
          <w:b/>
          <w:sz w:val="24"/>
          <w:szCs w:val="24"/>
        </w:rPr>
        <w:lastRenderedPageBreak/>
        <w:t>PANEVĖŽIO RAJONO SAVIVALDYBĖS ADMINISTRACIJOS</w:t>
      </w:r>
    </w:p>
    <w:p w14:paraId="5FF0EF50" w14:textId="77777777" w:rsidR="000F1088" w:rsidRPr="000F47CA" w:rsidRDefault="00027F24">
      <w:pPr>
        <w:jc w:val="center"/>
        <w:rPr>
          <w:b/>
          <w:sz w:val="24"/>
          <w:szCs w:val="24"/>
        </w:rPr>
      </w:pPr>
      <w:r w:rsidRPr="000F47CA">
        <w:rPr>
          <w:b/>
          <w:sz w:val="24"/>
          <w:szCs w:val="24"/>
        </w:rPr>
        <w:t>EKONOMIKOS IR TURTO VALDYMO SKYRIUS</w:t>
      </w:r>
    </w:p>
    <w:p w14:paraId="3919C866" w14:textId="77777777" w:rsidR="000F1088" w:rsidRPr="000F47CA" w:rsidRDefault="000F1088">
      <w:pPr>
        <w:jc w:val="both"/>
        <w:rPr>
          <w:sz w:val="24"/>
          <w:szCs w:val="24"/>
        </w:rPr>
      </w:pPr>
    </w:p>
    <w:p w14:paraId="2D29BFF5" w14:textId="77777777" w:rsidR="000F1088" w:rsidRPr="000F47CA" w:rsidRDefault="00027F24">
      <w:pPr>
        <w:jc w:val="both"/>
        <w:rPr>
          <w:sz w:val="24"/>
          <w:szCs w:val="24"/>
        </w:rPr>
      </w:pPr>
      <w:r w:rsidRPr="000F47CA">
        <w:rPr>
          <w:sz w:val="24"/>
          <w:szCs w:val="24"/>
        </w:rPr>
        <w:t>Panevėžio rajono savivaldybės tarybai</w:t>
      </w:r>
    </w:p>
    <w:p w14:paraId="35B5D7BF" w14:textId="77777777" w:rsidR="000F1088" w:rsidRPr="000F47CA" w:rsidRDefault="000F1088">
      <w:pPr>
        <w:jc w:val="both"/>
        <w:rPr>
          <w:sz w:val="24"/>
          <w:szCs w:val="24"/>
        </w:rPr>
      </w:pPr>
    </w:p>
    <w:p w14:paraId="1C2287A4" w14:textId="77777777" w:rsidR="000F1088" w:rsidRPr="000F47CA" w:rsidRDefault="00027F24">
      <w:pPr>
        <w:jc w:val="center"/>
        <w:rPr>
          <w:b/>
          <w:sz w:val="24"/>
          <w:szCs w:val="24"/>
        </w:rPr>
      </w:pPr>
      <w:r w:rsidRPr="000F47CA">
        <w:rPr>
          <w:b/>
          <w:sz w:val="24"/>
          <w:szCs w:val="24"/>
        </w:rPr>
        <w:t xml:space="preserve">SAVIVALDYBĖS TARYBOS SPRENDIMO </w:t>
      </w:r>
      <w:r w:rsidRPr="000F47CA">
        <w:rPr>
          <w:b/>
          <w:bCs/>
          <w:sz w:val="24"/>
          <w:szCs w:val="24"/>
        </w:rPr>
        <w:t>„</w:t>
      </w:r>
      <w:r w:rsidRPr="000F47CA">
        <w:rPr>
          <w:b/>
          <w:bCs/>
          <w:caps/>
          <w:sz w:val="24"/>
          <w:szCs w:val="24"/>
        </w:rPr>
        <w:t xml:space="preserve">Dėl </w:t>
      </w:r>
      <w:r w:rsidRPr="000F47CA">
        <w:rPr>
          <w:b/>
          <w:bCs/>
          <w:sz w:val="24"/>
          <w:szCs w:val="24"/>
        </w:rPr>
        <w:t>PANEVĖŽIO RAJONO SAVIVALDYBĖS TURTO INVESTAVIMO Į VŠĮ VELŽIO KOMUNALINĮ ŪKĮ“</w:t>
      </w:r>
      <w:r w:rsidRPr="000F47CA">
        <w:rPr>
          <w:b/>
          <w:sz w:val="24"/>
          <w:szCs w:val="24"/>
        </w:rPr>
        <w:t xml:space="preserve"> PROJEKTO AIŠKINAMASIS RAŠTAS</w:t>
      </w:r>
    </w:p>
    <w:p w14:paraId="73BA5C77" w14:textId="77777777" w:rsidR="00315B73" w:rsidRPr="000F47CA" w:rsidRDefault="00315B73">
      <w:pPr>
        <w:jc w:val="center"/>
        <w:rPr>
          <w:b/>
          <w:sz w:val="24"/>
          <w:szCs w:val="24"/>
        </w:rPr>
      </w:pPr>
    </w:p>
    <w:p w14:paraId="4F7A42C8" w14:textId="562925D4" w:rsidR="000F1088" w:rsidRPr="000F47CA" w:rsidRDefault="00027F24">
      <w:pPr>
        <w:jc w:val="center"/>
        <w:rPr>
          <w:sz w:val="24"/>
          <w:szCs w:val="24"/>
        </w:rPr>
      </w:pPr>
      <w:r w:rsidRPr="000F47CA">
        <w:rPr>
          <w:b/>
          <w:sz w:val="24"/>
          <w:szCs w:val="24"/>
        </w:rPr>
        <w:t xml:space="preserve"> </w:t>
      </w:r>
      <w:r w:rsidRPr="000F47CA">
        <w:rPr>
          <w:sz w:val="24"/>
          <w:szCs w:val="24"/>
        </w:rPr>
        <w:t>202</w:t>
      </w:r>
      <w:r w:rsidR="00120F24">
        <w:rPr>
          <w:sz w:val="24"/>
          <w:szCs w:val="24"/>
        </w:rPr>
        <w:t>5</w:t>
      </w:r>
      <w:r w:rsidRPr="000F47CA">
        <w:rPr>
          <w:sz w:val="24"/>
          <w:szCs w:val="24"/>
        </w:rPr>
        <w:t xml:space="preserve"> m. </w:t>
      </w:r>
      <w:r w:rsidR="00120F24">
        <w:rPr>
          <w:sz w:val="24"/>
          <w:szCs w:val="24"/>
        </w:rPr>
        <w:t>gegužės</w:t>
      </w:r>
      <w:r w:rsidR="00E15343">
        <w:rPr>
          <w:sz w:val="24"/>
          <w:szCs w:val="24"/>
        </w:rPr>
        <w:t xml:space="preserve"> 1</w:t>
      </w:r>
      <w:r w:rsidR="00120F24">
        <w:rPr>
          <w:sz w:val="24"/>
          <w:szCs w:val="24"/>
        </w:rPr>
        <w:t>5</w:t>
      </w:r>
      <w:r w:rsidRPr="000F47CA">
        <w:rPr>
          <w:sz w:val="24"/>
          <w:szCs w:val="24"/>
        </w:rPr>
        <w:t xml:space="preserve"> d.</w:t>
      </w:r>
    </w:p>
    <w:p w14:paraId="2060CEBF" w14:textId="77777777" w:rsidR="000F1088" w:rsidRPr="000F47CA" w:rsidRDefault="00027F24">
      <w:pPr>
        <w:jc w:val="center"/>
        <w:rPr>
          <w:sz w:val="24"/>
          <w:szCs w:val="24"/>
        </w:rPr>
      </w:pPr>
      <w:r w:rsidRPr="000F47CA">
        <w:rPr>
          <w:sz w:val="24"/>
          <w:szCs w:val="24"/>
        </w:rPr>
        <w:t>Panevėžys</w:t>
      </w:r>
    </w:p>
    <w:p w14:paraId="3CE831EE" w14:textId="77777777" w:rsidR="000F1088" w:rsidRPr="000F47CA" w:rsidRDefault="000F1088">
      <w:pPr>
        <w:jc w:val="center"/>
        <w:rPr>
          <w:sz w:val="24"/>
          <w:szCs w:val="24"/>
        </w:rPr>
      </w:pPr>
    </w:p>
    <w:p w14:paraId="32D0484F" w14:textId="43577347" w:rsidR="000F1088" w:rsidRPr="000F47CA" w:rsidRDefault="007731EE" w:rsidP="007731EE">
      <w:pPr>
        <w:ind w:firstLine="720"/>
        <w:jc w:val="both"/>
        <w:rPr>
          <w:b/>
          <w:sz w:val="24"/>
          <w:szCs w:val="24"/>
        </w:rPr>
      </w:pPr>
      <w:r w:rsidRPr="000F47CA">
        <w:rPr>
          <w:b/>
          <w:sz w:val="24"/>
          <w:szCs w:val="24"/>
        </w:rPr>
        <w:t xml:space="preserve">1. </w:t>
      </w:r>
      <w:r w:rsidR="00027F24" w:rsidRPr="000F47CA">
        <w:rPr>
          <w:b/>
          <w:sz w:val="24"/>
          <w:szCs w:val="24"/>
        </w:rPr>
        <w:t>Sprendimo projekto tikslai ir uždaviniai</w:t>
      </w:r>
    </w:p>
    <w:p w14:paraId="7B72D829" w14:textId="12449C60" w:rsidR="000F1088" w:rsidRPr="000F47CA" w:rsidRDefault="00027F24" w:rsidP="007E6C6B">
      <w:pPr>
        <w:ind w:firstLine="720"/>
        <w:jc w:val="both"/>
        <w:rPr>
          <w:sz w:val="24"/>
          <w:szCs w:val="24"/>
        </w:rPr>
      </w:pPr>
      <w:r w:rsidRPr="000F47CA">
        <w:rPr>
          <w:color w:val="000000"/>
          <w:sz w:val="24"/>
          <w:szCs w:val="24"/>
        </w:rPr>
        <w:t>Sprendimo projekto tikslas – i</w:t>
      </w:r>
      <w:r w:rsidRPr="000F47CA">
        <w:rPr>
          <w:sz w:val="24"/>
          <w:szCs w:val="24"/>
        </w:rPr>
        <w:t>nvestuoti į VšĮ Velžio komunalinį ūkį</w:t>
      </w:r>
      <w:r w:rsidR="00904D02">
        <w:rPr>
          <w:sz w:val="24"/>
          <w:szCs w:val="24"/>
        </w:rPr>
        <w:t xml:space="preserve"> </w:t>
      </w:r>
      <w:r w:rsidR="007E6C6B" w:rsidRPr="00C57B87">
        <w:rPr>
          <w:sz w:val="24"/>
          <w:szCs w:val="24"/>
        </w:rPr>
        <w:t>(toliau – Įstaiga)</w:t>
      </w:r>
      <w:r w:rsidR="007E6C6B">
        <w:rPr>
          <w:sz w:val="24"/>
          <w:szCs w:val="24"/>
        </w:rPr>
        <w:t xml:space="preserve"> </w:t>
      </w:r>
      <w:r w:rsidR="000755F4">
        <w:rPr>
          <w:sz w:val="24"/>
          <w:szCs w:val="24"/>
        </w:rPr>
        <w:t>191 825 Eur</w:t>
      </w:r>
      <w:r w:rsidRPr="000F47CA">
        <w:rPr>
          <w:sz w:val="24"/>
          <w:szCs w:val="24"/>
        </w:rPr>
        <w:t xml:space="preserve"> dalininko įnašui didinti</w:t>
      </w:r>
      <w:r w:rsidR="00DB4250">
        <w:rPr>
          <w:sz w:val="24"/>
          <w:szCs w:val="24"/>
        </w:rPr>
        <w:t xml:space="preserve"> </w:t>
      </w:r>
      <w:r w:rsidR="00E15343">
        <w:rPr>
          <w:sz w:val="24"/>
          <w:szCs w:val="24"/>
        </w:rPr>
        <w:t>piniginiu</w:t>
      </w:r>
      <w:r w:rsidR="00DB4250">
        <w:rPr>
          <w:sz w:val="24"/>
          <w:szCs w:val="24"/>
        </w:rPr>
        <w:t xml:space="preserve"> įnašu.</w:t>
      </w:r>
    </w:p>
    <w:p w14:paraId="7FDB9873" w14:textId="6373E43A" w:rsidR="000F1088" w:rsidRPr="00904D02" w:rsidRDefault="00027F24" w:rsidP="00904D02">
      <w:pPr>
        <w:ind w:firstLine="720"/>
        <w:jc w:val="both"/>
        <w:rPr>
          <w:b/>
          <w:sz w:val="24"/>
          <w:szCs w:val="24"/>
        </w:rPr>
      </w:pPr>
      <w:r w:rsidRPr="000F47CA">
        <w:rPr>
          <w:b/>
          <w:bCs/>
          <w:sz w:val="24"/>
          <w:szCs w:val="24"/>
        </w:rPr>
        <w:t>2.</w:t>
      </w:r>
      <w:r w:rsidRPr="000F47CA">
        <w:rPr>
          <w:b/>
          <w:sz w:val="24"/>
          <w:szCs w:val="24"/>
        </w:rPr>
        <w:t xml:space="preserve"> Siūlomos teisinio reguliavimo nuostatos</w:t>
      </w:r>
      <w:r w:rsidRPr="000F47CA">
        <w:rPr>
          <w:b/>
          <w:bCs/>
          <w:sz w:val="24"/>
          <w:szCs w:val="24"/>
        </w:rPr>
        <w:t xml:space="preserve"> </w:t>
      </w:r>
      <w:r w:rsidR="00904D02">
        <w:rPr>
          <w:b/>
          <w:sz w:val="24"/>
          <w:szCs w:val="24"/>
        </w:rPr>
        <w:t>ir l</w:t>
      </w:r>
      <w:r w:rsidR="00904D02" w:rsidRPr="000F47CA">
        <w:rPr>
          <w:b/>
          <w:sz w:val="24"/>
          <w:szCs w:val="24"/>
        </w:rPr>
        <w:t>aukiami rezultatai</w:t>
      </w:r>
    </w:p>
    <w:p w14:paraId="4CF403C4" w14:textId="45E4363F" w:rsidR="00E537A6" w:rsidRDefault="00027F24" w:rsidP="007731EE">
      <w:pPr>
        <w:ind w:firstLine="720"/>
        <w:jc w:val="both"/>
        <w:rPr>
          <w:sz w:val="24"/>
          <w:szCs w:val="24"/>
        </w:rPr>
      </w:pPr>
      <w:r w:rsidRPr="000F47CA">
        <w:rPr>
          <w:color w:val="000000"/>
          <w:spacing w:val="-3"/>
          <w:sz w:val="24"/>
          <w:szCs w:val="24"/>
        </w:rPr>
        <w:t>Sprendimus dėl savivaldyb</w:t>
      </w:r>
      <w:r w:rsidR="00B51837">
        <w:rPr>
          <w:color w:val="000000"/>
          <w:spacing w:val="-3"/>
          <w:sz w:val="24"/>
          <w:szCs w:val="24"/>
        </w:rPr>
        <w:t>ei</w:t>
      </w:r>
      <w:r w:rsidRPr="000F47CA">
        <w:rPr>
          <w:color w:val="000000"/>
          <w:spacing w:val="-3"/>
          <w:sz w:val="24"/>
          <w:szCs w:val="24"/>
        </w:rPr>
        <w:t xml:space="preserve"> nuosavybės teise priklausančio turto investavimo priima Savivaldybės taryba.</w:t>
      </w:r>
      <w:r w:rsidRPr="000F47CA">
        <w:rPr>
          <w:sz w:val="24"/>
          <w:szCs w:val="24"/>
        </w:rPr>
        <w:t xml:space="preserve">  </w:t>
      </w:r>
    </w:p>
    <w:p w14:paraId="467E0E57" w14:textId="5952DFCC" w:rsidR="00406667" w:rsidRDefault="00406667" w:rsidP="00921E9C">
      <w:pPr>
        <w:ind w:firstLine="720"/>
        <w:jc w:val="both"/>
        <w:rPr>
          <w:sz w:val="24"/>
          <w:szCs w:val="24"/>
        </w:rPr>
      </w:pPr>
      <w:r>
        <w:rPr>
          <w:sz w:val="24"/>
          <w:szCs w:val="24"/>
        </w:rPr>
        <w:t xml:space="preserve">Lietuvos </w:t>
      </w:r>
      <w:r w:rsidR="00921E9C">
        <w:rPr>
          <w:sz w:val="24"/>
          <w:szCs w:val="24"/>
        </w:rPr>
        <w:t xml:space="preserve"> </w:t>
      </w:r>
      <w:r>
        <w:rPr>
          <w:sz w:val="24"/>
          <w:szCs w:val="24"/>
        </w:rPr>
        <w:t>Respublikos</w:t>
      </w:r>
      <w:r w:rsidR="00921E9C">
        <w:rPr>
          <w:sz w:val="24"/>
          <w:szCs w:val="24"/>
        </w:rPr>
        <w:t xml:space="preserve"> </w:t>
      </w:r>
      <w:r>
        <w:rPr>
          <w:sz w:val="24"/>
          <w:szCs w:val="24"/>
        </w:rPr>
        <w:t xml:space="preserve"> šilumos</w:t>
      </w:r>
      <w:r w:rsidR="00921E9C">
        <w:rPr>
          <w:sz w:val="24"/>
          <w:szCs w:val="24"/>
        </w:rPr>
        <w:t xml:space="preserve"> </w:t>
      </w:r>
      <w:r>
        <w:rPr>
          <w:sz w:val="24"/>
          <w:szCs w:val="24"/>
        </w:rPr>
        <w:t xml:space="preserve"> ūkio</w:t>
      </w:r>
      <w:r w:rsidR="00921E9C">
        <w:rPr>
          <w:sz w:val="24"/>
          <w:szCs w:val="24"/>
        </w:rPr>
        <w:t xml:space="preserve"> </w:t>
      </w:r>
      <w:r>
        <w:rPr>
          <w:sz w:val="24"/>
          <w:szCs w:val="24"/>
        </w:rPr>
        <w:t xml:space="preserve"> įstatymo </w:t>
      </w:r>
      <w:r w:rsidR="00921E9C">
        <w:rPr>
          <w:sz w:val="24"/>
          <w:szCs w:val="24"/>
        </w:rPr>
        <w:t xml:space="preserve"> </w:t>
      </w:r>
      <w:r w:rsidR="00E56AF3" w:rsidRPr="00406667">
        <w:rPr>
          <w:color w:val="000000"/>
          <w:sz w:val="24"/>
          <w:szCs w:val="24"/>
        </w:rPr>
        <w:t>8</w:t>
      </w:r>
      <w:r w:rsidR="00E56AF3" w:rsidRPr="00406667">
        <w:rPr>
          <w:color w:val="000000"/>
          <w:sz w:val="24"/>
          <w:szCs w:val="24"/>
          <w:vertAlign w:val="superscript"/>
        </w:rPr>
        <w:t>1</w:t>
      </w:r>
      <w:r w:rsidRPr="00406667">
        <w:rPr>
          <w:sz w:val="24"/>
          <w:szCs w:val="24"/>
        </w:rPr>
        <w:t xml:space="preserve"> </w:t>
      </w:r>
      <w:r w:rsidR="00921E9C">
        <w:rPr>
          <w:sz w:val="24"/>
          <w:szCs w:val="24"/>
        </w:rPr>
        <w:t xml:space="preserve"> </w:t>
      </w:r>
      <w:r w:rsidRPr="00406667">
        <w:rPr>
          <w:sz w:val="24"/>
          <w:szCs w:val="24"/>
        </w:rPr>
        <w:t>straipsnio 2 dalies 2 punkt</w:t>
      </w:r>
      <w:r>
        <w:rPr>
          <w:sz w:val="24"/>
          <w:szCs w:val="24"/>
        </w:rPr>
        <w:t xml:space="preserve">as numato, kad </w:t>
      </w:r>
    </w:p>
    <w:p w14:paraId="0558D384" w14:textId="5C5A00D4" w:rsidR="00406667" w:rsidRDefault="00406667" w:rsidP="00921E9C">
      <w:pPr>
        <w:jc w:val="both"/>
        <w:rPr>
          <w:color w:val="000000"/>
          <w:sz w:val="24"/>
          <w:szCs w:val="24"/>
        </w:rPr>
      </w:pPr>
      <w:r>
        <w:rPr>
          <w:color w:val="000000"/>
          <w:sz w:val="24"/>
          <w:szCs w:val="24"/>
        </w:rPr>
        <w:t>š</w:t>
      </w:r>
      <w:r w:rsidRPr="00406667">
        <w:rPr>
          <w:color w:val="000000"/>
          <w:sz w:val="24"/>
          <w:szCs w:val="24"/>
        </w:rPr>
        <w:t>ilumos ūkio priemonėms finansuoti ir specialiuosiuose šilumos ūkio planuose detalizuotiems šilumos ūkio plėtros ir modernizavimo veiksmams įgyvendinti gali būti skiriam</w:t>
      </w:r>
      <w:r w:rsidR="009723A6">
        <w:rPr>
          <w:color w:val="000000"/>
          <w:sz w:val="24"/>
          <w:szCs w:val="24"/>
        </w:rPr>
        <w:t>i</w:t>
      </w:r>
      <w:r>
        <w:rPr>
          <w:color w:val="000000"/>
          <w:sz w:val="24"/>
          <w:szCs w:val="24"/>
        </w:rPr>
        <w:t xml:space="preserve"> </w:t>
      </w:r>
      <w:r w:rsidRPr="00406667">
        <w:rPr>
          <w:color w:val="000000"/>
          <w:sz w:val="24"/>
          <w:szCs w:val="24"/>
        </w:rPr>
        <w:t>savivaldybių biudžetų asignavimai</w:t>
      </w:r>
      <w:r>
        <w:rPr>
          <w:color w:val="000000"/>
          <w:sz w:val="24"/>
          <w:szCs w:val="24"/>
        </w:rPr>
        <w:t>.</w:t>
      </w:r>
    </w:p>
    <w:p w14:paraId="64B5406D" w14:textId="1079FB92" w:rsidR="009723A6" w:rsidRPr="009723A6" w:rsidRDefault="009723A6" w:rsidP="009723A6">
      <w:pPr>
        <w:pStyle w:val="Betarp"/>
        <w:ind w:firstLine="720"/>
        <w:jc w:val="both"/>
        <w:rPr>
          <w:sz w:val="24"/>
          <w:szCs w:val="24"/>
        </w:rPr>
      </w:pPr>
      <w:r w:rsidRPr="009723A6">
        <w:rPr>
          <w:sz w:val="24"/>
          <w:szCs w:val="24"/>
        </w:rPr>
        <w:t>Investuotas lėšas numatoma panaudoti</w:t>
      </w:r>
      <w:r w:rsidR="007E6C6B">
        <w:rPr>
          <w:sz w:val="24"/>
          <w:szCs w:val="24"/>
        </w:rPr>
        <w:t xml:space="preserve"> taip</w:t>
      </w:r>
      <w:r w:rsidRPr="009723A6">
        <w:rPr>
          <w:sz w:val="24"/>
          <w:szCs w:val="24"/>
        </w:rPr>
        <w:t>:</w:t>
      </w:r>
    </w:p>
    <w:p w14:paraId="352FF98A" w14:textId="32B4D43A" w:rsidR="00406667" w:rsidRPr="00406667" w:rsidRDefault="009723A6" w:rsidP="009723A6">
      <w:pPr>
        <w:tabs>
          <w:tab w:val="left" w:pos="709"/>
        </w:tabs>
        <w:jc w:val="both"/>
        <w:rPr>
          <w:sz w:val="24"/>
          <w:szCs w:val="24"/>
        </w:rPr>
      </w:pPr>
      <w:r>
        <w:rPr>
          <w:color w:val="000000"/>
          <w:sz w:val="24"/>
          <w:szCs w:val="24"/>
        </w:rPr>
        <w:tab/>
      </w:r>
      <w:r w:rsidR="00406667" w:rsidRPr="00406667">
        <w:rPr>
          <w:sz w:val="24"/>
          <w:szCs w:val="24"/>
        </w:rPr>
        <w:t xml:space="preserve">1. Parengti projektą, suderinti sprendinius Krekenavos </w:t>
      </w:r>
      <w:proofErr w:type="spellStart"/>
      <w:r w:rsidR="00406667" w:rsidRPr="00406667">
        <w:rPr>
          <w:sz w:val="24"/>
          <w:szCs w:val="24"/>
        </w:rPr>
        <w:t>kvartalinės</w:t>
      </w:r>
      <w:proofErr w:type="spellEnd"/>
      <w:r w:rsidR="00406667" w:rsidRPr="00406667">
        <w:rPr>
          <w:sz w:val="24"/>
          <w:szCs w:val="24"/>
        </w:rPr>
        <w:t xml:space="preserve"> katilinės adresu: </w:t>
      </w:r>
      <w:r w:rsidR="007E6C6B">
        <w:rPr>
          <w:sz w:val="24"/>
          <w:szCs w:val="24"/>
        </w:rPr>
        <w:br/>
      </w:r>
      <w:r w:rsidR="00406667" w:rsidRPr="00406667">
        <w:rPr>
          <w:sz w:val="24"/>
          <w:szCs w:val="24"/>
        </w:rPr>
        <w:t>Panevėžio r. sav., Krekenava, Vytauto g. 13B, rezerviniam įrenginiui įsigyti. Įstaigos duomenimis, numatytiems darbams atlikti reikalinga lėšų suma – 8 265,00 Eur.</w:t>
      </w:r>
    </w:p>
    <w:p w14:paraId="0C84E466" w14:textId="7B6289B9" w:rsidR="00406667" w:rsidRPr="00406667" w:rsidRDefault="00406667" w:rsidP="00406667">
      <w:pPr>
        <w:pStyle w:val="Betarp"/>
        <w:ind w:firstLine="720"/>
        <w:jc w:val="both"/>
        <w:rPr>
          <w:sz w:val="24"/>
          <w:szCs w:val="24"/>
        </w:rPr>
      </w:pPr>
      <w:r w:rsidRPr="00406667">
        <w:rPr>
          <w:sz w:val="24"/>
          <w:szCs w:val="24"/>
        </w:rPr>
        <w:t xml:space="preserve">Krekenavos </w:t>
      </w:r>
      <w:proofErr w:type="spellStart"/>
      <w:r w:rsidRPr="00406667">
        <w:rPr>
          <w:sz w:val="24"/>
          <w:szCs w:val="24"/>
        </w:rPr>
        <w:t>kvartalinė</w:t>
      </w:r>
      <w:proofErr w:type="spellEnd"/>
      <w:r w:rsidRPr="00406667">
        <w:rPr>
          <w:sz w:val="24"/>
          <w:szCs w:val="24"/>
        </w:rPr>
        <w:t xml:space="preserve"> katilinė yra viena iš Įstaigos didžiausių ir svarbiausių katilinių. Krekenavos </w:t>
      </w:r>
      <w:proofErr w:type="spellStart"/>
      <w:r w:rsidRPr="00406667">
        <w:rPr>
          <w:sz w:val="24"/>
          <w:szCs w:val="24"/>
        </w:rPr>
        <w:t>kvartalinės</w:t>
      </w:r>
      <w:proofErr w:type="spellEnd"/>
      <w:r w:rsidRPr="00406667">
        <w:rPr>
          <w:sz w:val="24"/>
          <w:szCs w:val="24"/>
        </w:rPr>
        <w:t xml:space="preserve"> katilinės bendras apšildomas plotas yra 18 723,73 kv. m, t. y. 36,93 proc. viso Įstaigos kieto kuro katilais šildomo ploto. Iš šios katilinės šiluma yra tiekiama Krekenavos </w:t>
      </w:r>
      <w:r w:rsidR="007E6C6B">
        <w:rPr>
          <w:sz w:val="24"/>
          <w:szCs w:val="24"/>
        </w:rPr>
        <w:br/>
      </w:r>
      <w:r w:rsidRPr="00406667">
        <w:rPr>
          <w:sz w:val="24"/>
          <w:szCs w:val="24"/>
        </w:rPr>
        <w:t xml:space="preserve">M. Antanaičio gimnazijai, Krekenavos kultūros centrui, Krekenavos lopšeliui-darželiui ,,Sigutė“, ambulatorijai, neįgaliųjų draugijai,  pirčiai,  </w:t>
      </w:r>
      <w:proofErr w:type="spellStart"/>
      <w:r w:rsidRPr="00406667">
        <w:rPr>
          <w:sz w:val="24"/>
          <w:szCs w:val="24"/>
        </w:rPr>
        <w:t>Ražauskienės</w:t>
      </w:r>
      <w:proofErr w:type="spellEnd"/>
      <w:r w:rsidRPr="00406667">
        <w:rPr>
          <w:sz w:val="24"/>
          <w:szCs w:val="24"/>
        </w:rPr>
        <w:t xml:space="preserve"> IĮ,  9 daugiabučiams gyvenamiesiems namams bei gyvenamajam namu</w:t>
      </w:r>
      <w:r w:rsidR="007E6C6B">
        <w:rPr>
          <w:sz w:val="24"/>
          <w:szCs w:val="24"/>
        </w:rPr>
        <w:t>i</w:t>
      </w:r>
      <w:r w:rsidRPr="00406667">
        <w:rPr>
          <w:sz w:val="24"/>
          <w:szCs w:val="24"/>
        </w:rPr>
        <w:t>.</w:t>
      </w:r>
      <w:r w:rsidRPr="00406667">
        <w:rPr>
          <w:sz w:val="24"/>
          <w:szCs w:val="24"/>
          <w:lang w:eastAsia="lt-LT"/>
        </w:rPr>
        <w:t xml:space="preserve"> Šioje katilinėje </w:t>
      </w:r>
      <w:r w:rsidRPr="00406667">
        <w:rPr>
          <w:sz w:val="24"/>
          <w:szCs w:val="24"/>
        </w:rPr>
        <w:t>yra eksploatuojamas vienas katilas „</w:t>
      </w:r>
      <w:proofErr w:type="spellStart"/>
      <w:r w:rsidRPr="00406667">
        <w:rPr>
          <w:sz w:val="24"/>
          <w:szCs w:val="24"/>
        </w:rPr>
        <w:t>Antara</w:t>
      </w:r>
      <w:proofErr w:type="spellEnd"/>
      <w:r w:rsidRPr="00406667">
        <w:rPr>
          <w:sz w:val="24"/>
          <w:szCs w:val="24"/>
        </w:rPr>
        <w:t xml:space="preserve"> ABKH-1000“ (1000 kW), kuris pagamintas 2019 m. </w:t>
      </w:r>
    </w:p>
    <w:p w14:paraId="613AD88C" w14:textId="13C1A9BD" w:rsidR="00406667" w:rsidRPr="00406667" w:rsidRDefault="00406667" w:rsidP="007E6C6B">
      <w:pPr>
        <w:pStyle w:val="Betarp"/>
        <w:ind w:firstLine="720"/>
        <w:jc w:val="both"/>
        <w:rPr>
          <w:sz w:val="24"/>
          <w:szCs w:val="24"/>
        </w:rPr>
      </w:pPr>
      <w:r w:rsidRPr="00406667">
        <w:rPr>
          <w:sz w:val="24"/>
          <w:szCs w:val="24"/>
        </w:rPr>
        <w:t xml:space="preserve">Užtikrinant rezervinę šilumos gamybą, rezervinius šilumos gamybos pajėgumus užtikrinančių šilumos įrenginių bendroji galia negali būti didesnė nei 50 proc. maksimalaus centralizuoto šilumos tiekimo sistemos šilumos poreikio arba atitinka konkrečioje centralizuoto šilumos tiekimo sistemoje veikiančio vieno </w:t>
      </w:r>
      <w:r w:rsidR="007E6C6B">
        <w:rPr>
          <w:sz w:val="24"/>
          <w:szCs w:val="24"/>
        </w:rPr>
        <w:t xml:space="preserve">iš </w:t>
      </w:r>
      <w:r w:rsidRPr="00406667">
        <w:rPr>
          <w:sz w:val="24"/>
          <w:szCs w:val="24"/>
        </w:rPr>
        <w:t>didžiausi</w:t>
      </w:r>
      <w:r w:rsidR="007E6C6B">
        <w:rPr>
          <w:sz w:val="24"/>
          <w:szCs w:val="24"/>
        </w:rPr>
        <w:t>ų</w:t>
      </w:r>
      <w:r w:rsidRPr="00406667">
        <w:rPr>
          <w:sz w:val="24"/>
          <w:szCs w:val="24"/>
        </w:rPr>
        <w:t xml:space="preserve"> šilumos gamybos įrenginio (katilo) galią. Įstaigoje didžiausias rezervinio pajėgumo trūkumas stebimas Krekenavos miestelio katilinėje, kurioje yra sumontuotas vienintelis 1 MW medienos skiedra kūrenamas katilas. </w:t>
      </w:r>
      <w:proofErr w:type="spellStart"/>
      <w:r w:rsidRPr="00406667">
        <w:rPr>
          <w:sz w:val="24"/>
          <w:szCs w:val="24"/>
        </w:rPr>
        <w:t>Pikinis</w:t>
      </w:r>
      <w:proofErr w:type="spellEnd"/>
      <w:r w:rsidRPr="00406667">
        <w:rPr>
          <w:sz w:val="24"/>
          <w:szCs w:val="24"/>
        </w:rPr>
        <w:t xml:space="preserve"> katilinės galios poreikis siekia </w:t>
      </w:r>
      <w:r w:rsidR="007E6C6B">
        <w:rPr>
          <w:sz w:val="24"/>
          <w:szCs w:val="24"/>
        </w:rPr>
        <w:br/>
      </w:r>
      <w:r w:rsidRPr="00406667">
        <w:rPr>
          <w:sz w:val="24"/>
          <w:szCs w:val="24"/>
        </w:rPr>
        <w:t xml:space="preserve">741 kW, </w:t>
      </w:r>
      <w:bookmarkStart w:id="1" w:name="_Ref162996508"/>
      <w:r w:rsidRPr="00406667">
        <w:rPr>
          <w:sz w:val="24"/>
          <w:szCs w:val="24"/>
        </w:rPr>
        <w:t>rezervinių šilumos gamybos pajėgumų trūkuma</w:t>
      </w:r>
      <w:bookmarkEnd w:id="1"/>
      <w:r w:rsidRPr="00406667">
        <w:rPr>
          <w:sz w:val="24"/>
          <w:szCs w:val="24"/>
        </w:rPr>
        <w:t>s – 400</w:t>
      </w:r>
      <w:r w:rsidR="007E6C6B">
        <w:rPr>
          <w:sz w:val="24"/>
          <w:szCs w:val="24"/>
        </w:rPr>
        <w:t>–</w:t>
      </w:r>
      <w:r w:rsidRPr="00406667">
        <w:rPr>
          <w:sz w:val="24"/>
          <w:szCs w:val="24"/>
        </w:rPr>
        <w:t>1000 kW. Krekenavos katilinėje rezervinių šilumos gamybos pajėgumų aprūpinimas gali būti sprendžiamas papildomu šilumos gamybos įrenginiu.</w:t>
      </w:r>
    </w:p>
    <w:p w14:paraId="2992553E" w14:textId="77777777" w:rsidR="00406667" w:rsidRPr="00406667" w:rsidRDefault="00406667" w:rsidP="00406667">
      <w:pPr>
        <w:pStyle w:val="Betarp"/>
        <w:ind w:firstLine="720"/>
        <w:jc w:val="both"/>
        <w:rPr>
          <w:sz w:val="24"/>
          <w:szCs w:val="24"/>
        </w:rPr>
      </w:pPr>
      <w:r w:rsidRPr="00406667">
        <w:rPr>
          <w:sz w:val="24"/>
          <w:szCs w:val="24"/>
        </w:rPr>
        <w:t>2. Pakeisti seną medžio granulių katilą „</w:t>
      </w:r>
      <w:proofErr w:type="spellStart"/>
      <w:r w:rsidRPr="00406667">
        <w:rPr>
          <w:sz w:val="24"/>
          <w:szCs w:val="24"/>
        </w:rPr>
        <w:t>Futura</w:t>
      </w:r>
      <w:proofErr w:type="spellEnd"/>
      <w:r w:rsidRPr="00406667">
        <w:rPr>
          <w:sz w:val="24"/>
          <w:szCs w:val="24"/>
        </w:rPr>
        <w:t xml:space="preserve"> </w:t>
      </w:r>
      <w:proofErr w:type="spellStart"/>
      <w:r w:rsidRPr="00406667">
        <w:rPr>
          <w:sz w:val="24"/>
          <w:szCs w:val="24"/>
        </w:rPr>
        <w:t>bio</w:t>
      </w:r>
      <w:proofErr w:type="spellEnd"/>
      <w:r w:rsidRPr="00406667">
        <w:rPr>
          <w:sz w:val="24"/>
          <w:szCs w:val="24"/>
        </w:rPr>
        <w:t xml:space="preserve"> 320“ (320 kW), pagamintą 2009 m., Upytės gyvenvietės katilinėje adresu: Panevėžio r. sav., Upytės k., Ėriškių g. 4A. Vadovaujantis preliminariais pasiūlymais, numatytiems darbams atlikti reikalinga lėšų suma – 40 000,00 Eur.</w:t>
      </w:r>
    </w:p>
    <w:p w14:paraId="6DDCF1F4" w14:textId="23A19009" w:rsidR="00406667" w:rsidRPr="00406667" w:rsidRDefault="00406667" w:rsidP="00406667">
      <w:pPr>
        <w:pStyle w:val="Betarp"/>
        <w:ind w:firstLine="720"/>
        <w:jc w:val="both"/>
        <w:rPr>
          <w:rFonts w:eastAsia="Courier New"/>
          <w:sz w:val="24"/>
          <w:szCs w:val="24"/>
          <w:highlight w:val="yellow"/>
          <w:lang w:eastAsia="lt-LT"/>
        </w:rPr>
      </w:pPr>
      <w:r w:rsidRPr="00406667">
        <w:rPr>
          <w:rFonts w:eastAsia="Courier New"/>
          <w:sz w:val="24"/>
          <w:szCs w:val="24"/>
        </w:rPr>
        <w:t xml:space="preserve">Upytės gyvenvietės katilinės bendras apšildomas plotas yra 6 032,75 kv. m, t. y. 11,9 proc. viso Įstaigos kieto kuro katilais šildomo ploto. Iš šios katilinės šiluma yra tiekiama A. </w:t>
      </w:r>
      <w:proofErr w:type="spellStart"/>
      <w:r w:rsidRPr="00406667">
        <w:rPr>
          <w:rFonts w:eastAsia="Courier New"/>
          <w:sz w:val="24"/>
          <w:szCs w:val="24"/>
        </w:rPr>
        <w:t>Belazaro</w:t>
      </w:r>
      <w:proofErr w:type="spellEnd"/>
      <w:r w:rsidRPr="00406667">
        <w:rPr>
          <w:rFonts w:eastAsia="Courier New"/>
          <w:sz w:val="24"/>
          <w:szCs w:val="24"/>
        </w:rPr>
        <w:t xml:space="preserve"> pagrindinei mokyklai, ikimokyklinio ugdymo skyriui, medicinos punktui, neįgaliųjų draugijai, Upytės seniūnijai, R. </w:t>
      </w:r>
      <w:proofErr w:type="spellStart"/>
      <w:r w:rsidRPr="00406667">
        <w:rPr>
          <w:rFonts w:eastAsia="Courier New"/>
          <w:sz w:val="24"/>
          <w:szCs w:val="24"/>
        </w:rPr>
        <w:t>Peleckytės</w:t>
      </w:r>
      <w:proofErr w:type="spellEnd"/>
      <w:r w:rsidRPr="00406667">
        <w:rPr>
          <w:rFonts w:eastAsia="Courier New"/>
          <w:sz w:val="24"/>
          <w:szCs w:val="24"/>
        </w:rPr>
        <w:t xml:space="preserve"> kirpyklai, bibliotekai, UAB ,,Genetiniai ištekliai“, AB Telia Lietuva,  7 daugiabučiams  gyvenamiesiems namams. </w:t>
      </w:r>
      <w:r w:rsidRPr="00406667">
        <w:rPr>
          <w:rFonts w:eastAsia="Courier New"/>
          <w:sz w:val="24"/>
          <w:szCs w:val="24"/>
          <w:lang w:eastAsia="lt-LT"/>
        </w:rPr>
        <w:t xml:space="preserve">Šioje katilinėje, </w:t>
      </w:r>
      <w:r w:rsidRPr="00406667">
        <w:rPr>
          <w:rFonts w:eastAsia="Courier New"/>
          <w:sz w:val="24"/>
          <w:szCs w:val="24"/>
        </w:rPr>
        <w:t>esančioje Upytės k., Ėriškių g. 4A, nuo 2009 m. eksploatuojami 2 vienodi katilai „</w:t>
      </w:r>
      <w:proofErr w:type="spellStart"/>
      <w:r w:rsidRPr="00406667">
        <w:rPr>
          <w:rFonts w:eastAsia="Courier New"/>
          <w:sz w:val="24"/>
          <w:szCs w:val="24"/>
        </w:rPr>
        <w:t>Futura</w:t>
      </w:r>
      <w:proofErr w:type="spellEnd"/>
      <w:r w:rsidRPr="00406667">
        <w:rPr>
          <w:rFonts w:eastAsia="Courier New"/>
          <w:sz w:val="24"/>
          <w:szCs w:val="24"/>
        </w:rPr>
        <w:t xml:space="preserve"> </w:t>
      </w:r>
      <w:proofErr w:type="spellStart"/>
      <w:r w:rsidRPr="00406667">
        <w:rPr>
          <w:rFonts w:eastAsia="Courier New"/>
          <w:sz w:val="24"/>
          <w:szCs w:val="24"/>
        </w:rPr>
        <w:t>bio</w:t>
      </w:r>
      <w:proofErr w:type="spellEnd"/>
      <w:r w:rsidRPr="00406667">
        <w:rPr>
          <w:rFonts w:eastAsia="Courier New"/>
          <w:sz w:val="24"/>
          <w:szCs w:val="24"/>
        </w:rPr>
        <w:t xml:space="preserve"> 320“ (320 kW). </w:t>
      </w:r>
      <w:r w:rsidRPr="00406667">
        <w:rPr>
          <w:sz w:val="24"/>
          <w:szCs w:val="24"/>
        </w:rPr>
        <w:t xml:space="preserve">Atsižvelgiant į įrenginių eksploatacijos pradžios metus, eksploatuojamų katilų būklę bei siekiant užtikrinti nenutrūkstamą </w:t>
      </w:r>
      <w:r w:rsidRPr="00406667">
        <w:rPr>
          <w:sz w:val="24"/>
          <w:szCs w:val="24"/>
        </w:rPr>
        <w:lastRenderedPageBreak/>
        <w:t>šilumos gamybos procesą ir kokybišką paslaugų teikimą ateinančio šildymo sezonu metu, reikalinga vieną katilą pakeisti nauju</w:t>
      </w:r>
      <w:r w:rsidRPr="00406667">
        <w:rPr>
          <w:rFonts w:eastAsia="Courier New"/>
          <w:sz w:val="24"/>
          <w:szCs w:val="24"/>
        </w:rPr>
        <w:t>.</w:t>
      </w:r>
    </w:p>
    <w:p w14:paraId="503B13F4" w14:textId="081F70E8" w:rsidR="00406667" w:rsidRPr="00406667" w:rsidRDefault="00406667" w:rsidP="00406667">
      <w:pPr>
        <w:pStyle w:val="Betarp"/>
        <w:ind w:firstLine="720"/>
        <w:jc w:val="both"/>
        <w:rPr>
          <w:sz w:val="24"/>
          <w:szCs w:val="24"/>
        </w:rPr>
      </w:pPr>
      <w:r w:rsidRPr="00406667">
        <w:rPr>
          <w:sz w:val="24"/>
          <w:szCs w:val="24"/>
        </w:rPr>
        <w:t>VšĮ Velžio komunalinio ūkio dešimties metų šilumos ūkio plėtros investicijų plane, patvirtintame Panevėžio rajono savivaldybės tarybos 2024 m. balandžio 25 d. sprendimu Nr. T-108  (toliau – Planas)</w:t>
      </w:r>
      <w:r w:rsidR="007E6C6B">
        <w:rPr>
          <w:sz w:val="24"/>
          <w:szCs w:val="24"/>
        </w:rPr>
        <w:t>,</w:t>
      </w:r>
      <w:r w:rsidRPr="00406667">
        <w:rPr>
          <w:sz w:val="24"/>
          <w:szCs w:val="24"/>
        </w:rPr>
        <w:t xml:space="preserve"> yra pateikti keturi Upytės gyvenvietės katilinės modernizavimo ekonominiai scenarijai: </w:t>
      </w:r>
    </w:p>
    <w:tbl>
      <w:tblPr>
        <w:tblW w:w="9639" w:type="dxa"/>
        <w:tblLook w:val="04A0" w:firstRow="1" w:lastRow="0" w:firstColumn="1" w:lastColumn="0" w:noHBand="0" w:noVBand="1"/>
      </w:tblPr>
      <w:tblGrid>
        <w:gridCol w:w="3823"/>
        <w:gridCol w:w="1278"/>
        <w:gridCol w:w="1417"/>
        <w:gridCol w:w="1485"/>
        <w:gridCol w:w="1636"/>
      </w:tblGrid>
      <w:tr w:rsidR="00406667" w:rsidRPr="00406667" w14:paraId="7CC3A0DB" w14:textId="77777777" w:rsidTr="00372385">
        <w:trPr>
          <w:trHeight w:val="20"/>
          <w:tblHead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794A4A"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Scenarijai</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14:paraId="1923B9C6"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I scenarijus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A9A9FF3"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II scenarijus</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14:paraId="68F6D789"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III scenarijus</w:t>
            </w:r>
          </w:p>
        </w:tc>
        <w:tc>
          <w:tcPr>
            <w:tcW w:w="1636" w:type="dxa"/>
            <w:tcBorders>
              <w:top w:val="single" w:sz="4" w:space="0" w:color="auto"/>
              <w:left w:val="nil"/>
              <w:bottom w:val="single" w:sz="4" w:space="0" w:color="auto"/>
              <w:right w:val="single" w:sz="4" w:space="0" w:color="auto"/>
            </w:tcBorders>
            <w:shd w:val="clear" w:color="auto" w:fill="auto"/>
            <w:vAlign w:val="bottom"/>
            <w:hideMark/>
          </w:tcPr>
          <w:p w14:paraId="60B78DB1"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IV scenarijus</w:t>
            </w:r>
          </w:p>
        </w:tc>
      </w:tr>
      <w:tr w:rsidR="00406667" w:rsidRPr="00406667" w14:paraId="1654B43F" w14:textId="77777777" w:rsidTr="00372385">
        <w:trPr>
          <w:trHeight w:val="20"/>
        </w:trPr>
        <w:tc>
          <w:tcPr>
            <w:tcW w:w="3823" w:type="dxa"/>
            <w:tcBorders>
              <w:top w:val="nil"/>
              <w:left w:val="single" w:sz="4" w:space="0" w:color="auto"/>
              <w:bottom w:val="single" w:sz="4" w:space="0" w:color="auto"/>
              <w:right w:val="single" w:sz="4" w:space="0" w:color="auto"/>
            </w:tcBorders>
            <w:shd w:val="clear" w:color="auto" w:fill="auto"/>
            <w:hideMark/>
          </w:tcPr>
          <w:p w14:paraId="77FEDE6D"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Katilinėje įrengiami nauji šilumos gamybos įrenginiai</w:t>
            </w:r>
          </w:p>
        </w:tc>
        <w:tc>
          <w:tcPr>
            <w:tcW w:w="1278" w:type="dxa"/>
            <w:tcBorders>
              <w:top w:val="nil"/>
              <w:left w:val="nil"/>
              <w:bottom w:val="single" w:sz="4" w:space="0" w:color="auto"/>
              <w:right w:val="single" w:sz="4" w:space="0" w:color="auto"/>
            </w:tcBorders>
            <w:shd w:val="clear" w:color="auto" w:fill="auto"/>
            <w:hideMark/>
          </w:tcPr>
          <w:p w14:paraId="07A7F8F5"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en-US"/>
              </w:rPr>
              <w:t>Medienos granulių katilas</w:t>
            </w:r>
          </w:p>
        </w:tc>
        <w:tc>
          <w:tcPr>
            <w:tcW w:w="1417" w:type="dxa"/>
            <w:tcBorders>
              <w:top w:val="nil"/>
              <w:left w:val="nil"/>
              <w:bottom w:val="single" w:sz="4" w:space="0" w:color="auto"/>
              <w:right w:val="single" w:sz="4" w:space="0" w:color="auto"/>
            </w:tcBorders>
            <w:shd w:val="clear" w:color="auto" w:fill="auto"/>
            <w:hideMark/>
          </w:tcPr>
          <w:p w14:paraId="52067E22"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en-US"/>
              </w:rPr>
              <w:t>Šilumos siurblys</w:t>
            </w:r>
          </w:p>
        </w:tc>
        <w:tc>
          <w:tcPr>
            <w:tcW w:w="1485" w:type="dxa"/>
            <w:tcBorders>
              <w:top w:val="nil"/>
              <w:left w:val="nil"/>
              <w:bottom w:val="single" w:sz="4" w:space="0" w:color="auto"/>
              <w:right w:val="single" w:sz="4" w:space="0" w:color="auto"/>
            </w:tcBorders>
            <w:shd w:val="clear" w:color="auto" w:fill="auto"/>
            <w:hideMark/>
          </w:tcPr>
          <w:p w14:paraId="5E21C1DB"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en-US"/>
              </w:rPr>
              <w:t xml:space="preserve">Šilumos siurblys ir granules </w:t>
            </w:r>
            <w:proofErr w:type="spellStart"/>
            <w:r w:rsidRPr="00406667">
              <w:rPr>
                <w:rFonts w:eastAsia="Calibri"/>
                <w:sz w:val="24"/>
                <w:szCs w:val="24"/>
                <w:lang w:eastAsia="en-US"/>
              </w:rPr>
              <w:t>deg</w:t>
            </w:r>
            <w:proofErr w:type="spellEnd"/>
            <w:r w:rsidRPr="00406667">
              <w:rPr>
                <w:rFonts w:eastAsia="Calibri"/>
                <w:sz w:val="24"/>
                <w:szCs w:val="24"/>
                <w:lang w:eastAsia="en-US"/>
              </w:rPr>
              <w:t>. katilas</w:t>
            </w:r>
          </w:p>
        </w:tc>
        <w:tc>
          <w:tcPr>
            <w:tcW w:w="1636" w:type="dxa"/>
            <w:tcBorders>
              <w:top w:val="nil"/>
              <w:left w:val="nil"/>
              <w:bottom w:val="single" w:sz="4" w:space="0" w:color="auto"/>
              <w:right w:val="single" w:sz="4" w:space="0" w:color="auto"/>
            </w:tcBorders>
            <w:shd w:val="clear" w:color="auto" w:fill="auto"/>
            <w:hideMark/>
          </w:tcPr>
          <w:p w14:paraId="5016D0CA"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en-US"/>
              </w:rPr>
              <w:t>Medienos skiedros katilo įrengimas</w:t>
            </w:r>
          </w:p>
        </w:tc>
      </w:tr>
      <w:tr w:rsidR="00406667" w:rsidRPr="00406667" w14:paraId="5381BF29" w14:textId="77777777" w:rsidTr="00372385">
        <w:trPr>
          <w:trHeight w:val="258"/>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4A9386B7"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 xml:space="preserve">Katilo </w:t>
            </w:r>
            <w:proofErr w:type="spellStart"/>
            <w:r w:rsidRPr="00406667">
              <w:rPr>
                <w:rFonts w:eastAsia="Calibri"/>
                <w:sz w:val="24"/>
                <w:szCs w:val="24"/>
                <w:lang w:eastAsia="lt-LT"/>
              </w:rPr>
              <w:t>pikinė</w:t>
            </w:r>
            <w:proofErr w:type="spellEnd"/>
            <w:r w:rsidRPr="00406667">
              <w:rPr>
                <w:rFonts w:eastAsia="Calibri"/>
                <w:sz w:val="24"/>
                <w:szCs w:val="24"/>
                <w:lang w:eastAsia="lt-LT"/>
              </w:rPr>
              <w:t xml:space="preserve"> galia, kW</w:t>
            </w:r>
          </w:p>
        </w:tc>
        <w:tc>
          <w:tcPr>
            <w:tcW w:w="1278" w:type="dxa"/>
            <w:tcBorders>
              <w:top w:val="nil"/>
              <w:left w:val="nil"/>
              <w:bottom w:val="single" w:sz="4" w:space="0" w:color="auto"/>
              <w:right w:val="single" w:sz="4" w:space="0" w:color="auto"/>
            </w:tcBorders>
            <w:shd w:val="clear" w:color="auto" w:fill="auto"/>
          </w:tcPr>
          <w:p w14:paraId="18A3EC4E"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330 </w:t>
            </w:r>
          </w:p>
        </w:tc>
        <w:tc>
          <w:tcPr>
            <w:tcW w:w="1417" w:type="dxa"/>
            <w:tcBorders>
              <w:top w:val="nil"/>
              <w:left w:val="nil"/>
              <w:bottom w:val="single" w:sz="4" w:space="0" w:color="auto"/>
              <w:right w:val="single" w:sz="4" w:space="0" w:color="auto"/>
            </w:tcBorders>
            <w:shd w:val="clear" w:color="auto" w:fill="auto"/>
          </w:tcPr>
          <w:p w14:paraId="63AD2D4C"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   </w:t>
            </w:r>
          </w:p>
        </w:tc>
        <w:tc>
          <w:tcPr>
            <w:tcW w:w="1485" w:type="dxa"/>
            <w:tcBorders>
              <w:top w:val="nil"/>
              <w:left w:val="nil"/>
              <w:bottom w:val="single" w:sz="4" w:space="0" w:color="auto"/>
              <w:right w:val="single" w:sz="4" w:space="0" w:color="auto"/>
            </w:tcBorders>
            <w:shd w:val="clear" w:color="auto" w:fill="auto"/>
          </w:tcPr>
          <w:p w14:paraId="05AFA8F6"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330 </w:t>
            </w:r>
          </w:p>
        </w:tc>
        <w:tc>
          <w:tcPr>
            <w:tcW w:w="1636" w:type="dxa"/>
            <w:tcBorders>
              <w:top w:val="nil"/>
              <w:left w:val="nil"/>
              <w:bottom w:val="single" w:sz="4" w:space="0" w:color="auto"/>
              <w:right w:val="single" w:sz="4" w:space="0" w:color="auto"/>
            </w:tcBorders>
            <w:shd w:val="clear" w:color="auto" w:fill="auto"/>
          </w:tcPr>
          <w:p w14:paraId="3EF18B82"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750 </w:t>
            </w:r>
          </w:p>
        </w:tc>
      </w:tr>
      <w:tr w:rsidR="00406667" w:rsidRPr="00406667" w14:paraId="650622E3" w14:textId="77777777" w:rsidTr="00372385">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38F65EE"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 xml:space="preserve">Šilumos siurblio </w:t>
            </w:r>
            <w:proofErr w:type="spellStart"/>
            <w:r w:rsidRPr="00406667">
              <w:rPr>
                <w:rFonts w:eastAsia="Calibri"/>
                <w:sz w:val="24"/>
                <w:szCs w:val="24"/>
                <w:lang w:eastAsia="lt-LT"/>
              </w:rPr>
              <w:t>pikinė</w:t>
            </w:r>
            <w:proofErr w:type="spellEnd"/>
            <w:r w:rsidRPr="00406667">
              <w:rPr>
                <w:rFonts w:eastAsia="Calibri"/>
                <w:sz w:val="24"/>
                <w:szCs w:val="24"/>
                <w:lang w:eastAsia="lt-LT"/>
              </w:rPr>
              <w:t xml:space="preserve"> galia, kW</w:t>
            </w:r>
          </w:p>
        </w:tc>
        <w:tc>
          <w:tcPr>
            <w:tcW w:w="1278" w:type="dxa"/>
            <w:tcBorders>
              <w:top w:val="nil"/>
              <w:left w:val="nil"/>
              <w:bottom w:val="single" w:sz="4" w:space="0" w:color="auto"/>
              <w:right w:val="single" w:sz="4" w:space="0" w:color="auto"/>
            </w:tcBorders>
            <w:shd w:val="clear" w:color="auto" w:fill="auto"/>
          </w:tcPr>
          <w:p w14:paraId="1F4633BB"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   </w:t>
            </w:r>
          </w:p>
        </w:tc>
        <w:tc>
          <w:tcPr>
            <w:tcW w:w="1417" w:type="dxa"/>
            <w:tcBorders>
              <w:top w:val="nil"/>
              <w:left w:val="nil"/>
              <w:bottom w:val="single" w:sz="4" w:space="0" w:color="auto"/>
              <w:right w:val="single" w:sz="4" w:space="0" w:color="auto"/>
            </w:tcBorders>
            <w:shd w:val="clear" w:color="auto" w:fill="auto"/>
          </w:tcPr>
          <w:p w14:paraId="633B3F5C"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330 </w:t>
            </w:r>
          </w:p>
        </w:tc>
        <w:tc>
          <w:tcPr>
            <w:tcW w:w="1485" w:type="dxa"/>
            <w:tcBorders>
              <w:top w:val="nil"/>
              <w:left w:val="nil"/>
              <w:bottom w:val="single" w:sz="4" w:space="0" w:color="auto"/>
              <w:right w:val="single" w:sz="4" w:space="0" w:color="auto"/>
            </w:tcBorders>
            <w:shd w:val="clear" w:color="auto" w:fill="auto"/>
          </w:tcPr>
          <w:p w14:paraId="72FA8FA0"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200 </w:t>
            </w:r>
          </w:p>
        </w:tc>
        <w:tc>
          <w:tcPr>
            <w:tcW w:w="1636" w:type="dxa"/>
            <w:tcBorders>
              <w:top w:val="nil"/>
              <w:left w:val="nil"/>
              <w:bottom w:val="single" w:sz="4" w:space="0" w:color="auto"/>
              <w:right w:val="single" w:sz="4" w:space="0" w:color="auto"/>
            </w:tcBorders>
            <w:shd w:val="clear" w:color="auto" w:fill="auto"/>
          </w:tcPr>
          <w:p w14:paraId="1164D9D9"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   </w:t>
            </w:r>
          </w:p>
        </w:tc>
      </w:tr>
      <w:tr w:rsidR="00406667" w:rsidRPr="00406667" w14:paraId="49A09151" w14:textId="77777777" w:rsidTr="00372385">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7753C20"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Investicijos dydis, Eur(be PVM)</w:t>
            </w:r>
          </w:p>
        </w:tc>
        <w:tc>
          <w:tcPr>
            <w:tcW w:w="1278" w:type="dxa"/>
            <w:tcBorders>
              <w:top w:val="nil"/>
              <w:left w:val="nil"/>
              <w:bottom w:val="single" w:sz="4" w:space="0" w:color="auto"/>
              <w:right w:val="single" w:sz="4" w:space="0" w:color="auto"/>
            </w:tcBorders>
            <w:shd w:val="clear" w:color="auto" w:fill="auto"/>
          </w:tcPr>
          <w:p w14:paraId="2790736A"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71 340 </w:t>
            </w:r>
          </w:p>
        </w:tc>
        <w:tc>
          <w:tcPr>
            <w:tcW w:w="1417" w:type="dxa"/>
            <w:tcBorders>
              <w:top w:val="nil"/>
              <w:left w:val="nil"/>
              <w:bottom w:val="single" w:sz="4" w:space="0" w:color="auto"/>
              <w:right w:val="single" w:sz="4" w:space="0" w:color="auto"/>
            </w:tcBorders>
            <w:shd w:val="clear" w:color="auto" w:fill="auto"/>
          </w:tcPr>
          <w:p w14:paraId="6BA8708A"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191 280 </w:t>
            </w:r>
          </w:p>
        </w:tc>
        <w:tc>
          <w:tcPr>
            <w:tcW w:w="1485" w:type="dxa"/>
            <w:tcBorders>
              <w:top w:val="nil"/>
              <w:left w:val="nil"/>
              <w:bottom w:val="single" w:sz="4" w:space="0" w:color="auto"/>
              <w:right w:val="single" w:sz="4" w:space="0" w:color="auto"/>
            </w:tcBorders>
            <w:shd w:val="clear" w:color="auto" w:fill="auto"/>
          </w:tcPr>
          <w:p w14:paraId="37F23F77"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192 140 </w:t>
            </w:r>
          </w:p>
        </w:tc>
        <w:tc>
          <w:tcPr>
            <w:tcW w:w="1636" w:type="dxa"/>
            <w:tcBorders>
              <w:top w:val="nil"/>
              <w:left w:val="nil"/>
              <w:bottom w:val="single" w:sz="4" w:space="0" w:color="auto"/>
              <w:right w:val="single" w:sz="4" w:space="0" w:color="auto"/>
            </w:tcBorders>
            <w:shd w:val="clear" w:color="auto" w:fill="auto"/>
          </w:tcPr>
          <w:p w14:paraId="63799045"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496 640 </w:t>
            </w:r>
          </w:p>
        </w:tc>
      </w:tr>
      <w:tr w:rsidR="00406667" w:rsidRPr="00406667" w14:paraId="688480BA" w14:textId="77777777" w:rsidTr="00372385">
        <w:trPr>
          <w:trHeight w:val="20"/>
        </w:trPr>
        <w:tc>
          <w:tcPr>
            <w:tcW w:w="3823" w:type="dxa"/>
            <w:tcBorders>
              <w:top w:val="nil"/>
              <w:left w:val="single" w:sz="4" w:space="0" w:color="auto"/>
              <w:bottom w:val="single" w:sz="4" w:space="0" w:color="auto"/>
              <w:right w:val="single" w:sz="4" w:space="0" w:color="auto"/>
            </w:tcBorders>
            <w:shd w:val="clear" w:color="auto" w:fill="auto"/>
            <w:hideMark/>
          </w:tcPr>
          <w:p w14:paraId="2FF399A2"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Medienos skiedros sąnaudos, MWh</w:t>
            </w:r>
          </w:p>
        </w:tc>
        <w:tc>
          <w:tcPr>
            <w:tcW w:w="1278" w:type="dxa"/>
            <w:tcBorders>
              <w:top w:val="nil"/>
              <w:left w:val="nil"/>
              <w:bottom w:val="single" w:sz="4" w:space="0" w:color="auto"/>
              <w:right w:val="single" w:sz="4" w:space="0" w:color="auto"/>
            </w:tcBorders>
            <w:shd w:val="clear" w:color="auto" w:fill="auto"/>
          </w:tcPr>
          <w:p w14:paraId="2F59A116"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   </w:t>
            </w:r>
          </w:p>
        </w:tc>
        <w:tc>
          <w:tcPr>
            <w:tcW w:w="1417" w:type="dxa"/>
            <w:tcBorders>
              <w:top w:val="nil"/>
              <w:left w:val="nil"/>
              <w:bottom w:val="single" w:sz="4" w:space="0" w:color="auto"/>
              <w:right w:val="single" w:sz="4" w:space="0" w:color="auto"/>
            </w:tcBorders>
            <w:shd w:val="clear" w:color="auto" w:fill="auto"/>
          </w:tcPr>
          <w:p w14:paraId="1C859C8A"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   </w:t>
            </w:r>
          </w:p>
        </w:tc>
        <w:tc>
          <w:tcPr>
            <w:tcW w:w="1485" w:type="dxa"/>
            <w:tcBorders>
              <w:top w:val="nil"/>
              <w:left w:val="nil"/>
              <w:bottom w:val="single" w:sz="4" w:space="0" w:color="auto"/>
              <w:right w:val="single" w:sz="4" w:space="0" w:color="auto"/>
            </w:tcBorders>
            <w:shd w:val="clear" w:color="auto" w:fill="auto"/>
          </w:tcPr>
          <w:p w14:paraId="4CD321EA"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   </w:t>
            </w:r>
          </w:p>
        </w:tc>
        <w:tc>
          <w:tcPr>
            <w:tcW w:w="1636" w:type="dxa"/>
            <w:tcBorders>
              <w:top w:val="nil"/>
              <w:left w:val="nil"/>
              <w:bottom w:val="single" w:sz="4" w:space="0" w:color="auto"/>
              <w:right w:val="single" w:sz="4" w:space="0" w:color="auto"/>
            </w:tcBorders>
            <w:shd w:val="clear" w:color="auto" w:fill="auto"/>
          </w:tcPr>
          <w:p w14:paraId="5AC8E84C"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980 </w:t>
            </w:r>
          </w:p>
        </w:tc>
      </w:tr>
      <w:tr w:rsidR="00406667" w:rsidRPr="00406667" w14:paraId="3BD536BF" w14:textId="77777777" w:rsidTr="00372385">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E4B4699"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Papildomos elektros sąnaudos, MWh</w:t>
            </w:r>
          </w:p>
        </w:tc>
        <w:tc>
          <w:tcPr>
            <w:tcW w:w="1278" w:type="dxa"/>
            <w:tcBorders>
              <w:top w:val="nil"/>
              <w:left w:val="nil"/>
              <w:bottom w:val="single" w:sz="4" w:space="0" w:color="auto"/>
              <w:right w:val="single" w:sz="4" w:space="0" w:color="auto"/>
            </w:tcBorders>
            <w:shd w:val="clear" w:color="auto" w:fill="auto"/>
          </w:tcPr>
          <w:p w14:paraId="68E02C0E"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   </w:t>
            </w:r>
          </w:p>
        </w:tc>
        <w:tc>
          <w:tcPr>
            <w:tcW w:w="1417" w:type="dxa"/>
            <w:tcBorders>
              <w:top w:val="nil"/>
              <w:left w:val="nil"/>
              <w:bottom w:val="single" w:sz="4" w:space="0" w:color="auto"/>
              <w:right w:val="single" w:sz="4" w:space="0" w:color="auto"/>
            </w:tcBorders>
            <w:shd w:val="clear" w:color="auto" w:fill="auto"/>
          </w:tcPr>
          <w:p w14:paraId="7B06F212"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304 </w:t>
            </w:r>
          </w:p>
        </w:tc>
        <w:tc>
          <w:tcPr>
            <w:tcW w:w="1485" w:type="dxa"/>
            <w:tcBorders>
              <w:top w:val="nil"/>
              <w:left w:val="nil"/>
              <w:bottom w:val="single" w:sz="4" w:space="0" w:color="auto"/>
              <w:right w:val="single" w:sz="4" w:space="0" w:color="auto"/>
            </w:tcBorders>
            <w:shd w:val="clear" w:color="auto" w:fill="auto"/>
          </w:tcPr>
          <w:p w14:paraId="54818656"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212 </w:t>
            </w:r>
          </w:p>
        </w:tc>
        <w:tc>
          <w:tcPr>
            <w:tcW w:w="1636" w:type="dxa"/>
            <w:tcBorders>
              <w:top w:val="nil"/>
              <w:left w:val="nil"/>
              <w:bottom w:val="single" w:sz="4" w:space="0" w:color="auto"/>
              <w:right w:val="single" w:sz="4" w:space="0" w:color="auto"/>
            </w:tcBorders>
            <w:shd w:val="clear" w:color="auto" w:fill="auto"/>
          </w:tcPr>
          <w:p w14:paraId="080B7D5E"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   </w:t>
            </w:r>
          </w:p>
        </w:tc>
      </w:tr>
      <w:tr w:rsidR="00406667" w:rsidRPr="00406667" w14:paraId="7B5C50C0" w14:textId="77777777" w:rsidTr="00372385">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7DA20EAE"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Medienos granulių sąnaudos, MWh</w:t>
            </w:r>
          </w:p>
        </w:tc>
        <w:tc>
          <w:tcPr>
            <w:tcW w:w="1278" w:type="dxa"/>
            <w:tcBorders>
              <w:top w:val="nil"/>
              <w:left w:val="nil"/>
              <w:bottom w:val="single" w:sz="4" w:space="0" w:color="auto"/>
              <w:right w:val="single" w:sz="4" w:space="0" w:color="auto"/>
            </w:tcBorders>
            <w:shd w:val="clear" w:color="auto" w:fill="auto"/>
          </w:tcPr>
          <w:p w14:paraId="4D1A2C7C"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980 </w:t>
            </w:r>
          </w:p>
        </w:tc>
        <w:tc>
          <w:tcPr>
            <w:tcW w:w="1417" w:type="dxa"/>
            <w:tcBorders>
              <w:top w:val="nil"/>
              <w:left w:val="nil"/>
              <w:bottom w:val="single" w:sz="4" w:space="0" w:color="auto"/>
              <w:right w:val="single" w:sz="4" w:space="0" w:color="auto"/>
            </w:tcBorders>
            <w:shd w:val="clear" w:color="auto" w:fill="auto"/>
          </w:tcPr>
          <w:p w14:paraId="002973E2"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   </w:t>
            </w:r>
          </w:p>
        </w:tc>
        <w:tc>
          <w:tcPr>
            <w:tcW w:w="1485" w:type="dxa"/>
            <w:tcBorders>
              <w:top w:val="nil"/>
              <w:left w:val="nil"/>
              <w:bottom w:val="single" w:sz="4" w:space="0" w:color="auto"/>
              <w:right w:val="single" w:sz="4" w:space="0" w:color="auto"/>
            </w:tcBorders>
            <w:shd w:val="clear" w:color="auto" w:fill="auto"/>
          </w:tcPr>
          <w:p w14:paraId="514F489E"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272 </w:t>
            </w:r>
          </w:p>
        </w:tc>
        <w:tc>
          <w:tcPr>
            <w:tcW w:w="1636" w:type="dxa"/>
            <w:tcBorders>
              <w:top w:val="nil"/>
              <w:left w:val="nil"/>
              <w:bottom w:val="single" w:sz="4" w:space="0" w:color="auto"/>
              <w:right w:val="single" w:sz="4" w:space="0" w:color="auto"/>
            </w:tcBorders>
            <w:shd w:val="clear" w:color="auto" w:fill="auto"/>
          </w:tcPr>
          <w:p w14:paraId="69A1B2FC"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   </w:t>
            </w:r>
          </w:p>
        </w:tc>
      </w:tr>
      <w:tr w:rsidR="00406667" w:rsidRPr="00406667" w14:paraId="4C0AFB76" w14:textId="77777777" w:rsidTr="00372385">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F92C279"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Papildomo personalo poreikis, etatai</w:t>
            </w:r>
          </w:p>
        </w:tc>
        <w:tc>
          <w:tcPr>
            <w:tcW w:w="1278" w:type="dxa"/>
            <w:tcBorders>
              <w:top w:val="nil"/>
              <w:left w:val="nil"/>
              <w:bottom w:val="single" w:sz="4" w:space="0" w:color="auto"/>
              <w:right w:val="single" w:sz="4" w:space="0" w:color="auto"/>
            </w:tcBorders>
            <w:shd w:val="clear" w:color="auto" w:fill="auto"/>
          </w:tcPr>
          <w:p w14:paraId="5C3B6503"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en-US"/>
              </w:rPr>
              <w:t xml:space="preserve"> -   </w:t>
            </w:r>
          </w:p>
        </w:tc>
        <w:tc>
          <w:tcPr>
            <w:tcW w:w="1417" w:type="dxa"/>
            <w:tcBorders>
              <w:top w:val="nil"/>
              <w:left w:val="nil"/>
              <w:bottom w:val="single" w:sz="4" w:space="0" w:color="auto"/>
              <w:right w:val="single" w:sz="4" w:space="0" w:color="auto"/>
            </w:tcBorders>
            <w:shd w:val="clear" w:color="auto" w:fill="auto"/>
          </w:tcPr>
          <w:p w14:paraId="6D9F01BF"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en-US"/>
              </w:rPr>
              <w:t xml:space="preserve">-0 </w:t>
            </w:r>
          </w:p>
        </w:tc>
        <w:tc>
          <w:tcPr>
            <w:tcW w:w="1485" w:type="dxa"/>
            <w:tcBorders>
              <w:top w:val="nil"/>
              <w:left w:val="nil"/>
              <w:bottom w:val="single" w:sz="4" w:space="0" w:color="auto"/>
              <w:right w:val="single" w:sz="4" w:space="0" w:color="auto"/>
            </w:tcBorders>
            <w:shd w:val="clear" w:color="auto" w:fill="auto"/>
          </w:tcPr>
          <w:p w14:paraId="0812FE8A"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en-US"/>
              </w:rPr>
              <w:t xml:space="preserve"> -   </w:t>
            </w:r>
          </w:p>
        </w:tc>
        <w:tc>
          <w:tcPr>
            <w:tcW w:w="1636" w:type="dxa"/>
            <w:tcBorders>
              <w:top w:val="nil"/>
              <w:left w:val="nil"/>
              <w:bottom w:val="single" w:sz="4" w:space="0" w:color="auto"/>
              <w:right w:val="single" w:sz="4" w:space="0" w:color="auto"/>
            </w:tcBorders>
            <w:shd w:val="clear" w:color="auto" w:fill="auto"/>
          </w:tcPr>
          <w:p w14:paraId="5BBBBB3D"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en-US"/>
              </w:rPr>
              <w:t xml:space="preserve"> 0 </w:t>
            </w:r>
          </w:p>
        </w:tc>
      </w:tr>
      <w:tr w:rsidR="00406667" w:rsidRPr="00406667" w14:paraId="65190B0E" w14:textId="77777777" w:rsidTr="00372385">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C5DB1B6"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Iš viso sąnaudos per metus, Eur</w:t>
            </w:r>
          </w:p>
        </w:tc>
        <w:tc>
          <w:tcPr>
            <w:tcW w:w="1278" w:type="dxa"/>
            <w:tcBorders>
              <w:top w:val="nil"/>
              <w:left w:val="nil"/>
              <w:bottom w:val="single" w:sz="4" w:space="0" w:color="auto"/>
              <w:right w:val="single" w:sz="4" w:space="0" w:color="auto"/>
            </w:tcBorders>
            <w:shd w:val="clear" w:color="auto" w:fill="auto"/>
          </w:tcPr>
          <w:p w14:paraId="117776C6"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52 545 </w:t>
            </w:r>
          </w:p>
        </w:tc>
        <w:tc>
          <w:tcPr>
            <w:tcW w:w="1417" w:type="dxa"/>
            <w:tcBorders>
              <w:top w:val="nil"/>
              <w:left w:val="nil"/>
              <w:bottom w:val="single" w:sz="4" w:space="0" w:color="auto"/>
              <w:right w:val="single" w:sz="4" w:space="0" w:color="auto"/>
            </w:tcBorders>
            <w:shd w:val="clear" w:color="auto" w:fill="auto"/>
          </w:tcPr>
          <w:p w14:paraId="2F1453BC"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58 526 </w:t>
            </w:r>
          </w:p>
        </w:tc>
        <w:tc>
          <w:tcPr>
            <w:tcW w:w="1485" w:type="dxa"/>
            <w:tcBorders>
              <w:top w:val="nil"/>
              <w:left w:val="nil"/>
              <w:bottom w:val="single" w:sz="4" w:space="0" w:color="auto"/>
              <w:right w:val="single" w:sz="4" w:space="0" w:color="auto"/>
            </w:tcBorders>
            <w:shd w:val="clear" w:color="auto" w:fill="auto"/>
          </w:tcPr>
          <w:p w14:paraId="39DD29EA"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62 796 </w:t>
            </w:r>
          </w:p>
        </w:tc>
        <w:tc>
          <w:tcPr>
            <w:tcW w:w="1636" w:type="dxa"/>
            <w:tcBorders>
              <w:top w:val="nil"/>
              <w:left w:val="nil"/>
              <w:bottom w:val="single" w:sz="4" w:space="0" w:color="auto"/>
              <w:right w:val="single" w:sz="4" w:space="0" w:color="auto"/>
            </w:tcBorders>
            <w:shd w:val="clear" w:color="auto" w:fill="auto"/>
          </w:tcPr>
          <w:p w14:paraId="749DCEF2" w14:textId="77777777" w:rsidR="00406667" w:rsidRPr="00406667" w:rsidRDefault="00406667" w:rsidP="00372385">
            <w:pPr>
              <w:pStyle w:val="Betarp"/>
              <w:jc w:val="both"/>
              <w:rPr>
                <w:rFonts w:eastAsia="Calibri"/>
                <w:color w:val="FA7D00"/>
                <w:sz w:val="24"/>
                <w:szCs w:val="24"/>
                <w:lang w:eastAsia="lt-LT"/>
              </w:rPr>
            </w:pPr>
            <w:r w:rsidRPr="00406667">
              <w:rPr>
                <w:rFonts w:eastAsia="Calibri"/>
                <w:sz w:val="24"/>
                <w:szCs w:val="24"/>
                <w:lang w:eastAsia="en-US"/>
              </w:rPr>
              <w:t xml:space="preserve"> 71 782 </w:t>
            </w:r>
          </w:p>
        </w:tc>
      </w:tr>
      <w:tr w:rsidR="00406667" w:rsidRPr="00406667" w14:paraId="57969BF1" w14:textId="77777777" w:rsidTr="00372385">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CC9FCB8"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lt-LT"/>
              </w:rPr>
              <w:t>Poveikis šilumos kainai, Eur/MWh</w:t>
            </w:r>
          </w:p>
        </w:tc>
        <w:tc>
          <w:tcPr>
            <w:tcW w:w="1278" w:type="dxa"/>
            <w:tcBorders>
              <w:top w:val="nil"/>
              <w:left w:val="nil"/>
              <w:bottom w:val="single" w:sz="4" w:space="0" w:color="auto"/>
              <w:right w:val="single" w:sz="4" w:space="0" w:color="auto"/>
            </w:tcBorders>
            <w:shd w:val="clear" w:color="auto" w:fill="auto"/>
          </w:tcPr>
          <w:p w14:paraId="3BF0D026"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en-US"/>
              </w:rPr>
              <w:t xml:space="preserve"> 0,20 </w:t>
            </w:r>
          </w:p>
        </w:tc>
        <w:tc>
          <w:tcPr>
            <w:tcW w:w="1417" w:type="dxa"/>
            <w:tcBorders>
              <w:top w:val="nil"/>
              <w:left w:val="nil"/>
              <w:bottom w:val="single" w:sz="4" w:space="0" w:color="auto"/>
              <w:right w:val="single" w:sz="4" w:space="0" w:color="auto"/>
            </w:tcBorders>
            <w:shd w:val="clear" w:color="auto" w:fill="auto"/>
          </w:tcPr>
          <w:p w14:paraId="206E0937"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en-US"/>
              </w:rPr>
              <w:t xml:space="preserve"> 0,58 </w:t>
            </w:r>
          </w:p>
        </w:tc>
        <w:tc>
          <w:tcPr>
            <w:tcW w:w="1485" w:type="dxa"/>
            <w:tcBorders>
              <w:top w:val="nil"/>
              <w:left w:val="nil"/>
              <w:bottom w:val="single" w:sz="4" w:space="0" w:color="auto"/>
              <w:right w:val="single" w:sz="4" w:space="0" w:color="auto"/>
            </w:tcBorders>
            <w:shd w:val="clear" w:color="auto" w:fill="auto"/>
          </w:tcPr>
          <w:p w14:paraId="38643A6E"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en-US"/>
              </w:rPr>
              <w:t xml:space="preserve"> 0,86 </w:t>
            </w:r>
          </w:p>
        </w:tc>
        <w:tc>
          <w:tcPr>
            <w:tcW w:w="1636" w:type="dxa"/>
            <w:tcBorders>
              <w:top w:val="nil"/>
              <w:left w:val="nil"/>
              <w:bottom w:val="single" w:sz="4" w:space="0" w:color="auto"/>
              <w:right w:val="single" w:sz="4" w:space="0" w:color="auto"/>
            </w:tcBorders>
            <w:shd w:val="clear" w:color="auto" w:fill="auto"/>
          </w:tcPr>
          <w:p w14:paraId="78225152" w14:textId="77777777" w:rsidR="00406667" w:rsidRPr="00406667" w:rsidRDefault="00406667" w:rsidP="00372385">
            <w:pPr>
              <w:pStyle w:val="Betarp"/>
              <w:jc w:val="both"/>
              <w:rPr>
                <w:rFonts w:eastAsia="Calibri"/>
                <w:sz w:val="24"/>
                <w:szCs w:val="24"/>
                <w:lang w:eastAsia="lt-LT"/>
              </w:rPr>
            </w:pPr>
            <w:r w:rsidRPr="00406667">
              <w:rPr>
                <w:rFonts w:eastAsia="Calibri"/>
                <w:sz w:val="24"/>
                <w:szCs w:val="24"/>
                <w:lang w:eastAsia="en-US"/>
              </w:rPr>
              <w:t xml:space="preserve"> 1,43 </w:t>
            </w:r>
          </w:p>
        </w:tc>
      </w:tr>
    </w:tbl>
    <w:p w14:paraId="47E94EC8" w14:textId="77777777" w:rsidR="00406667" w:rsidRPr="00406667" w:rsidRDefault="00406667" w:rsidP="00406667">
      <w:pPr>
        <w:pStyle w:val="Betarp"/>
        <w:ind w:left="-284" w:firstLine="720"/>
        <w:jc w:val="both"/>
        <w:rPr>
          <w:sz w:val="24"/>
          <w:szCs w:val="24"/>
        </w:rPr>
      </w:pPr>
      <w:r w:rsidRPr="00406667">
        <w:rPr>
          <w:sz w:val="24"/>
          <w:szCs w:val="24"/>
        </w:rPr>
        <w:t>Pagal lentelėje pateiktus duomenis matyti, kad pagal visus scenarijus investicijos į katilinės modernizavimą didina šilumos kainą. Todėl pasirenkamas ekonomiškiausias variantas – medienos granulių katilas, kurio įsigijimo investicijos, sąnaudos per metus bei poveikis šilumos kainai yra mažiausi.</w:t>
      </w:r>
    </w:p>
    <w:p w14:paraId="5C802D84" w14:textId="06C763AA" w:rsidR="00406667" w:rsidRPr="00406667" w:rsidRDefault="00406667" w:rsidP="00406667">
      <w:pPr>
        <w:pStyle w:val="Betarp"/>
        <w:ind w:left="-284" w:firstLine="720"/>
        <w:jc w:val="both"/>
        <w:rPr>
          <w:rFonts w:eastAsia="Courier New"/>
          <w:sz w:val="24"/>
          <w:szCs w:val="24"/>
        </w:rPr>
      </w:pPr>
      <w:r w:rsidRPr="00406667">
        <w:rPr>
          <w:rFonts w:eastAsia="Courier New"/>
          <w:sz w:val="24"/>
          <w:szCs w:val="24"/>
        </w:rPr>
        <w:t xml:space="preserve">Pagal Įstaigos 2024 m. duomenis, seni Upytės katilinės katilai per sezoną sunaudojo </w:t>
      </w:r>
      <w:r w:rsidRPr="00406667">
        <w:rPr>
          <w:rFonts w:eastAsia="Courier New"/>
          <w:sz w:val="24"/>
          <w:szCs w:val="24"/>
        </w:rPr>
        <w:br/>
        <w:t>1 057 551 kWh kieto kuro, buvo realizuotos 733 001 kWh šilumos. Šios katilinės katilų šilumos naudingumo koeficientas buvo 69,3 proc. Pagal planuojamų įsigyti naujų katilų parengtą pirkimų techninę specifikaciją</w:t>
      </w:r>
      <w:r w:rsidR="007E6C6B">
        <w:rPr>
          <w:rFonts w:eastAsia="Courier New"/>
          <w:sz w:val="24"/>
          <w:szCs w:val="24"/>
        </w:rPr>
        <w:t>,</w:t>
      </w:r>
      <w:r w:rsidRPr="00406667">
        <w:rPr>
          <w:rFonts w:eastAsia="Courier New"/>
          <w:sz w:val="24"/>
          <w:szCs w:val="24"/>
        </w:rPr>
        <w:t xml:space="preserve"> katilų šilumos naudingumo koeficientai turi būti ne mažesni kaip 82 proc. Planuojama su tuo pačiu kiekiu medienos granulių pagaminti iki 10 proc. daugiau šiluminės energijos (įvertinus šilumos netektis) arba tam pačiam kiekiui šiluminės energijos pagaminti numatoma sunaudoti iki 10 proc. mažiau medienos granulių. </w:t>
      </w:r>
      <w:bookmarkStart w:id="2" w:name="_Hlk195008963"/>
    </w:p>
    <w:bookmarkEnd w:id="2"/>
    <w:p w14:paraId="3C5EF925" w14:textId="77777777" w:rsidR="00406667" w:rsidRPr="00406667" w:rsidRDefault="00406667" w:rsidP="00406667">
      <w:pPr>
        <w:pStyle w:val="Betarp"/>
        <w:ind w:left="-284" w:firstLine="720"/>
        <w:jc w:val="both"/>
        <w:rPr>
          <w:sz w:val="24"/>
          <w:szCs w:val="24"/>
        </w:rPr>
      </w:pPr>
      <w:r w:rsidRPr="00406667">
        <w:rPr>
          <w:sz w:val="24"/>
          <w:szCs w:val="24"/>
        </w:rPr>
        <w:t xml:space="preserve">3. Modernizuoti, pakeisti senas </w:t>
      </w:r>
      <w:bookmarkStart w:id="3" w:name="_Hlk198219015"/>
      <w:r w:rsidRPr="00406667">
        <w:rPr>
          <w:sz w:val="24"/>
          <w:szCs w:val="24"/>
        </w:rPr>
        <w:t xml:space="preserve">Ramygalos kanalines šilumos trasas </w:t>
      </w:r>
      <w:bookmarkEnd w:id="3"/>
      <w:r w:rsidRPr="00406667">
        <w:rPr>
          <w:sz w:val="24"/>
          <w:szCs w:val="24"/>
        </w:rPr>
        <w:t xml:space="preserve">į </w:t>
      </w:r>
      <w:proofErr w:type="spellStart"/>
      <w:r w:rsidRPr="00406667">
        <w:rPr>
          <w:sz w:val="24"/>
          <w:szCs w:val="24"/>
        </w:rPr>
        <w:t>bekanales</w:t>
      </w:r>
      <w:proofErr w:type="spellEnd"/>
      <w:r w:rsidRPr="00406667">
        <w:rPr>
          <w:sz w:val="24"/>
          <w:szCs w:val="24"/>
        </w:rPr>
        <w:t xml:space="preserve"> pagal parengtą projektą, kad ateityje šioje atkarpoje sumažėtų šilumos tiekimo nuostoliai ir būtų užtikrintas nepertraukiamas šilumos tiekimas. Įstaigos duomenimis, projektavimo darbams atlikti reikalinga lėšų </w:t>
      </w:r>
      <w:r w:rsidRPr="00406667">
        <w:rPr>
          <w:sz w:val="24"/>
          <w:szCs w:val="24"/>
        </w:rPr>
        <w:br/>
        <w:t>suma  ̶  143 560,00 Eur.</w:t>
      </w:r>
    </w:p>
    <w:p w14:paraId="2288D244" w14:textId="2A473073" w:rsidR="00406667" w:rsidRPr="00406667" w:rsidRDefault="00406667" w:rsidP="00406667">
      <w:pPr>
        <w:pStyle w:val="Betarp"/>
        <w:ind w:left="-284" w:firstLine="720"/>
        <w:jc w:val="both"/>
        <w:rPr>
          <w:sz w:val="24"/>
          <w:szCs w:val="24"/>
        </w:rPr>
      </w:pPr>
      <w:r w:rsidRPr="00406667">
        <w:rPr>
          <w:sz w:val="24"/>
          <w:szCs w:val="24"/>
        </w:rPr>
        <w:t xml:space="preserve">Šilumos tiekimo sistemų pagrindiniai komponentai yra šilumos tinklai, kuriems senstant didėja  patiriami šilumos tiekimo nuostoliai. Siekiant išlaikyti nedidėjančius (stabilius) šilumos tiekimo nuostolius ir sumažinti finansinę naštą tinklams modernizuoti, optimaliausia būtų šilumos tiekimo sistemas modernizuoti palaipsniui ir nuosekliai. Panevėžio rajono teritorijoje apie 73,4 proc. šilumos tinklų yra pakeista naujais, kurie nutiesti po 2000 metų. Kita dalis  ̶  visiškai neatnaujintos šilumos tiekimo sistemos, kuriose yra senų susidėvėjusių tinklų ir kurias tikslinga būtų modernizuoti.   </w:t>
      </w:r>
    </w:p>
    <w:p w14:paraId="75F73BAA" w14:textId="7909B828" w:rsidR="00406667" w:rsidRPr="00406667" w:rsidRDefault="00406667" w:rsidP="00406667">
      <w:pPr>
        <w:pStyle w:val="Betarp"/>
        <w:ind w:left="-284" w:firstLine="720"/>
        <w:jc w:val="both"/>
        <w:rPr>
          <w:sz w:val="24"/>
          <w:szCs w:val="24"/>
        </w:rPr>
      </w:pPr>
      <w:r w:rsidRPr="00406667">
        <w:rPr>
          <w:sz w:val="24"/>
          <w:szCs w:val="24"/>
        </w:rPr>
        <w:t xml:space="preserve">Žemiau pateiktoje lentelėje, atsižvelgiant į Įstaigos </w:t>
      </w:r>
      <w:r w:rsidR="007E6C6B">
        <w:rPr>
          <w:sz w:val="24"/>
          <w:szCs w:val="24"/>
        </w:rPr>
        <w:t>p</w:t>
      </w:r>
      <w:r w:rsidRPr="00406667">
        <w:rPr>
          <w:sz w:val="24"/>
          <w:szCs w:val="24"/>
        </w:rPr>
        <w:t xml:space="preserve">laną, pateikiamos neatnaujintų centralizuotų šilumos tinklų sistemų duomenys: </w:t>
      </w:r>
    </w:p>
    <w:tbl>
      <w:tblPr>
        <w:tblStyle w:val="Lentelstinklelis2"/>
        <w:tblW w:w="9634" w:type="dxa"/>
        <w:tblLook w:val="04A0" w:firstRow="1" w:lastRow="0" w:firstColumn="1" w:lastColumn="0" w:noHBand="0" w:noVBand="1"/>
      </w:tblPr>
      <w:tblGrid>
        <w:gridCol w:w="3681"/>
        <w:gridCol w:w="1559"/>
        <w:gridCol w:w="1276"/>
        <w:gridCol w:w="1559"/>
        <w:gridCol w:w="1559"/>
      </w:tblGrid>
      <w:tr w:rsidR="00406667" w:rsidRPr="00406667" w14:paraId="443AB547" w14:textId="77777777" w:rsidTr="00372385">
        <w:trPr>
          <w:trHeight w:val="900"/>
        </w:trPr>
        <w:tc>
          <w:tcPr>
            <w:tcW w:w="3681" w:type="dxa"/>
            <w:tcBorders>
              <w:top w:val="single" w:sz="4" w:space="0" w:color="auto"/>
              <w:left w:val="single" w:sz="4" w:space="0" w:color="auto"/>
              <w:bottom w:val="single" w:sz="4" w:space="0" w:color="auto"/>
              <w:right w:val="single" w:sz="4" w:space="0" w:color="auto"/>
            </w:tcBorders>
            <w:vAlign w:val="center"/>
            <w:hideMark/>
          </w:tcPr>
          <w:p w14:paraId="28B8D51B" w14:textId="77777777" w:rsidR="00406667" w:rsidRPr="00406667" w:rsidRDefault="00406667" w:rsidP="00372385">
            <w:pPr>
              <w:pStyle w:val="Betarp"/>
              <w:rPr>
                <w:rFonts w:ascii="Times New Roman" w:hAnsi="Times New Roman"/>
                <w:b/>
                <w:bCs/>
                <w:sz w:val="24"/>
                <w:szCs w:val="24"/>
                <w:lang w:eastAsia="lt-LT"/>
              </w:rPr>
            </w:pPr>
            <w:r w:rsidRPr="00406667">
              <w:rPr>
                <w:rFonts w:ascii="Times New Roman" w:hAnsi="Times New Roman"/>
                <w:b/>
                <w:bCs/>
                <w:sz w:val="24"/>
                <w:szCs w:val="24"/>
                <w:lang w:eastAsia="lt-LT"/>
              </w:rPr>
              <w:t xml:space="preserve">CŠT </w:t>
            </w:r>
            <w:proofErr w:type="spellStart"/>
            <w:r w:rsidRPr="00406667">
              <w:rPr>
                <w:rFonts w:ascii="Times New Roman" w:hAnsi="Times New Roman"/>
                <w:b/>
                <w:bCs/>
                <w:sz w:val="24"/>
                <w:szCs w:val="24"/>
                <w:lang w:eastAsia="lt-LT"/>
              </w:rPr>
              <w:t>sistema</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5D43976" w14:textId="77777777" w:rsidR="00406667" w:rsidRPr="00406667" w:rsidRDefault="00406667" w:rsidP="00372385">
            <w:pPr>
              <w:pStyle w:val="Betarp"/>
              <w:rPr>
                <w:rFonts w:ascii="Times New Roman" w:hAnsi="Times New Roman"/>
                <w:b/>
                <w:bCs/>
                <w:color w:val="000000"/>
                <w:sz w:val="24"/>
                <w:szCs w:val="24"/>
                <w:lang w:val="pt-BR" w:eastAsia="lt-LT"/>
              </w:rPr>
            </w:pPr>
            <w:r w:rsidRPr="00406667">
              <w:rPr>
                <w:rFonts w:ascii="Times New Roman" w:hAnsi="Times New Roman"/>
                <w:b/>
                <w:bCs/>
                <w:sz w:val="24"/>
                <w:szCs w:val="24"/>
                <w:lang w:val="pt-BR" w:eastAsia="en-US"/>
              </w:rPr>
              <w:t>Bendras sąlyginis (100 mm) tinklų ilgis, 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AD36BD" w14:textId="77777777" w:rsidR="00406667" w:rsidRPr="00406667" w:rsidRDefault="00406667" w:rsidP="00372385">
            <w:pPr>
              <w:pStyle w:val="Betarp"/>
              <w:rPr>
                <w:rFonts w:ascii="Times New Roman" w:hAnsi="Times New Roman"/>
                <w:b/>
                <w:bCs/>
                <w:sz w:val="24"/>
                <w:szCs w:val="24"/>
                <w:lang w:val="pt-BR" w:eastAsia="lt-LT"/>
              </w:rPr>
            </w:pPr>
            <w:r w:rsidRPr="00406667">
              <w:rPr>
                <w:rFonts w:ascii="Times New Roman" w:hAnsi="Times New Roman"/>
                <w:b/>
                <w:bCs/>
                <w:sz w:val="24"/>
                <w:szCs w:val="24"/>
                <w:lang w:val="pt-BR" w:eastAsia="en-US"/>
              </w:rPr>
              <w:t>Senų trasų sąlyginis (100 mm)  ilgis, m</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519C675" w14:textId="77777777" w:rsidR="00406667" w:rsidRPr="00406667" w:rsidRDefault="00406667" w:rsidP="00372385">
            <w:pPr>
              <w:pStyle w:val="Betarp"/>
              <w:rPr>
                <w:rFonts w:ascii="Times New Roman" w:hAnsi="Times New Roman"/>
                <w:b/>
                <w:bCs/>
                <w:color w:val="000000"/>
                <w:sz w:val="24"/>
                <w:szCs w:val="24"/>
                <w:lang w:val="pt-BR" w:eastAsia="lt-LT"/>
              </w:rPr>
            </w:pPr>
            <w:r w:rsidRPr="00406667">
              <w:rPr>
                <w:rFonts w:ascii="Times New Roman" w:hAnsi="Times New Roman"/>
                <w:b/>
                <w:bCs/>
                <w:sz w:val="24"/>
                <w:szCs w:val="24"/>
                <w:lang w:val="pt-BR" w:eastAsia="en-US"/>
              </w:rPr>
              <w:t>Šilumos tiekimo nuostoliai, MWh/metus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DF2928" w14:textId="77777777" w:rsidR="00406667" w:rsidRPr="00406667" w:rsidRDefault="00406667" w:rsidP="00372385">
            <w:pPr>
              <w:pStyle w:val="Betarp"/>
              <w:rPr>
                <w:rFonts w:ascii="Times New Roman" w:hAnsi="Times New Roman"/>
                <w:b/>
                <w:bCs/>
                <w:sz w:val="24"/>
                <w:szCs w:val="24"/>
                <w:lang w:val="pt-BR" w:eastAsia="lt-LT"/>
              </w:rPr>
            </w:pPr>
            <w:r w:rsidRPr="00406667">
              <w:rPr>
                <w:rFonts w:ascii="Times New Roman" w:hAnsi="Times New Roman"/>
                <w:b/>
                <w:bCs/>
                <w:sz w:val="24"/>
                <w:szCs w:val="24"/>
                <w:lang w:val="pt-BR" w:eastAsia="en-US"/>
              </w:rPr>
              <w:t>Tikėtinas šilumos nuostolių sutaupymas, MWh/metus</w:t>
            </w:r>
          </w:p>
        </w:tc>
      </w:tr>
      <w:tr w:rsidR="00406667" w:rsidRPr="00406667" w14:paraId="3906A5FE" w14:textId="77777777" w:rsidTr="00372385">
        <w:trPr>
          <w:trHeight w:val="300"/>
        </w:trPr>
        <w:tc>
          <w:tcPr>
            <w:tcW w:w="3681" w:type="dxa"/>
            <w:tcBorders>
              <w:top w:val="single" w:sz="4" w:space="0" w:color="auto"/>
              <w:left w:val="single" w:sz="4" w:space="0" w:color="auto"/>
              <w:bottom w:val="single" w:sz="4" w:space="0" w:color="auto"/>
              <w:right w:val="single" w:sz="4" w:space="0" w:color="auto"/>
            </w:tcBorders>
            <w:noWrap/>
            <w:vAlign w:val="center"/>
          </w:tcPr>
          <w:p w14:paraId="1B494527" w14:textId="77777777" w:rsidR="00406667" w:rsidRPr="00406667" w:rsidRDefault="00406667" w:rsidP="00372385">
            <w:pPr>
              <w:pStyle w:val="Betarp"/>
              <w:rPr>
                <w:rFonts w:ascii="Times New Roman" w:hAnsi="Times New Roman"/>
                <w:color w:val="000000"/>
                <w:sz w:val="24"/>
                <w:szCs w:val="24"/>
                <w:lang w:val="pt-BR"/>
              </w:rPr>
            </w:pPr>
            <w:r w:rsidRPr="00406667">
              <w:rPr>
                <w:rFonts w:ascii="Times New Roman" w:hAnsi="Times New Roman"/>
                <w:color w:val="000000"/>
                <w:sz w:val="24"/>
                <w:szCs w:val="24"/>
                <w:lang w:val="pt-BR"/>
              </w:rPr>
              <w:t>Ramygalos miesto Dariaus ir Girėno g. Kvartalo katilinės</w:t>
            </w:r>
          </w:p>
        </w:tc>
        <w:tc>
          <w:tcPr>
            <w:tcW w:w="1559" w:type="dxa"/>
            <w:tcBorders>
              <w:top w:val="single" w:sz="4" w:space="0" w:color="auto"/>
              <w:left w:val="single" w:sz="4" w:space="0" w:color="auto"/>
              <w:bottom w:val="single" w:sz="4" w:space="0" w:color="auto"/>
              <w:right w:val="single" w:sz="4" w:space="0" w:color="auto"/>
            </w:tcBorders>
            <w:noWrap/>
          </w:tcPr>
          <w:p w14:paraId="64EEB345" w14:textId="77777777" w:rsidR="00406667" w:rsidRPr="00406667" w:rsidRDefault="00406667" w:rsidP="00372385">
            <w:pPr>
              <w:pStyle w:val="Betarp"/>
              <w:rPr>
                <w:rFonts w:ascii="Times New Roman" w:hAnsi="Times New Roman"/>
                <w:color w:val="000000"/>
                <w:sz w:val="24"/>
                <w:szCs w:val="24"/>
                <w:lang w:val="pt-BR" w:eastAsia="lt-LT"/>
              </w:rPr>
            </w:pPr>
            <w:r w:rsidRPr="00406667">
              <w:rPr>
                <w:rFonts w:ascii="Times New Roman" w:hAnsi="Times New Roman"/>
                <w:color w:val="000000"/>
                <w:sz w:val="24"/>
                <w:szCs w:val="24"/>
                <w:lang w:val="pt-BR" w:eastAsia="lt-LT"/>
              </w:rPr>
              <w:t>357,1</w:t>
            </w:r>
          </w:p>
        </w:tc>
        <w:tc>
          <w:tcPr>
            <w:tcW w:w="1276" w:type="dxa"/>
            <w:tcBorders>
              <w:top w:val="single" w:sz="4" w:space="0" w:color="auto"/>
              <w:left w:val="single" w:sz="4" w:space="0" w:color="auto"/>
              <w:bottom w:val="single" w:sz="4" w:space="0" w:color="auto"/>
              <w:right w:val="single" w:sz="4" w:space="0" w:color="auto"/>
            </w:tcBorders>
            <w:noWrap/>
          </w:tcPr>
          <w:p w14:paraId="3460508F" w14:textId="77777777" w:rsidR="00406667" w:rsidRPr="00406667" w:rsidRDefault="00406667" w:rsidP="00372385">
            <w:pPr>
              <w:pStyle w:val="Betarp"/>
              <w:rPr>
                <w:rFonts w:ascii="Times New Roman" w:hAnsi="Times New Roman"/>
                <w:color w:val="000000"/>
                <w:sz w:val="24"/>
                <w:szCs w:val="24"/>
                <w:lang w:val="pt-BR" w:eastAsia="lt-LT"/>
              </w:rPr>
            </w:pPr>
            <w:r w:rsidRPr="00406667">
              <w:rPr>
                <w:rFonts w:ascii="Times New Roman" w:hAnsi="Times New Roman"/>
                <w:color w:val="000000"/>
                <w:sz w:val="24"/>
                <w:szCs w:val="24"/>
                <w:lang w:val="pt-BR" w:eastAsia="lt-LT"/>
              </w:rPr>
              <w:t>279,4</w:t>
            </w:r>
          </w:p>
        </w:tc>
        <w:tc>
          <w:tcPr>
            <w:tcW w:w="1559" w:type="dxa"/>
            <w:tcBorders>
              <w:top w:val="single" w:sz="4" w:space="0" w:color="auto"/>
              <w:left w:val="single" w:sz="4" w:space="0" w:color="auto"/>
              <w:bottom w:val="single" w:sz="4" w:space="0" w:color="auto"/>
              <w:right w:val="single" w:sz="4" w:space="0" w:color="auto"/>
            </w:tcBorders>
            <w:noWrap/>
          </w:tcPr>
          <w:p w14:paraId="6DFF4667" w14:textId="77777777" w:rsidR="00406667" w:rsidRPr="00406667" w:rsidRDefault="00406667" w:rsidP="00372385">
            <w:pPr>
              <w:pStyle w:val="Betarp"/>
              <w:rPr>
                <w:rFonts w:ascii="Times New Roman" w:hAnsi="Times New Roman"/>
                <w:color w:val="000000"/>
                <w:sz w:val="24"/>
                <w:szCs w:val="24"/>
                <w:lang w:val="pt-BR" w:eastAsia="lt-LT"/>
              </w:rPr>
            </w:pPr>
            <w:r w:rsidRPr="00406667">
              <w:rPr>
                <w:rFonts w:ascii="Times New Roman" w:hAnsi="Times New Roman"/>
                <w:color w:val="000000"/>
                <w:sz w:val="24"/>
                <w:szCs w:val="24"/>
                <w:lang w:val="pt-BR" w:eastAsia="lt-LT"/>
              </w:rPr>
              <w:t>157,28</w:t>
            </w:r>
          </w:p>
        </w:tc>
        <w:tc>
          <w:tcPr>
            <w:tcW w:w="1559" w:type="dxa"/>
            <w:tcBorders>
              <w:top w:val="single" w:sz="4" w:space="0" w:color="auto"/>
              <w:left w:val="single" w:sz="4" w:space="0" w:color="auto"/>
              <w:bottom w:val="single" w:sz="4" w:space="0" w:color="auto"/>
              <w:right w:val="single" w:sz="4" w:space="0" w:color="auto"/>
            </w:tcBorders>
            <w:noWrap/>
          </w:tcPr>
          <w:p w14:paraId="753CD00E" w14:textId="77777777" w:rsidR="00406667" w:rsidRPr="00406667" w:rsidRDefault="00406667" w:rsidP="00372385">
            <w:pPr>
              <w:pStyle w:val="Betarp"/>
              <w:rPr>
                <w:rFonts w:ascii="Times New Roman" w:hAnsi="Times New Roman"/>
                <w:color w:val="000000"/>
                <w:sz w:val="24"/>
                <w:szCs w:val="24"/>
                <w:lang w:val="pt-BR" w:eastAsia="lt-LT"/>
              </w:rPr>
            </w:pPr>
            <w:r w:rsidRPr="00406667">
              <w:rPr>
                <w:rFonts w:ascii="Times New Roman" w:hAnsi="Times New Roman"/>
                <w:color w:val="000000"/>
                <w:sz w:val="24"/>
                <w:szCs w:val="24"/>
                <w:lang w:val="pt-BR" w:eastAsia="lt-LT"/>
              </w:rPr>
              <w:t>18,74</w:t>
            </w:r>
          </w:p>
        </w:tc>
      </w:tr>
    </w:tbl>
    <w:p w14:paraId="4F1AD352" w14:textId="5D593CEA" w:rsidR="00406667" w:rsidRPr="00406667" w:rsidRDefault="00406667" w:rsidP="00406667">
      <w:pPr>
        <w:pStyle w:val="Betarp"/>
        <w:ind w:firstLine="720"/>
        <w:jc w:val="both"/>
        <w:rPr>
          <w:sz w:val="24"/>
          <w:szCs w:val="24"/>
        </w:rPr>
      </w:pPr>
      <w:r w:rsidRPr="00406667">
        <w:rPr>
          <w:sz w:val="24"/>
          <w:szCs w:val="24"/>
        </w:rPr>
        <w:lastRenderedPageBreak/>
        <w:t>Pagal šioje lentelėje pateiktus duomenis matyti, kad modernizavus senas</w:t>
      </w:r>
      <w:r w:rsidR="00E56AF3">
        <w:rPr>
          <w:sz w:val="24"/>
          <w:szCs w:val="24"/>
        </w:rPr>
        <w:t xml:space="preserve"> </w:t>
      </w:r>
      <w:r w:rsidR="00E56AF3" w:rsidRPr="00406667">
        <w:rPr>
          <w:sz w:val="24"/>
          <w:szCs w:val="24"/>
        </w:rPr>
        <w:t xml:space="preserve">Ramygalos kanalines šilumos </w:t>
      </w:r>
      <w:r w:rsidR="00E56AF3" w:rsidRPr="00E56AF3">
        <w:rPr>
          <w:sz w:val="24"/>
          <w:szCs w:val="24"/>
        </w:rPr>
        <w:t>trasas</w:t>
      </w:r>
      <w:r w:rsidRPr="00E56AF3">
        <w:rPr>
          <w:sz w:val="24"/>
          <w:szCs w:val="24"/>
        </w:rPr>
        <w:t>,</w:t>
      </w:r>
      <w:r w:rsidRPr="00406667">
        <w:rPr>
          <w:sz w:val="24"/>
          <w:szCs w:val="24"/>
        </w:rPr>
        <w:t xml:space="preserve"> būtų galima sutaupyti šilumos energijos apie 18,74 MWh per metus. </w:t>
      </w:r>
    </w:p>
    <w:p w14:paraId="1F004689" w14:textId="2C623979" w:rsidR="000F1088" w:rsidRPr="000F47CA" w:rsidRDefault="00904D02" w:rsidP="00406667">
      <w:pPr>
        <w:ind w:firstLine="720"/>
        <w:jc w:val="both"/>
        <w:rPr>
          <w:sz w:val="24"/>
          <w:szCs w:val="24"/>
        </w:rPr>
      </w:pPr>
      <w:r>
        <w:rPr>
          <w:b/>
          <w:color w:val="000000"/>
          <w:spacing w:val="-3"/>
          <w:sz w:val="24"/>
          <w:szCs w:val="24"/>
        </w:rPr>
        <w:t>3</w:t>
      </w:r>
      <w:r w:rsidR="00027F24" w:rsidRPr="000F47CA">
        <w:rPr>
          <w:color w:val="000000"/>
          <w:spacing w:val="-3"/>
          <w:sz w:val="24"/>
          <w:szCs w:val="24"/>
        </w:rPr>
        <w:t xml:space="preserve">. </w:t>
      </w:r>
      <w:r w:rsidR="00027F24" w:rsidRPr="000F47CA">
        <w:rPr>
          <w:b/>
          <w:sz w:val="24"/>
          <w:szCs w:val="24"/>
        </w:rPr>
        <w:t xml:space="preserve"> Lėšų poreikis ir šaltiniai</w:t>
      </w:r>
    </w:p>
    <w:p w14:paraId="1667FE6D" w14:textId="1137FB19" w:rsidR="006306C3" w:rsidRPr="007B3DC8" w:rsidRDefault="000755F4" w:rsidP="006306C3">
      <w:pPr>
        <w:spacing w:line="276" w:lineRule="auto"/>
        <w:ind w:firstLine="709"/>
        <w:jc w:val="both"/>
        <w:rPr>
          <w:sz w:val="24"/>
          <w:szCs w:val="24"/>
        </w:rPr>
      </w:pPr>
      <w:r>
        <w:rPr>
          <w:sz w:val="24"/>
          <w:szCs w:val="24"/>
        </w:rPr>
        <w:t>Reikaling</w:t>
      </w:r>
      <w:r w:rsidR="007E6C6B">
        <w:rPr>
          <w:sz w:val="24"/>
          <w:szCs w:val="24"/>
        </w:rPr>
        <w:t>a</w:t>
      </w:r>
      <w:r>
        <w:rPr>
          <w:sz w:val="24"/>
          <w:szCs w:val="24"/>
        </w:rPr>
        <w:t xml:space="preserve"> 191 825 Eur </w:t>
      </w:r>
      <w:r w:rsidR="007E6C6B">
        <w:rPr>
          <w:sz w:val="24"/>
          <w:szCs w:val="24"/>
        </w:rPr>
        <w:t>s</w:t>
      </w:r>
      <w:r w:rsidR="006306C3" w:rsidRPr="007B3DC8">
        <w:rPr>
          <w:sz w:val="24"/>
          <w:szCs w:val="24"/>
        </w:rPr>
        <w:t>avivaldybės biudžeto lėš</w:t>
      </w:r>
      <w:r>
        <w:rPr>
          <w:sz w:val="24"/>
          <w:szCs w:val="24"/>
        </w:rPr>
        <w:t>ų</w:t>
      </w:r>
      <w:r w:rsidR="006306C3" w:rsidRPr="007B3DC8">
        <w:rPr>
          <w:sz w:val="24"/>
          <w:szCs w:val="24"/>
        </w:rPr>
        <w:t>.</w:t>
      </w:r>
    </w:p>
    <w:p w14:paraId="2A738030" w14:textId="3200E9A6" w:rsidR="000F1088" w:rsidRPr="000F47CA" w:rsidRDefault="00904D02" w:rsidP="007731EE">
      <w:pPr>
        <w:spacing w:line="276" w:lineRule="auto"/>
        <w:ind w:firstLine="709"/>
        <w:jc w:val="both"/>
        <w:rPr>
          <w:sz w:val="24"/>
          <w:szCs w:val="24"/>
        </w:rPr>
      </w:pPr>
      <w:r>
        <w:rPr>
          <w:b/>
          <w:color w:val="000000"/>
          <w:sz w:val="24"/>
          <w:szCs w:val="24"/>
        </w:rPr>
        <w:t>4</w:t>
      </w:r>
      <w:r w:rsidR="00027F24" w:rsidRPr="000F47CA">
        <w:rPr>
          <w:b/>
          <w:bCs/>
          <w:sz w:val="24"/>
          <w:szCs w:val="24"/>
        </w:rPr>
        <w:t>. Kiti reikalingi pagrindimai, skaičiavimai, paaiškinimai</w:t>
      </w:r>
    </w:p>
    <w:p w14:paraId="2C09861C" w14:textId="716C96ED" w:rsidR="000F1088" w:rsidRPr="000F47CA" w:rsidRDefault="00027F24">
      <w:pPr>
        <w:spacing w:line="276" w:lineRule="auto"/>
        <w:ind w:left="709"/>
        <w:jc w:val="both"/>
        <w:rPr>
          <w:sz w:val="24"/>
          <w:szCs w:val="24"/>
        </w:rPr>
      </w:pPr>
      <w:r w:rsidRPr="000F47CA">
        <w:rPr>
          <w:sz w:val="24"/>
          <w:szCs w:val="24"/>
        </w:rPr>
        <w:t>Nėra.</w:t>
      </w:r>
    </w:p>
    <w:p w14:paraId="046A9D64" w14:textId="77777777" w:rsidR="000F1088" w:rsidRPr="000F47CA" w:rsidRDefault="000F1088">
      <w:pPr>
        <w:spacing w:line="276" w:lineRule="auto"/>
        <w:jc w:val="both"/>
        <w:rPr>
          <w:sz w:val="24"/>
          <w:szCs w:val="24"/>
        </w:rPr>
      </w:pPr>
    </w:p>
    <w:p w14:paraId="0924C82B" w14:textId="14B80012" w:rsidR="000F1088" w:rsidRPr="007B3DC8" w:rsidRDefault="00120F24">
      <w:pPr>
        <w:spacing w:line="276" w:lineRule="auto"/>
        <w:jc w:val="both"/>
        <w:rPr>
          <w:sz w:val="24"/>
          <w:szCs w:val="24"/>
        </w:rPr>
      </w:pPr>
      <w:r>
        <w:rPr>
          <w:sz w:val="24"/>
          <w:szCs w:val="24"/>
        </w:rPr>
        <w:t xml:space="preserve">Skyriaus vedėja                                                                                                 </w:t>
      </w:r>
      <w:r w:rsidR="007E6C6B">
        <w:rPr>
          <w:sz w:val="24"/>
          <w:szCs w:val="24"/>
        </w:rPr>
        <w:t xml:space="preserve">            </w:t>
      </w:r>
      <w:r>
        <w:rPr>
          <w:sz w:val="24"/>
          <w:szCs w:val="24"/>
        </w:rPr>
        <w:t>Aldona Čiegytė</w:t>
      </w:r>
    </w:p>
    <w:sectPr w:rsidR="000F1088" w:rsidRPr="007B3DC8">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2248245">
    <w:abstractNumId w:val="0"/>
  </w:num>
  <w:num w:numId="2" w16cid:durableId="1231847305">
    <w:abstractNumId w:val="2"/>
  </w:num>
  <w:num w:numId="3" w16cid:durableId="491145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4462C"/>
    <w:rsid w:val="0006561A"/>
    <w:rsid w:val="000755F4"/>
    <w:rsid w:val="000A2E27"/>
    <w:rsid w:val="000B6C4A"/>
    <w:rsid w:val="000F049A"/>
    <w:rsid w:val="000F1088"/>
    <w:rsid w:val="000F30DC"/>
    <w:rsid w:val="000F47CA"/>
    <w:rsid w:val="00120F24"/>
    <w:rsid w:val="001320E6"/>
    <w:rsid w:val="001418AD"/>
    <w:rsid w:val="0018793A"/>
    <w:rsid w:val="001D5FEF"/>
    <w:rsid w:val="001F20AA"/>
    <w:rsid w:val="002B0A19"/>
    <w:rsid w:val="00315B73"/>
    <w:rsid w:val="00337202"/>
    <w:rsid w:val="003754BA"/>
    <w:rsid w:val="003771B2"/>
    <w:rsid w:val="003B7E0E"/>
    <w:rsid w:val="00402811"/>
    <w:rsid w:val="00406667"/>
    <w:rsid w:val="00423BE1"/>
    <w:rsid w:val="004D1303"/>
    <w:rsid w:val="004D3247"/>
    <w:rsid w:val="00597056"/>
    <w:rsid w:val="006306C3"/>
    <w:rsid w:val="00634038"/>
    <w:rsid w:val="006F55FC"/>
    <w:rsid w:val="007035AA"/>
    <w:rsid w:val="007731EE"/>
    <w:rsid w:val="007B3DC8"/>
    <w:rsid w:val="007D3ED0"/>
    <w:rsid w:val="007E6C6B"/>
    <w:rsid w:val="0082677C"/>
    <w:rsid w:val="008A63DB"/>
    <w:rsid w:val="008B7178"/>
    <w:rsid w:val="008D5543"/>
    <w:rsid w:val="00904D02"/>
    <w:rsid w:val="00921E9C"/>
    <w:rsid w:val="00922837"/>
    <w:rsid w:val="009651FC"/>
    <w:rsid w:val="009723A6"/>
    <w:rsid w:val="009807EF"/>
    <w:rsid w:val="00986A4A"/>
    <w:rsid w:val="009B3C3E"/>
    <w:rsid w:val="00A04809"/>
    <w:rsid w:val="00A23663"/>
    <w:rsid w:val="00A322A8"/>
    <w:rsid w:val="00AB0853"/>
    <w:rsid w:val="00AC53A5"/>
    <w:rsid w:val="00AF3743"/>
    <w:rsid w:val="00B072E5"/>
    <w:rsid w:val="00B51837"/>
    <w:rsid w:val="00BC3D26"/>
    <w:rsid w:val="00BD5FE1"/>
    <w:rsid w:val="00BD68CB"/>
    <w:rsid w:val="00BF04FD"/>
    <w:rsid w:val="00C047CF"/>
    <w:rsid w:val="00C57B87"/>
    <w:rsid w:val="00D04AFA"/>
    <w:rsid w:val="00D32FF4"/>
    <w:rsid w:val="00DB4250"/>
    <w:rsid w:val="00DF0ACC"/>
    <w:rsid w:val="00E11D38"/>
    <w:rsid w:val="00E15343"/>
    <w:rsid w:val="00E537A6"/>
    <w:rsid w:val="00E56AF3"/>
    <w:rsid w:val="00E6042C"/>
    <w:rsid w:val="00E60D7C"/>
    <w:rsid w:val="00EA7528"/>
    <w:rsid w:val="00EB0F49"/>
    <w:rsid w:val="00F05EA3"/>
    <w:rsid w:val="00F50368"/>
    <w:rsid w:val="00F76718"/>
    <w:rsid w:val="00F82F85"/>
    <w:rsid w:val="00FE547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E15343"/>
    <w:pPr>
      <w:spacing w:after="120" w:line="480" w:lineRule="auto"/>
      <w:ind w:left="283"/>
    </w:pPr>
    <w:rPr>
      <w:sz w:val="24"/>
      <w:szCs w:val="24"/>
    </w:rPr>
  </w:style>
  <w:style w:type="character" w:customStyle="1" w:styleId="Pagrindiniotekstotrauka2Diagrama">
    <w:name w:val="Pagrindinio teksto įtrauka 2 Diagrama"/>
    <w:basedOn w:val="Numatytasispastraiposriftas"/>
    <w:link w:val="Pagrindiniotekstotrauka2"/>
    <w:rsid w:val="00E15343"/>
    <w:rPr>
      <w:sz w:val="24"/>
      <w:szCs w:val="24"/>
      <w:lang w:eastAsia="ar-SA"/>
    </w:rPr>
  </w:style>
  <w:style w:type="paragraph" w:customStyle="1" w:styleId="LentTextas">
    <w:name w:val="Lent.Textas"/>
    <w:basedOn w:val="prastasis"/>
    <w:link w:val="LentTextasChar"/>
    <w:qFormat/>
    <w:rsid w:val="00E15343"/>
    <w:pPr>
      <w:suppressAutoHyphens w:val="0"/>
    </w:pPr>
    <w:rPr>
      <w:rFonts w:asciiTheme="minorHAnsi" w:eastAsiaTheme="minorHAnsi" w:hAnsiTheme="minorHAnsi" w:cstheme="minorHAnsi"/>
      <w:sz w:val="22"/>
      <w:szCs w:val="24"/>
      <w:lang w:eastAsia="en-US"/>
    </w:rPr>
  </w:style>
  <w:style w:type="character" w:customStyle="1" w:styleId="LentTextasChar">
    <w:name w:val="Lent.Textas Char"/>
    <w:basedOn w:val="Numatytasispastraiposriftas"/>
    <w:link w:val="LentTextas"/>
    <w:rsid w:val="00E15343"/>
    <w:rPr>
      <w:rFonts w:asciiTheme="minorHAnsi" w:eastAsiaTheme="minorHAnsi" w:hAnsiTheme="minorHAnsi" w:cstheme="minorHAnsi"/>
      <w:sz w:val="22"/>
      <w:szCs w:val="24"/>
      <w:lang w:eastAsia="en-US"/>
    </w:rPr>
  </w:style>
  <w:style w:type="character" w:styleId="Grietas">
    <w:name w:val="Strong"/>
    <w:basedOn w:val="Numatytasispastraiposriftas"/>
    <w:uiPriority w:val="22"/>
    <w:qFormat/>
    <w:rsid w:val="00E15343"/>
    <w:rPr>
      <w:b/>
      <w:bCs/>
    </w:rPr>
  </w:style>
  <w:style w:type="table" w:customStyle="1" w:styleId="Lentelstinklelis2">
    <w:name w:val="Lentelės tinklelis2"/>
    <w:basedOn w:val="prastojilentel"/>
    <w:next w:val="Lentelstinklelis"/>
    <w:uiPriority w:val="39"/>
    <w:rsid w:val="00406667"/>
    <w:pPr>
      <w:suppressAutoHyphens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26604">
      <w:bodyDiv w:val="1"/>
      <w:marLeft w:val="0"/>
      <w:marRight w:val="0"/>
      <w:marTop w:val="0"/>
      <w:marBottom w:val="0"/>
      <w:divBdr>
        <w:top w:val="none" w:sz="0" w:space="0" w:color="auto"/>
        <w:left w:val="none" w:sz="0" w:space="0" w:color="auto"/>
        <w:bottom w:val="none" w:sz="0" w:space="0" w:color="auto"/>
        <w:right w:val="none" w:sz="0" w:space="0" w:color="auto"/>
      </w:divBdr>
    </w:div>
    <w:div w:id="690765749">
      <w:bodyDiv w:val="1"/>
      <w:marLeft w:val="0"/>
      <w:marRight w:val="0"/>
      <w:marTop w:val="0"/>
      <w:marBottom w:val="0"/>
      <w:divBdr>
        <w:top w:val="none" w:sz="0" w:space="0" w:color="auto"/>
        <w:left w:val="none" w:sz="0" w:space="0" w:color="auto"/>
        <w:bottom w:val="none" w:sz="0" w:space="0" w:color="auto"/>
        <w:right w:val="none" w:sz="0" w:space="0" w:color="auto"/>
      </w:divBdr>
    </w:div>
    <w:div w:id="2121800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87A07-C7CB-4294-8C66-13EC2EF7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5754</Words>
  <Characters>3281</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Aldona Ciegyte</cp:lastModifiedBy>
  <cp:revision>4</cp:revision>
  <cp:lastPrinted>2025-05-15T13:14:00Z</cp:lastPrinted>
  <dcterms:created xsi:type="dcterms:W3CDTF">2025-05-15T13:30:00Z</dcterms:created>
  <dcterms:modified xsi:type="dcterms:W3CDTF">2025-05-15T13:35:00Z</dcterms:modified>
  <dc:language>lt-LT</dc:language>
</cp:coreProperties>
</file>