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562C3687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F2964">
        <w:rPr>
          <w:sz w:val="24"/>
        </w:rPr>
        <w:t>5</w:t>
      </w:r>
      <w:r>
        <w:rPr>
          <w:sz w:val="24"/>
        </w:rPr>
        <w:t xml:space="preserve"> m.</w:t>
      </w:r>
      <w:r w:rsidR="0073799C">
        <w:rPr>
          <w:sz w:val="24"/>
        </w:rPr>
        <w:t xml:space="preserve"> balandžio 23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440A7FA2" w:rsidR="00A57192" w:rsidRPr="009D47E4" w:rsidRDefault="00A57192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z w:val="24"/>
          <w:szCs w:val="24"/>
        </w:rPr>
        <w:t xml:space="preserve">Vadovaudamasi </w:t>
      </w:r>
      <w:r w:rsidR="00FA4362" w:rsidRPr="009D47E4">
        <w:rPr>
          <w:sz w:val="24"/>
          <w:szCs w:val="24"/>
        </w:rPr>
        <w:t xml:space="preserve">Lietuvos Respublikos vietos savivaldos įstatymo </w:t>
      </w:r>
      <w:r w:rsidR="00C82301" w:rsidRPr="009D47E4">
        <w:rPr>
          <w:sz w:val="24"/>
          <w:szCs w:val="24"/>
        </w:rPr>
        <w:t xml:space="preserve">15 straipsnio 2 dalies           19 punktu, </w:t>
      </w:r>
      <w:r w:rsidRPr="009D47E4">
        <w:rPr>
          <w:sz w:val="24"/>
          <w:szCs w:val="24"/>
        </w:rPr>
        <w:t>Lietuvos Respublikos valstybės ir savivaldybių turto valdymo, naudojimo ir disponavimo juo įstatymo 27 straipsni</w:t>
      </w:r>
      <w:r w:rsidR="00604D0E" w:rsidRPr="009D47E4">
        <w:rPr>
          <w:sz w:val="24"/>
          <w:szCs w:val="24"/>
        </w:rPr>
        <w:t>o</w:t>
      </w:r>
      <w:r w:rsidR="00C20161" w:rsidRPr="009D47E4">
        <w:rPr>
          <w:sz w:val="24"/>
          <w:szCs w:val="24"/>
        </w:rPr>
        <w:t xml:space="preserve"> 7</w:t>
      </w:r>
      <w:r w:rsidR="00604D0E" w:rsidRPr="009D47E4">
        <w:rPr>
          <w:sz w:val="24"/>
          <w:szCs w:val="24"/>
        </w:rPr>
        <w:t xml:space="preserve"> dalimi</w:t>
      </w:r>
      <w:r w:rsidRPr="009D47E4"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 w:rsidRPr="009D47E4">
        <w:rPr>
          <w:sz w:val="24"/>
          <w:szCs w:val="24"/>
        </w:rPr>
        <w:t xml:space="preserve">imo tvarkos aprašu, </w:t>
      </w:r>
      <w:r w:rsidR="00C91F9A" w:rsidRPr="009D47E4">
        <w:rPr>
          <w:sz w:val="24"/>
          <w:szCs w:val="24"/>
        </w:rPr>
        <w:t>p</w:t>
      </w:r>
      <w:r w:rsidR="00F851DD" w:rsidRPr="009D47E4">
        <w:rPr>
          <w:sz w:val="24"/>
          <w:szCs w:val="24"/>
        </w:rPr>
        <w:t>atvirtintu</w:t>
      </w:r>
      <w:r w:rsidRPr="009D47E4">
        <w:rPr>
          <w:sz w:val="24"/>
          <w:szCs w:val="24"/>
        </w:rPr>
        <w:t xml:space="preserve"> Lietuvos Respublikos Vyriausybės 2001 m. spalio 19 d. nutarimu Nr. 1250 </w:t>
      </w:r>
      <w:r w:rsidRPr="009D47E4"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 w:rsidRPr="009D47E4">
        <w:rPr>
          <w:color w:val="000000"/>
          <w:sz w:val="24"/>
          <w:szCs w:val="24"/>
        </w:rPr>
        <w:t xml:space="preserve"> </w:t>
      </w:r>
      <w:r w:rsidR="00C30F8C" w:rsidRPr="009D47E4">
        <w:rPr>
          <w:sz w:val="24"/>
          <w:szCs w:val="24"/>
          <w:lang w:bidi="he-IL"/>
        </w:rPr>
        <w:t xml:space="preserve">Panevėžio rajono savivaldybės turto, pripažinto nereikalingu arba netinkamu (negalimu) naudoti nurašymo, išardymo ir likvidavimo tvarkos aprašu, patvirtintu </w:t>
      </w:r>
      <w:r w:rsidR="00C30F8C" w:rsidRPr="009D47E4">
        <w:rPr>
          <w:color w:val="000000"/>
          <w:sz w:val="24"/>
          <w:szCs w:val="24"/>
        </w:rPr>
        <w:t>Panevėžio rajono savivaldybės tarybos 2020 m. rugpjūčio 20 d. sprendimu Nr. T-180 „</w:t>
      </w:r>
      <w:r w:rsidR="00C30F8C" w:rsidRPr="009D47E4">
        <w:rPr>
          <w:sz w:val="24"/>
          <w:szCs w:val="24"/>
          <w:lang w:bidi="he-IL"/>
        </w:rPr>
        <w:t>Panevėžio rajono savivaldybės turto, pripažinto nereikalingu arba netinkamu (negalimu) naudoti</w:t>
      </w:r>
      <w:r w:rsidR="00C30F8C" w:rsidRPr="009D47E4">
        <w:rPr>
          <w:color w:val="FF0000"/>
          <w:sz w:val="24"/>
          <w:szCs w:val="24"/>
          <w:lang w:bidi="he-IL"/>
        </w:rPr>
        <w:t xml:space="preserve"> </w:t>
      </w:r>
      <w:r w:rsidR="00C30F8C" w:rsidRPr="009D47E4">
        <w:rPr>
          <w:sz w:val="24"/>
          <w:szCs w:val="24"/>
          <w:lang w:bidi="he-IL"/>
        </w:rPr>
        <w:t>nurašymo, išardymo ir likvidavimo tvarkos aprašo patvirtinimo“</w:t>
      </w:r>
      <w:r w:rsidR="0055216D" w:rsidRPr="009D47E4">
        <w:rPr>
          <w:sz w:val="24"/>
          <w:szCs w:val="24"/>
          <w:lang w:bidi="he-IL"/>
        </w:rPr>
        <w:t>,</w:t>
      </w:r>
      <w:r w:rsidR="00C30F8C" w:rsidRPr="009D47E4">
        <w:rPr>
          <w:sz w:val="24"/>
          <w:szCs w:val="24"/>
          <w:lang w:bidi="he-IL"/>
        </w:rPr>
        <w:t xml:space="preserve"> </w:t>
      </w:r>
      <w:r w:rsidR="00137DBE" w:rsidRPr="009D47E4">
        <w:rPr>
          <w:sz w:val="24"/>
          <w:szCs w:val="24"/>
        </w:rPr>
        <w:t>ir</w:t>
      </w:r>
      <w:r w:rsidRPr="009D47E4">
        <w:rPr>
          <w:sz w:val="24"/>
          <w:szCs w:val="24"/>
        </w:rPr>
        <w:t xml:space="preserve"> atsižvelgdama</w:t>
      </w:r>
      <w:r w:rsidR="0037017F" w:rsidRPr="009D47E4">
        <w:rPr>
          <w:sz w:val="24"/>
          <w:szCs w:val="24"/>
        </w:rPr>
        <w:t xml:space="preserve"> į</w:t>
      </w:r>
      <w:r w:rsidR="00C91F9A" w:rsidRPr="009D47E4">
        <w:rPr>
          <w:sz w:val="24"/>
          <w:szCs w:val="24"/>
        </w:rPr>
        <w:t xml:space="preserve"> </w:t>
      </w:r>
      <w:r w:rsidR="000B12E3" w:rsidRPr="009D47E4">
        <w:rPr>
          <w:sz w:val="24"/>
          <w:szCs w:val="24"/>
        </w:rPr>
        <w:t xml:space="preserve">Panevėžio rajono savivaldybės administracijos direktoriaus </w:t>
      </w:r>
      <w:r w:rsidR="00496D54" w:rsidRPr="009D47E4">
        <w:rPr>
          <w:sz w:val="24"/>
          <w:szCs w:val="24"/>
        </w:rPr>
        <w:t xml:space="preserve">2025 m. </w:t>
      </w:r>
      <w:r w:rsidR="0073799C" w:rsidRPr="009D47E4">
        <w:rPr>
          <w:sz w:val="24"/>
          <w:szCs w:val="24"/>
        </w:rPr>
        <w:t>balandžio</w:t>
      </w:r>
      <w:r w:rsidR="00496D54" w:rsidRPr="009D47E4">
        <w:rPr>
          <w:sz w:val="24"/>
          <w:szCs w:val="24"/>
        </w:rPr>
        <w:t xml:space="preserve"> </w:t>
      </w:r>
      <w:r w:rsidR="007D2033">
        <w:rPr>
          <w:sz w:val="24"/>
          <w:szCs w:val="24"/>
        </w:rPr>
        <w:t xml:space="preserve">4 </w:t>
      </w:r>
      <w:r w:rsidR="00496D54" w:rsidRPr="009D47E4">
        <w:rPr>
          <w:sz w:val="24"/>
          <w:szCs w:val="24"/>
        </w:rPr>
        <w:t>d. įsakymą Nr. A1-</w:t>
      </w:r>
      <w:r w:rsidR="007D2033">
        <w:rPr>
          <w:sz w:val="24"/>
          <w:szCs w:val="24"/>
        </w:rPr>
        <w:t>118</w:t>
      </w:r>
      <w:r w:rsidR="00496D54" w:rsidRPr="009D47E4">
        <w:rPr>
          <w:sz w:val="24"/>
          <w:szCs w:val="24"/>
        </w:rPr>
        <w:t xml:space="preserve"> „Dėl turto pripažinimo </w:t>
      </w:r>
      <w:r w:rsidR="000B12E3" w:rsidRPr="009D47E4">
        <w:rPr>
          <w:sz w:val="24"/>
          <w:szCs w:val="24"/>
        </w:rPr>
        <w:t>netinkamu (negalimu) naudoti ir tolesnio jo panaudojimo“,</w:t>
      </w:r>
      <w:r w:rsidR="00414225" w:rsidRPr="009D47E4">
        <w:rPr>
          <w:sz w:val="24"/>
          <w:szCs w:val="24"/>
        </w:rPr>
        <w:t xml:space="preserve"> </w:t>
      </w:r>
      <w:r w:rsidR="00EC7C2B" w:rsidRPr="009D47E4">
        <w:rPr>
          <w:sz w:val="24"/>
          <w:szCs w:val="24"/>
        </w:rPr>
        <w:t>S</w:t>
      </w:r>
      <w:r w:rsidRPr="009D47E4">
        <w:rPr>
          <w:sz w:val="24"/>
          <w:szCs w:val="24"/>
        </w:rPr>
        <w:t>avivaldybės taryba</w:t>
      </w:r>
      <w:r w:rsidR="00EC0511" w:rsidRPr="009D47E4">
        <w:rPr>
          <w:sz w:val="24"/>
          <w:szCs w:val="24"/>
        </w:rPr>
        <w:t xml:space="preserve"> </w:t>
      </w:r>
      <w:r w:rsidR="0073799C" w:rsidRPr="009D47E4">
        <w:rPr>
          <w:sz w:val="24"/>
          <w:szCs w:val="24"/>
        </w:rPr>
        <w:t xml:space="preserve">                 </w:t>
      </w:r>
      <w:r w:rsidR="00F851DD" w:rsidRPr="009D47E4">
        <w:rPr>
          <w:sz w:val="24"/>
          <w:szCs w:val="24"/>
        </w:rPr>
        <w:t>n u s p r e n d ž i a:</w:t>
      </w:r>
    </w:p>
    <w:p w14:paraId="3539B677" w14:textId="6D57CF95" w:rsidR="0073799C" w:rsidRPr="009D47E4" w:rsidRDefault="00E04D20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9D47E4">
        <w:rPr>
          <w:spacing w:val="-1"/>
          <w:sz w:val="24"/>
          <w:szCs w:val="24"/>
        </w:rPr>
        <w:t>Nurašyti ir likviduoti</w:t>
      </w:r>
      <w:r w:rsidR="000B53AB" w:rsidRPr="009D47E4">
        <w:rPr>
          <w:sz w:val="24"/>
          <w:szCs w:val="24"/>
        </w:rPr>
        <w:t xml:space="preserve"> </w:t>
      </w:r>
      <w:r w:rsidR="000B53AB" w:rsidRPr="009D47E4">
        <w:rPr>
          <w:spacing w:val="-1"/>
          <w:sz w:val="24"/>
          <w:szCs w:val="24"/>
        </w:rPr>
        <w:t>pripažintą</w:t>
      </w:r>
      <w:r w:rsidR="000B53AB" w:rsidRPr="009D47E4">
        <w:rPr>
          <w:sz w:val="24"/>
          <w:szCs w:val="24"/>
        </w:rPr>
        <w:t xml:space="preserve"> netinkamu (negalimu) naudoti </w:t>
      </w:r>
      <w:r w:rsidR="00D663BA" w:rsidRPr="009D47E4">
        <w:rPr>
          <w:sz w:val="24"/>
          <w:szCs w:val="24"/>
        </w:rPr>
        <w:t>ir trukdančiu s</w:t>
      </w:r>
      <w:r w:rsidR="00C77846" w:rsidRPr="009D47E4">
        <w:rPr>
          <w:sz w:val="24"/>
          <w:szCs w:val="24"/>
        </w:rPr>
        <w:t xml:space="preserve">tatyti naują statinį </w:t>
      </w:r>
      <w:r w:rsidR="00C82301" w:rsidRPr="009D47E4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9D47E4">
        <w:rPr>
          <w:sz w:val="24"/>
          <w:szCs w:val="24"/>
        </w:rPr>
        <w:t>turt</w:t>
      </w:r>
      <w:bookmarkStart w:id="1" w:name="_Hlk117083721"/>
      <w:r w:rsidR="00414225" w:rsidRPr="009D47E4">
        <w:rPr>
          <w:sz w:val="24"/>
          <w:szCs w:val="24"/>
        </w:rPr>
        <w:t>ą</w:t>
      </w:r>
      <w:bookmarkEnd w:id="0"/>
      <w:r w:rsidR="0073799C" w:rsidRPr="009D47E4">
        <w:rPr>
          <w:sz w:val="24"/>
          <w:szCs w:val="24"/>
        </w:rPr>
        <w:t xml:space="preserve"> – bendrabučio pastatą (bendras plotas 714,87 kv. m, unikalus Nr. 6691-0002-0027, įsigijimo savikaina 116 784,34 Eur, balansinė vertė 29 969,54 Eur) adresu: Laisvės g. 24, Raguvos mstl., Panevėžio r. sav.</w:t>
      </w:r>
    </w:p>
    <w:p w14:paraId="3EAB2156" w14:textId="77777777" w:rsidR="0073799C" w:rsidRPr="009D47E4" w:rsidRDefault="0073799C" w:rsidP="009D47E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9D47E4">
        <w:rPr>
          <w:color w:val="000000"/>
          <w:sz w:val="24"/>
          <w:szCs w:val="24"/>
        </w:rPr>
        <w:t>2</w:t>
      </w:r>
      <w:r w:rsidRPr="009D47E4">
        <w:rPr>
          <w:spacing w:val="-1"/>
          <w:sz w:val="24"/>
          <w:szCs w:val="24"/>
        </w:rPr>
        <w:t>. Įgalioti</w:t>
      </w:r>
      <w:r w:rsidRPr="009D47E4">
        <w:rPr>
          <w:sz w:val="24"/>
          <w:szCs w:val="24"/>
        </w:rPr>
        <w:t xml:space="preserve"> </w:t>
      </w:r>
      <w:bookmarkStart w:id="2" w:name="_Hlk183772038"/>
      <w:r w:rsidRPr="009D47E4">
        <w:rPr>
          <w:sz w:val="24"/>
          <w:szCs w:val="24"/>
        </w:rPr>
        <w:t xml:space="preserve">Panevėžio rajono savivaldybės administracijos Statybos ir infrastruktūros skyriaus </w:t>
      </w:r>
      <w:bookmarkEnd w:id="2"/>
      <w:r w:rsidRPr="009D47E4">
        <w:rPr>
          <w:sz w:val="24"/>
          <w:szCs w:val="24"/>
        </w:rPr>
        <w:t xml:space="preserve">vedėją </w:t>
      </w:r>
      <w:r w:rsidRPr="009D47E4">
        <w:rPr>
          <w:spacing w:val="-1"/>
          <w:sz w:val="24"/>
          <w:szCs w:val="24"/>
        </w:rPr>
        <w:t>šio sprendimo 1 punkte nurodytą turtą iki 2025 m. gruodžio 31 d. likviduoti teisės aktų nustatyta tvarka.</w:t>
      </w:r>
    </w:p>
    <w:p w14:paraId="2C1CE500" w14:textId="77777777" w:rsidR="0073799C" w:rsidRPr="009D47E4" w:rsidRDefault="0073799C" w:rsidP="009D47E4">
      <w:pPr>
        <w:pStyle w:val="Betarp"/>
        <w:jc w:val="both"/>
        <w:rPr>
          <w:spacing w:val="-1"/>
          <w:sz w:val="24"/>
          <w:szCs w:val="24"/>
        </w:rPr>
      </w:pPr>
    </w:p>
    <w:p w14:paraId="6696FE85" w14:textId="77777777" w:rsidR="0073799C" w:rsidRPr="009D47E4" w:rsidRDefault="0073799C" w:rsidP="009D47E4">
      <w:pPr>
        <w:pStyle w:val="Betarp"/>
        <w:jc w:val="both"/>
        <w:rPr>
          <w:spacing w:val="-1"/>
          <w:sz w:val="24"/>
          <w:szCs w:val="24"/>
        </w:rPr>
      </w:pPr>
    </w:p>
    <w:p w14:paraId="24CF8554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FE7DF71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AC9E4E2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E42163E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2B5EEEB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966D2F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198338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974A8B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03BB767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3791D6F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F21B1DD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19B216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F96CE64" w14:textId="77777777" w:rsidR="009D47E4" w:rsidRDefault="009D47E4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B754B9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2EA3BB86" w14:textId="4B02FCFA" w:rsidR="00F155D3" w:rsidRDefault="009D47E4" w:rsidP="00FC14D4">
      <w:pPr>
        <w:pStyle w:val="Betarp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Jadvyga Balčienė</w:t>
      </w:r>
    </w:p>
    <w:p w14:paraId="0F9A6920" w14:textId="282149EC" w:rsidR="009D47E4" w:rsidRPr="00C36366" w:rsidRDefault="009D47E4" w:rsidP="00FC14D4">
      <w:pPr>
        <w:pStyle w:val="Betarp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2025-04-04</w:t>
      </w:r>
    </w:p>
    <w:p w14:paraId="5A2BE3BA" w14:textId="77777777" w:rsidR="00F155D3" w:rsidRDefault="00F155D3" w:rsidP="00C36366">
      <w:pPr>
        <w:pStyle w:val="Pagrindinistekstas"/>
        <w:ind w:firstLine="709"/>
        <w:jc w:val="both"/>
        <w:rPr>
          <w:spacing w:val="-1"/>
          <w:sz w:val="24"/>
          <w:szCs w:val="24"/>
        </w:rPr>
      </w:pPr>
    </w:p>
    <w:bookmarkEnd w:id="1"/>
    <w:p w14:paraId="675549DC" w14:textId="7D445C61" w:rsidR="00B72D91" w:rsidRPr="00BF08F1" w:rsidRDefault="00B72D91" w:rsidP="003C7FC4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201DAA38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CC01CE">
        <w:rPr>
          <w:sz w:val="24"/>
          <w:szCs w:val="24"/>
        </w:rPr>
        <w:t>5</w:t>
      </w:r>
      <w:r w:rsidR="0040669F" w:rsidRPr="00BF08F1">
        <w:rPr>
          <w:sz w:val="24"/>
          <w:szCs w:val="24"/>
        </w:rPr>
        <w:t xml:space="preserve"> m.</w:t>
      </w:r>
      <w:r w:rsidR="0073799C">
        <w:rPr>
          <w:sz w:val="24"/>
          <w:szCs w:val="24"/>
        </w:rPr>
        <w:t xml:space="preserve"> balandžio 4</w:t>
      </w:r>
      <w:r w:rsidRPr="00BF08F1">
        <w:rPr>
          <w:sz w:val="24"/>
          <w:szCs w:val="24"/>
        </w:rPr>
        <w:t xml:space="preserve">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3C7FC4" w:rsidRDefault="00B72D9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1.  Sprendimo projekto tikslai ir uždaviniai</w:t>
      </w:r>
    </w:p>
    <w:p w14:paraId="3DCEC997" w14:textId="2D17E4C3" w:rsidR="003C7FC4" w:rsidRPr="003C7FC4" w:rsidRDefault="00B72D91" w:rsidP="003C7FC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3C7FC4">
        <w:rPr>
          <w:sz w:val="24"/>
          <w:szCs w:val="24"/>
        </w:rPr>
        <w:t xml:space="preserve">Sprendimo projekto tikslas </w:t>
      </w:r>
      <w:bookmarkStart w:id="3" w:name="_Hlk192665528"/>
      <w:r w:rsidRPr="003C7FC4">
        <w:rPr>
          <w:sz w:val="24"/>
          <w:szCs w:val="24"/>
        </w:rPr>
        <w:t>–</w:t>
      </w:r>
      <w:bookmarkEnd w:id="3"/>
      <w:r w:rsidRPr="003C7FC4">
        <w:rPr>
          <w:sz w:val="24"/>
          <w:szCs w:val="24"/>
        </w:rPr>
        <w:t xml:space="preserve"> pripažintą </w:t>
      </w:r>
      <w:r w:rsidR="0073799C" w:rsidRPr="00C77846">
        <w:rPr>
          <w:sz w:val="24"/>
          <w:szCs w:val="24"/>
        </w:rPr>
        <w:t xml:space="preserve">netinkamu (negalimu) naudoti </w:t>
      </w:r>
      <w:r w:rsidR="0073799C">
        <w:rPr>
          <w:sz w:val="24"/>
          <w:szCs w:val="24"/>
        </w:rPr>
        <w:t>ir trukdančiu s</w:t>
      </w:r>
      <w:r w:rsidR="0073799C" w:rsidRPr="00C77846">
        <w:rPr>
          <w:sz w:val="24"/>
          <w:szCs w:val="24"/>
        </w:rPr>
        <w:t>tatyti naują statin</w:t>
      </w:r>
      <w:r w:rsidR="0073799C">
        <w:rPr>
          <w:sz w:val="24"/>
          <w:szCs w:val="24"/>
        </w:rPr>
        <w:t>į</w:t>
      </w:r>
      <w:r w:rsidR="00D663BA" w:rsidRPr="003C7FC4">
        <w:rPr>
          <w:sz w:val="24"/>
          <w:szCs w:val="24"/>
        </w:rPr>
        <w:t>,</w:t>
      </w:r>
      <w:r w:rsidR="00C75399">
        <w:rPr>
          <w:sz w:val="24"/>
          <w:szCs w:val="24"/>
        </w:rPr>
        <w:t xml:space="preserve"> </w:t>
      </w:r>
      <w:r w:rsidR="005E6D75" w:rsidRPr="003C7FC4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D663BA" w:rsidRPr="003C7FC4">
        <w:rPr>
          <w:color w:val="000000"/>
          <w:sz w:val="24"/>
          <w:szCs w:val="24"/>
        </w:rPr>
        <w:t>turtą nur</w:t>
      </w:r>
      <w:r w:rsidR="00E04D20" w:rsidRPr="003C7FC4">
        <w:rPr>
          <w:color w:val="000000"/>
          <w:sz w:val="24"/>
          <w:szCs w:val="24"/>
        </w:rPr>
        <w:t xml:space="preserve">ašyti ir </w:t>
      </w:r>
      <w:r w:rsidR="00E04D20" w:rsidRPr="003C7FC4">
        <w:rPr>
          <w:spacing w:val="-1"/>
          <w:sz w:val="24"/>
          <w:szCs w:val="24"/>
        </w:rPr>
        <w:t>likviduoti teisės aktų nustatyta tvarka.</w:t>
      </w:r>
    </w:p>
    <w:p w14:paraId="65D08BA9" w14:textId="69675FB0" w:rsidR="00B72D91" w:rsidRPr="003C7FC4" w:rsidRDefault="001243C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2</w:t>
      </w:r>
      <w:r w:rsidR="00B72D91" w:rsidRPr="003C7FC4">
        <w:rPr>
          <w:b/>
          <w:bCs/>
          <w:sz w:val="24"/>
          <w:szCs w:val="24"/>
        </w:rPr>
        <w:t xml:space="preserve">. Siūlomos teisinio reguliavimo nuostatos </w:t>
      </w:r>
      <w:r w:rsidR="005E6D75" w:rsidRPr="003C7FC4">
        <w:rPr>
          <w:b/>
          <w:bCs/>
          <w:sz w:val="24"/>
          <w:szCs w:val="24"/>
        </w:rPr>
        <w:t>ir laukiami rezultatai</w:t>
      </w:r>
    </w:p>
    <w:p w14:paraId="0C8AD140" w14:textId="5A653284" w:rsidR="00B72D91" w:rsidRPr="003C7FC4" w:rsidRDefault="00B72D91" w:rsidP="00882CA9">
      <w:pPr>
        <w:pStyle w:val="Betarp"/>
        <w:ind w:firstLine="720"/>
        <w:jc w:val="both"/>
        <w:rPr>
          <w:sz w:val="24"/>
          <w:szCs w:val="24"/>
        </w:rPr>
      </w:pPr>
      <w:r w:rsidRPr="003C7FC4">
        <w:rPr>
          <w:bCs/>
          <w:spacing w:val="-3"/>
          <w:sz w:val="24"/>
          <w:szCs w:val="24"/>
        </w:rPr>
        <w:t xml:space="preserve"> </w:t>
      </w:r>
      <w:r w:rsidR="001243C1" w:rsidRPr="003C7FC4">
        <w:rPr>
          <w:bCs/>
          <w:spacing w:val="-3"/>
          <w:sz w:val="24"/>
          <w:szCs w:val="24"/>
        </w:rPr>
        <w:tab/>
      </w:r>
      <w:r w:rsidRPr="003C7FC4">
        <w:rPr>
          <w:spacing w:val="-3"/>
          <w:sz w:val="24"/>
          <w:szCs w:val="24"/>
        </w:rPr>
        <w:t>Pripažinto nereikalingu arba netinkamu (negalimu) naudoti valstybės ir savivaldybių turto nurašymo, išardymo ir likvidavimo tvarkos apraš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>, patvirtint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 xml:space="preserve"> Lietuvos Respublikos Vyriausybės </w:t>
      </w:r>
      <w:r w:rsidR="003C7FC4">
        <w:rPr>
          <w:spacing w:val="-3"/>
          <w:sz w:val="24"/>
          <w:szCs w:val="24"/>
        </w:rPr>
        <w:br/>
      </w:r>
      <w:r w:rsidRPr="003C7FC4">
        <w:rPr>
          <w:spacing w:val="-3"/>
          <w:sz w:val="24"/>
          <w:szCs w:val="24"/>
        </w:rPr>
        <w:t>2001 m. spalio 19 d. nutarimu Nr. 1250,</w:t>
      </w:r>
      <w:r w:rsidR="00E04D20" w:rsidRPr="003C7FC4">
        <w:rPr>
          <w:spacing w:val="-3"/>
          <w:sz w:val="24"/>
          <w:szCs w:val="24"/>
        </w:rPr>
        <w:t xml:space="preserve"> 9.2 papunktis numato, kad pripažintas nereikalingu arba netinkamu (negalimu) naudoti savivaldybės turtas  nurašomas, kai trukdo statyti naujus arba rekonstruoti esamus </w:t>
      </w:r>
      <w:r w:rsidR="001243C1" w:rsidRPr="003C7FC4">
        <w:rPr>
          <w:spacing w:val="-3"/>
          <w:sz w:val="24"/>
          <w:szCs w:val="24"/>
        </w:rPr>
        <w:t xml:space="preserve">statinius ar teritorijas ir yra nustatyta tvarka suderintas naujos statybos arba rekonstravimo projektas. </w:t>
      </w:r>
      <w:r w:rsidR="00E04D20" w:rsidRPr="003C7FC4">
        <w:rPr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prendimą dėl savivaldybei nuosavybės teise priklausančio nekilnojamojo turto</w:t>
      </w:r>
      <w:r w:rsidR="00882CA9">
        <w:rPr>
          <w:sz w:val="24"/>
          <w:szCs w:val="24"/>
          <w:lang w:eastAsia="lt-LT"/>
        </w:rPr>
        <w:t xml:space="preserve"> nurašymo </w:t>
      </w:r>
      <w:r w:rsidR="007D5545" w:rsidRPr="003C7FC4">
        <w:rPr>
          <w:color w:val="000000"/>
          <w:spacing w:val="-3"/>
          <w:sz w:val="24"/>
          <w:szCs w:val="24"/>
        </w:rPr>
        <w:t xml:space="preserve">priima </w:t>
      </w:r>
      <w:r w:rsidR="00137DBE" w:rsidRPr="003C7FC4">
        <w:rPr>
          <w:color w:val="000000"/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avivaldybės taryba.</w:t>
      </w:r>
      <w:r w:rsidRPr="003C7FC4">
        <w:rPr>
          <w:sz w:val="24"/>
          <w:szCs w:val="24"/>
        </w:rPr>
        <w:tab/>
      </w:r>
    </w:p>
    <w:p w14:paraId="01F86E4E" w14:textId="3886AD38" w:rsidR="00063DB0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ab/>
      </w:r>
      <w:r w:rsidR="00137DBE" w:rsidRPr="003C7FC4">
        <w:rPr>
          <w:sz w:val="24"/>
          <w:szCs w:val="24"/>
        </w:rPr>
        <w:t>Sprendimo projektas p</w:t>
      </w:r>
      <w:r w:rsidRPr="003C7FC4">
        <w:rPr>
          <w:sz w:val="24"/>
          <w:szCs w:val="24"/>
        </w:rPr>
        <w:t>arengtas atsižvelgiant į</w:t>
      </w:r>
      <w:r w:rsidR="0040669F" w:rsidRPr="003C7FC4">
        <w:rPr>
          <w:sz w:val="24"/>
          <w:szCs w:val="24"/>
        </w:rPr>
        <w:t xml:space="preserve"> </w:t>
      </w:r>
      <w:r w:rsidR="00C75399" w:rsidRPr="002E4D7B">
        <w:rPr>
          <w:sz w:val="24"/>
          <w:szCs w:val="24"/>
        </w:rPr>
        <w:t xml:space="preserve">Panevėžio rajono </w:t>
      </w:r>
      <w:r w:rsidR="00C75399">
        <w:rPr>
          <w:sz w:val="24"/>
          <w:szCs w:val="24"/>
        </w:rPr>
        <w:t xml:space="preserve">savivaldybės administracijos direktoriaus 2025 m. </w:t>
      </w:r>
      <w:r w:rsidR="0073799C">
        <w:rPr>
          <w:sz w:val="24"/>
          <w:szCs w:val="24"/>
        </w:rPr>
        <w:t>balandžio</w:t>
      </w:r>
      <w:r w:rsidR="007D2033">
        <w:rPr>
          <w:sz w:val="24"/>
          <w:szCs w:val="24"/>
        </w:rPr>
        <w:t xml:space="preserve"> 4 </w:t>
      </w:r>
      <w:r w:rsidR="00C75399">
        <w:rPr>
          <w:sz w:val="24"/>
          <w:szCs w:val="24"/>
        </w:rPr>
        <w:t>d. įsakymą Nr. A1-</w:t>
      </w:r>
      <w:r w:rsidR="007D2033">
        <w:rPr>
          <w:sz w:val="24"/>
          <w:szCs w:val="24"/>
        </w:rPr>
        <w:t>118</w:t>
      </w:r>
      <w:r w:rsidR="00C75399">
        <w:rPr>
          <w:sz w:val="24"/>
          <w:szCs w:val="24"/>
        </w:rPr>
        <w:t xml:space="preserve"> „Dėl turto pripažinimo </w:t>
      </w:r>
      <w:r w:rsidR="0073799C">
        <w:rPr>
          <w:sz w:val="24"/>
          <w:szCs w:val="24"/>
        </w:rPr>
        <w:t>netinkamu (negalimu) naudoti ir tolesnio jo panaudojimo“.</w:t>
      </w:r>
      <w:r w:rsidR="00464897">
        <w:rPr>
          <w:sz w:val="24"/>
          <w:szCs w:val="24"/>
        </w:rPr>
        <w:t xml:space="preserve"> </w:t>
      </w:r>
      <w:r w:rsidR="007D5545" w:rsidRPr="003C7FC4">
        <w:rPr>
          <w:sz w:val="24"/>
          <w:szCs w:val="24"/>
        </w:rPr>
        <w:t>T</w:t>
      </w:r>
      <w:r w:rsidRPr="003C7FC4">
        <w:rPr>
          <w:sz w:val="24"/>
          <w:szCs w:val="24"/>
        </w:rPr>
        <w:t>urtas bus  nurašomas ir likviduojamas teisės aktų nustatyta tvarka.</w:t>
      </w:r>
    </w:p>
    <w:p w14:paraId="38B6A7F8" w14:textId="4F579BB8" w:rsidR="00B72D91" w:rsidRPr="003C7FC4" w:rsidRDefault="00B72D91" w:rsidP="003C7FC4">
      <w:pPr>
        <w:pStyle w:val="Betarp"/>
        <w:jc w:val="both"/>
        <w:rPr>
          <w:b/>
          <w:sz w:val="24"/>
          <w:szCs w:val="24"/>
        </w:rPr>
      </w:pPr>
      <w:r w:rsidRPr="003C7FC4">
        <w:rPr>
          <w:sz w:val="24"/>
          <w:szCs w:val="24"/>
        </w:rPr>
        <w:tab/>
      </w:r>
      <w:r w:rsidR="005E6D75" w:rsidRPr="003C7FC4">
        <w:rPr>
          <w:b/>
          <w:sz w:val="24"/>
          <w:szCs w:val="24"/>
        </w:rPr>
        <w:t>3</w:t>
      </w:r>
      <w:r w:rsidRPr="003C7FC4">
        <w:rPr>
          <w:b/>
          <w:spacing w:val="-3"/>
          <w:sz w:val="24"/>
          <w:szCs w:val="24"/>
        </w:rPr>
        <w:t xml:space="preserve">. </w:t>
      </w:r>
      <w:r w:rsidRPr="003C7FC4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3C7FC4" w:rsidRDefault="007D5545" w:rsidP="003C7FC4">
      <w:pPr>
        <w:pStyle w:val="Betarp"/>
        <w:ind w:firstLine="1296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Sprendimui įgyvendinti </w:t>
      </w:r>
      <w:r w:rsidR="00B72D91" w:rsidRPr="003C7FC4">
        <w:rPr>
          <w:sz w:val="24"/>
          <w:szCs w:val="24"/>
        </w:rPr>
        <w:t>bus reikalingos savivaldybės lėšos.</w:t>
      </w:r>
    </w:p>
    <w:p w14:paraId="5E856668" w14:textId="6490FE51" w:rsidR="00B72D91" w:rsidRPr="003C7FC4" w:rsidRDefault="00B72D91" w:rsidP="003C7FC4">
      <w:pPr>
        <w:pStyle w:val="Betarp"/>
        <w:jc w:val="both"/>
        <w:rPr>
          <w:b/>
          <w:bCs/>
          <w:sz w:val="24"/>
          <w:szCs w:val="24"/>
        </w:rPr>
      </w:pPr>
      <w:r w:rsidRPr="003C7FC4">
        <w:rPr>
          <w:sz w:val="24"/>
          <w:szCs w:val="24"/>
        </w:rPr>
        <w:tab/>
      </w:r>
      <w:r w:rsidR="007A75B4" w:rsidRPr="003C7FC4">
        <w:rPr>
          <w:b/>
          <w:bCs/>
          <w:sz w:val="24"/>
          <w:szCs w:val="24"/>
        </w:rPr>
        <w:t>4</w:t>
      </w:r>
      <w:r w:rsidRPr="003C7FC4">
        <w:rPr>
          <w:b/>
          <w:bCs/>
          <w:sz w:val="24"/>
          <w:szCs w:val="24"/>
        </w:rPr>
        <w:t>. Kiti reikalingi pagrindimai, skaičiavimai</w:t>
      </w:r>
      <w:r w:rsidR="005E6D75" w:rsidRPr="003C7FC4">
        <w:rPr>
          <w:b/>
          <w:bCs/>
          <w:sz w:val="24"/>
          <w:szCs w:val="24"/>
        </w:rPr>
        <w:t xml:space="preserve"> ar</w:t>
      </w:r>
      <w:r w:rsidRPr="003C7FC4">
        <w:rPr>
          <w:b/>
          <w:bCs/>
          <w:sz w:val="24"/>
          <w:szCs w:val="24"/>
        </w:rPr>
        <w:t xml:space="preserve"> paaiškinimai</w:t>
      </w:r>
    </w:p>
    <w:p w14:paraId="3EB68257" w14:textId="6B0BF6EC" w:rsidR="00B72D91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         </w:t>
      </w:r>
      <w:r w:rsidR="00137DBE" w:rsidRPr="003C7FC4">
        <w:rPr>
          <w:sz w:val="24"/>
          <w:szCs w:val="24"/>
        </w:rPr>
        <w:t xml:space="preserve"> </w:t>
      </w:r>
      <w:r w:rsidR="003C7FC4">
        <w:rPr>
          <w:sz w:val="24"/>
          <w:szCs w:val="24"/>
        </w:rPr>
        <w:tab/>
      </w:r>
      <w:r w:rsidRPr="003C7FC4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61408225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="0051680C">
        <w:rPr>
          <w:sz w:val="24"/>
          <w:szCs w:val="24"/>
        </w:rPr>
        <w:t xml:space="preserve">   </w:t>
      </w:r>
      <w:r w:rsidRPr="00BF08F1">
        <w:rPr>
          <w:sz w:val="24"/>
          <w:szCs w:val="24"/>
        </w:rPr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24CF" w14:textId="77777777" w:rsidR="002D4CEE" w:rsidRDefault="002D4CEE" w:rsidP="005B17D5">
      <w:r>
        <w:separator/>
      </w:r>
    </w:p>
  </w:endnote>
  <w:endnote w:type="continuationSeparator" w:id="0">
    <w:p w14:paraId="07BE3E12" w14:textId="77777777" w:rsidR="002D4CEE" w:rsidRDefault="002D4CEE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243C" w14:textId="77777777" w:rsidR="002D4CEE" w:rsidRDefault="002D4CEE" w:rsidP="005B17D5">
      <w:r>
        <w:separator/>
      </w:r>
    </w:p>
  </w:footnote>
  <w:footnote w:type="continuationSeparator" w:id="0">
    <w:p w14:paraId="6FF3E23A" w14:textId="77777777" w:rsidR="002D4CEE" w:rsidRDefault="002D4CEE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92F"/>
    <w:rsid w:val="00047FA6"/>
    <w:rsid w:val="000572C1"/>
    <w:rsid w:val="00061B24"/>
    <w:rsid w:val="00063DB0"/>
    <w:rsid w:val="00075DD8"/>
    <w:rsid w:val="00083BB6"/>
    <w:rsid w:val="00086C35"/>
    <w:rsid w:val="000938FE"/>
    <w:rsid w:val="000A26DD"/>
    <w:rsid w:val="000A5B0F"/>
    <w:rsid w:val="000B12E3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5721"/>
    <w:rsid w:val="00157C73"/>
    <w:rsid w:val="00166617"/>
    <w:rsid w:val="001704D1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D4CEE"/>
    <w:rsid w:val="002E1645"/>
    <w:rsid w:val="002E5D55"/>
    <w:rsid w:val="002F5849"/>
    <w:rsid w:val="0030379E"/>
    <w:rsid w:val="003069EC"/>
    <w:rsid w:val="00321095"/>
    <w:rsid w:val="0032135B"/>
    <w:rsid w:val="0032232F"/>
    <w:rsid w:val="0032236E"/>
    <w:rsid w:val="00327FC2"/>
    <w:rsid w:val="003329A9"/>
    <w:rsid w:val="003366CF"/>
    <w:rsid w:val="00344909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5D6F"/>
    <w:rsid w:val="00496D54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12087"/>
    <w:rsid w:val="00513DB7"/>
    <w:rsid w:val="0051680C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2397B"/>
    <w:rsid w:val="00634905"/>
    <w:rsid w:val="006414E7"/>
    <w:rsid w:val="00645E7F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4259"/>
    <w:rsid w:val="006C6A4A"/>
    <w:rsid w:val="006D204E"/>
    <w:rsid w:val="006E6ACC"/>
    <w:rsid w:val="006E6B84"/>
    <w:rsid w:val="006E792E"/>
    <w:rsid w:val="006F1F30"/>
    <w:rsid w:val="006F272B"/>
    <w:rsid w:val="006F307F"/>
    <w:rsid w:val="007010EE"/>
    <w:rsid w:val="0071444C"/>
    <w:rsid w:val="00716072"/>
    <w:rsid w:val="0071732D"/>
    <w:rsid w:val="00721298"/>
    <w:rsid w:val="00734BCD"/>
    <w:rsid w:val="00736A7D"/>
    <w:rsid w:val="0073799C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1F10"/>
    <w:rsid w:val="00782E25"/>
    <w:rsid w:val="00787BDE"/>
    <w:rsid w:val="007902E3"/>
    <w:rsid w:val="00791E18"/>
    <w:rsid w:val="00792F51"/>
    <w:rsid w:val="007956A6"/>
    <w:rsid w:val="007A4AA8"/>
    <w:rsid w:val="007A75B4"/>
    <w:rsid w:val="007A7F20"/>
    <w:rsid w:val="007B25BC"/>
    <w:rsid w:val="007B4865"/>
    <w:rsid w:val="007B5143"/>
    <w:rsid w:val="007D203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7986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E5EA5"/>
    <w:rsid w:val="008F6563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A5239"/>
    <w:rsid w:val="009B29F7"/>
    <w:rsid w:val="009C06EE"/>
    <w:rsid w:val="009C33B5"/>
    <w:rsid w:val="009C6B73"/>
    <w:rsid w:val="009D2C7B"/>
    <w:rsid w:val="009D30A8"/>
    <w:rsid w:val="009D47E4"/>
    <w:rsid w:val="009F7EFB"/>
    <w:rsid w:val="00A00F7C"/>
    <w:rsid w:val="00A048BA"/>
    <w:rsid w:val="00A1296B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64065"/>
    <w:rsid w:val="00B7114B"/>
    <w:rsid w:val="00B72D91"/>
    <w:rsid w:val="00B7644C"/>
    <w:rsid w:val="00B774F4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71250"/>
    <w:rsid w:val="00C75399"/>
    <w:rsid w:val="00C77846"/>
    <w:rsid w:val="00C81B91"/>
    <w:rsid w:val="00C82301"/>
    <w:rsid w:val="00C91F9A"/>
    <w:rsid w:val="00C95951"/>
    <w:rsid w:val="00CA0773"/>
    <w:rsid w:val="00CA5708"/>
    <w:rsid w:val="00CB4776"/>
    <w:rsid w:val="00CB5C1D"/>
    <w:rsid w:val="00CC01CE"/>
    <w:rsid w:val="00CC2B7B"/>
    <w:rsid w:val="00CC4C4E"/>
    <w:rsid w:val="00CD005B"/>
    <w:rsid w:val="00CD5076"/>
    <w:rsid w:val="00CE3D0D"/>
    <w:rsid w:val="00CE4959"/>
    <w:rsid w:val="00CE4D7D"/>
    <w:rsid w:val="00CE7D42"/>
    <w:rsid w:val="00CF19A3"/>
    <w:rsid w:val="00CF369B"/>
    <w:rsid w:val="00D22A49"/>
    <w:rsid w:val="00D25C34"/>
    <w:rsid w:val="00D26FE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71EE"/>
    <w:rsid w:val="00DA7AC4"/>
    <w:rsid w:val="00DA7BE2"/>
    <w:rsid w:val="00DB5D9F"/>
    <w:rsid w:val="00DB69FA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4D4"/>
    <w:rsid w:val="00FC1A90"/>
    <w:rsid w:val="00FC4B0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5</cp:revision>
  <cp:lastPrinted>2024-04-10T11:47:00Z</cp:lastPrinted>
  <dcterms:created xsi:type="dcterms:W3CDTF">2025-04-03T13:47:00Z</dcterms:created>
  <dcterms:modified xsi:type="dcterms:W3CDTF">2025-04-04T08:38:00Z</dcterms:modified>
</cp:coreProperties>
</file>