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2172EE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UPYTĖS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36F0F36F" w:rsidR="008F6ABC" w:rsidRPr="00CC43B7" w:rsidRDefault="008F6ABC" w:rsidP="000944C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BFF02F5" w14:textId="22DA5185" w:rsidR="00456479" w:rsidRPr="00456479" w:rsidRDefault="0078253D" w:rsidP="0045647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>Panevėžio rajono savivaldybės administracijos Upytės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>neatlygintinai 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479" w:rsidRPr="00456479">
        <w:rPr>
          <w:rFonts w:ascii="Times New Roman" w:hAnsi="Times New Roman" w:cs="Times New Roman"/>
          <w:sz w:val="24"/>
          <w:szCs w:val="24"/>
        </w:rPr>
        <w:t>37 cm skersmens vieną beržą ir 39 cm skersmens vieną liep</w:t>
      </w:r>
      <w:r w:rsidR="00F22437">
        <w:rPr>
          <w:rFonts w:ascii="Times New Roman" w:hAnsi="Times New Roman" w:cs="Times New Roman"/>
          <w:sz w:val="24"/>
          <w:szCs w:val="24"/>
        </w:rPr>
        <w:t>ą</w:t>
      </w:r>
      <w:r w:rsidR="00456479" w:rsidRPr="00456479">
        <w:rPr>
          <w:rFonts w:ascii="Times New Roman" w:hAnsi="Times New Roman" w:cs="Times New Roman"/>
          <w:sz w:val="24"/>
          <w:szCs w:val="24"/>
        </w:rPr>
        <w:t>, augančius šalia Ėriškių g. 5, Upytės k., Upytės sen., Panevėžio r., laikantis paukščių perėjimo laikotarpio.</w:t>
      </w:r>
    </w:p>
    <w:p w14:paraId="44EFE7A0" w14:textId="6B358ECA" w:rsidR="0078253D" w:rsidRPr="004331AF" w:rsidRDefault="0078253D" w:rsidP="0045647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F22437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0944C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3A05A48D" w14:textId="77777777" w:rsidR="00456479" w:rsidRDefault="00456479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BB1A136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F224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01922"/>
    <w:rsid w:val="000144B0"/>
    <w:rsid w:val="000239A2"/>
    <w:rsid w:val="000337AE"/>
    <w:rsid w:val="00051965"/>
    <w:rsid w:val="000944CF"/>
    <w:rsid w:val="000A40AD"/>
    <w:rsid w:val="000C1145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539F5"/>
    <w:rsid w:val="0069218F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2437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2025-03-06T15:20:00Z</cp:lastPrinted>
  <dcterms:created xsi:type="dcterms:W3CDTF">2025-03-06T15:21:00Z</dcterms:created>
  <dcterms:modified xsi:type="dcterms:W3CDTF">2025-03-06T15:21:00Z</dcterms:modified>
</cp:coreProperties>
</file>