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77D0" w14:textId="7E24B742" w:rsidR="00D260FF" w:rsidRPr="00372422" w:rsidRDefault="00182C87">
      <w:pPr>
        <w:tabs>
          <w:tab w:val="center" w:pos="4153"/>
          <w:tab w:val="right" w:pos="8306"/>
        </w:tabs>
        <w:suppressAutoHyphens/>
        <w:jc w:val="center"/>
        <w:rPr>
          <w:rFonts w:eastAsia="Batang"/>
          <w:sz w:val="20"/>
          <w:lang w:eastAsia="ar-SA"/>
        </w:rPr>
      </w:pPr>
      <w:r w:rsidRPr="00372422">
        <w:rPr>
          <w:rFonts w:eastAsia="Batang"/>
          <w:noProof/>
          <w:sz w:val="20"/>
          <w:lang w:eastAsia="lt-LT"/>
        </w:rPr>
        <w:drawing>
          <wp:inline distT="0" distB="0" distL="0" distR="0" wp14:anchorId="48057834" wp14:editId="48057835">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p>
    <w:p w14:paraId="480577D1" w14:textId="047899B9" w:rsidR="00D260FF" w:rsidRPr="006D5FDE" w:rsidRDefault="00182C87">
      <w:pPr>
        <w:tabs>
          <w:tab w:val="center" w:pos="4153"/>
          <w:tab w:val="right" w:pos="8306"/>
        </w:tabs>
        <w:suppressAutoHyphens/>
        <w:jc w:val="center"/>
        <w:rPr>
          <w:rFonts w:eastAsia="Batang"/>
          <w:b/>
          <w:szCs w:val="24"/>
          <w:lang w:eastAsia="ar-SA"/>
        </w:rPr>
      </w:pPr>
      <w:r w:rsidRPr="00372422">
        <w:rPr>
          <w:rFonts w:eastAsia="Batang"/>
          <w:sz w:val="20"/>
          <w:lang w:eastAsia="ar-SA"/>
        </w:rPr>
        <w:tab/>
      </w:r>
      <w:r w:rsidRPr="00372422">
        <w:rPr>
          <w:rFonts w:eastAsia="Batang"/>
          <w:sz w:val="20"/>
          <w:lang w:eastAsia="ar-SA"/>
        </w:rPr>
        <w:tab/>
      </w:r>
    </w:p>
    <w:p w14:paraId="480577D2" w14:textId="77777777" w:rsidR="00D260FF" w:rsidRPr="00372422" w:rsidRDefault="00182C87">
      <w:pPr>
        <w:tabs>
          <w:tab w:val="center" w:pos="4153"/>
          <w:tab w:val="right" w:pos="8306"/>
        </w:tabs>
        <w:suppressAutoHyphens/>
        <w:jc w:val="center"/>
        <w:rPr>
          <w:rFonts w:eastAsia="Batang"/>
          <w:b/>
          <w:sz w:val="28"/>
          <w:lang w:eastAsia="ar-SA"/>
        </w:rPr>
      </w:pPr>
      <w:r w:rsidRPr="00372422">
        <w:rPr>
          <w:rFonts w:eastAsia="Batang"/>
          <w:b/>
          <w:sz w:val="28"/>
          <w:lang w:eastAsia="ar-SA"/>
        </w:rPr>
        <w:t xml:space="preserve">PANEVĖŽIO RAJONO SAVIVALDYBĖS TARYBA </w:t>
      </w:r>
    </w:p>
    <w:p w14:paraId="480577D3" w14:textId="77777777" w:rsidR="00D260FF" w:rsidRPr="00582530" w:rsidRDefault="00D260FF">
      <w:pPr>
        <w:tabs>
          <w:tab w:val="center" w:pos="4153"/>
          <w:tab w:val="right" w:pos="8306"/>
        </w:tabs>
        <w:suppressAutoHyphens/>
        <w:jc w:val="center"/>
        <w:rPr>
          <w:rFonts w:eastAsia="Batang"/>
          <w:sz w:val="28"/>
          <w:lang w:eastAsia="ar-SA"/>
        </w:rPr>
      </w:pPr>
    </w:p>
    <w:p w14:paraId="480577D4" w14:textId="77777777" w:rsidR="00D260FF" w:rsidRDefault="00182C87">
      <w:pPr>
        <w:tabs>
          <w:tab w:val="center" w:pos="4153"/>
          <w:tab w:val="right" w:pos="8306"/>
        </w:tabs>
        <w:suppressAutoHyphens/>
        <w:jc w:val="center"/>
        <w:rPr>
          <w:rFonts w:eastAsia="Batang"/>
          <w:b/>
          <w:sz w:val="28"/>
          <w:lang w:eastAsia="ar-SA"/>
        </w:rPr>
      </w:pPr>
      <w:r w:rsidRPr="00372422">
        <w:rPr>
          <w:rFonts w:eastAsia="Batang"/>
          <w:b/>
          <w:sz w:val="28"/>
          <w:lang w:eastAsia="ar-SA"/>
        </w:rPr>
        <w:t>SPRENDIMAS</w:t>
      </w:r>
    </w:p>
    <w:p w14:paraId="2137CC84" w14:textId="695961E9" w:rsidR="0060143E" w:rsidRPr="0060143E" w:rsidRDefault="0060143E" w:rsidP="0060143E">
      <w:pPr>
        <w:tabs>
          <w:tab w:val="center" w:pos="4153"/>
          <w:tab w:val="right" w:pos="8306"/>
        </w:tabs>
        <w:suppressAutoHyphens/>
        <w:jc w:val="center"/>
        <w:rPr>
          <w:rFonts w:eastAsia="Batang"/>
          <w:b/>
          <w:szCs w:val="24"/>
          <w:lang w:eastAsia="ar-SA"/>
        </w:rPr>
      </w:pPr>
      <w:r w:rsidRPr="0060143E">
        <w:rPr>
          <w:rFonts w:eastAsia="Batang"/>
          <w:b/>
          <w:szCs w:val="24"/>
          <w:lang w:eastAsia="ar-SA"/>
        </w:rPr>
        <w:t>DĖL PANEVĖŽIO RAJONO SAVIVALDYBĖS TARYBOS 2018 M. RUGPJŪČIO 30 D. SPRENDIMO NR. T-159</w:t>
      </w:r>
      <w:r>
        <w:rPr>
          <w:rFonts w:eastAsia="Batang"/>
          <w:b/>
          <w:szCs w:val="24"/>
          <w:lang w:eastAsia="ar-SA"/>
        </w:rPr>
        <w:t xml:space="preserve"> </w:t>
      </w:r>
      <w:r>
        <w:rPr>
          <w:rFonts w:eastAsia="Batang"/>
          <w:b/>
          <w:lang w:eastAsia="ar-SA"/>
        </w:rPr>
        <w:t>„</w:t>
      </w:r>
      <w:r w:rsidRPr="00372422">
        <w:rPr>
          <w:rFonts w:eastAsia="Batang"/>
          <w:b/>
          <w:lang w:eastAsia="ar-SA"/>
        </w:rPr>
        <w:t xml:space="preserve">DĖL </w:t>
      </w:r>
      <w:r>
        <w:rPr>
          <w:rFonts w:eastAsia="Batang"/>
          <w:b/>
          <w:lang w:eastAsia="ar-SA"/>
        </w:rPr>
        <w:t xml:space="preserve">PANEVĖŽIO RAJONO SAVIVALDYBĖS </w:t>
      </w:r>
      <w:r w:rsidRPr="00372422">
        <w:rPr>
          <w:rFonts w:eastAsia="Batang"/>
          <w:b/>
          <w:lang w:eastAsia="ar-SA"/>
        </w:rPr>
        <w:t>MOKYMO LĖŠŲ APSKAIČIAVIMO, PASKIRSTYMO IR PANAUDOJIMO TVARKOS APRAŠO PATVIRTINIMO</w:t>
      </w:r>
      <w:r>
        <w:rPr>
          <w:rFonts w:eastAsia="Batang"/>
          <w:b/>
          <w:lang w:eastAsia="ar-SA"/>
        </w:rPr>
        <w:t>“ PAKEITIMO</w:t>
      </w:r>
    </w:p>
    <w:p w14:paraId="480577D5" w14:textId="69C0B6F5" w:rsidR="00D260FF" w:rsidRPr="00582530" w:rsidRDefault="00D260FF" w:rsidP="0060143E">
      <w:pPr>
        <w:suppressAutoHyphens/>
        <w:jc w:val="center"/>
        <w:rPr>
          <w:rFonts w:eastAsia="Batang"/>
          <w:lang w:eastAsia="ar-SA"/>
        </w:rPr>
      </w:pPr>
    </w:p>
    <w:p w14:paraId="47AC4908" w14:textId="77777777" w:rsidR="00C10A2C" w:rsidRDefault="00C10A2C" w:rsidP="00C10A2C">
      <w:pPr>
        <w:suppressAutoHyphens/>
        <w:rPr>
          <w:rFonts w:eastAsia="Batang"/>
          <w:lang w:eastAsia="ar-SA"/>
        </w:rPr>
      </w:pPr>
    </w:p>
    <w:p w14:paraId="480577D8" w14:textId="4CBFD035" w:rsidR="00D260FF" w:rsidRPr="00372422" w:rsidRDefault="00182C87" w:rsidP="00C10A2C">
      <w:pPr>
        <w:suppressAutoHyphens/>
        <w:jc w:val="center"/>
        <w:rPr>
          <w:rFonts w:eastAsia="Batang"/>
          <w:szCs w:val="24"/>
          <w:lang w:eastAsia="ar-SA"/>
        </w:rPr>
      </w:pPr>
      <w:r w:rsidRPr="00372422">
        <w:rPr>
          <w:rFonts w:eastAsia="Batang"/>
          <w:lang w:eastAsia="ar-SA"/>
        </w:rPr>
        <w:t>20</w:t>
      </w:r>
      <w:r w:rsidR="00440399">
        <w:rPr>
          <w:rFonts w:eastAsia="Batang"/>
          <w:lang w:eastAsia="ar-SA"/>
        </w:rPr>
        <w:t>2</w:t>
      </w:r>
      <w:r w:rsidR="007B4509">
        <w:rPr>
          <w:rFonts w:eastAsia="Batang"/>
          <w:lang w:eastAsia="ar-SA"/>
        </w:rPr>
        <w:t>2</w:t>
      </w:r>
      <w:r w:rsidRPr="00372422">
        <w:rPr>
          <w:rFonts w:eastAsia="Batang"/>
          <w:lang w:eastAsia="ar-SA"/>
        </w:rPr>
        <w:t xml:space="preserve"> m. </w:t>
      </w:r>
      <w:r w:rsidR="00DC62BE">
        <w:rPr>
          <w:rFonts w:eastAsia="Batang"/>
          <w:lang w:eastAsia="ar-SA"/>
        </w:rPr>
        <w:t>gruodžio</w:t>
      </w:r>
      <w:r w:rsidR="007B4509">
        <w:rPr>
          <w:rFonts w:eastAsia="Batang"/>
          <w:lang w:eastAsia="ar-SA"/>
        </w:rPr>
        <w:t xml:space="preserve"> </w:t>
      </w:r>
      <w:r w:rsidR="00DC62BE">
        <w:rPr>
          <w:rFonts w:eastAsia="Batang"/>
          <w:lang w:eastAsia="ar-SA"/>
        </w:rPr>
        <w:t>15</w:t>
      </w:r>
      <w:r w:rsidRPr="00372422">
        <w:rPr>
          <w:rFonts w:eastAsia="Batang"/>
          <w:lang w:eastAsia="ar-SA"/>
        </w:rPr>
        <w:t xml:space="preserve"> d. Nr. T-</w:t>
      </w:r>
      <w:r w:rsidR="00FA16FA">
        <w:rPr>
          <w:rFonts w:eastAsia="Batang"/>
          <w:lang w:eastAsia="ar-SA"/>
        </w:rPr>
        <w:t>242</w:t>
      </w:r>
    </w:p>
    <w:p w14:paraId="480577D9" w14:textId="77777777" w:rsidR="00D260FF" w:rsidRPr="00372422" w:rsidRDefault="00182C87">
      <w:pPr>
        <w:suppressAutoHyphens/>
        <w:jc w:val="center"/>
        <w:rPr>
          <w:rFonts w:eastAsia="Batang"/>
          <w:szCs w:val="24"/>
          <w:lang w:eastAsia="ar-SA"/>
        </w:rPr>
      </w:pPr>
      <w:r w:rsidRPr="00372422">
        <w:rPr>
          <w:rFonts w:eastAsia="Batang"/>
          <w:szCs w:val="24"/>
          <w:lang w:eastAsia="ar-SA"/>
        </w:rPr>
        <w:t>Panevėžys</w:t>
      </w:r>
    </w:p>
    <w:p w14:paraId="480577DA" w14:textId="77777777" w:rsidR="00D260FF" w:rsidRPr="00372422" w:rsidRDefault="00D260FF">
      <w:pPr>
        <w:suppressAutoHyphens/>
        <w:jc w:val="both"/>
        <w:rPr>
          <w:rFonts w:eastAsia="Batang"/>
          <w:szCs w:val="24"/>
          <w:lang w:eastAsia="ar-SA"/>
        </w:rPr>
      </w:pPr>
    </w:p>
    <w:p w14:paraId="480577DB" w14:textId="77777777" w:rsidR="00D260FF" w:rsidRPr="00372422" w:rsidRDefault="00D260FF">
      <w:pPr>
        <w:suppressAutoHyphens/>
        <w:jc w:val="both"/>
        <w:rPr>
          <w:rFonts w:eastAsia="Batang"/>
          <w:szCs w:val="24"/>
          <w:lang w:eastAsia="ar-SA"/>
        </w:rPr>
      </w:pPr>
    </w:p>
    <w:p w14:paraId="30BBDCEB" w14:textId="77777777" w:rsidR="00A96240" w:rsidRDefault="00182C87" w:rsidP="00A96240">
      <w:pPr>
        <w:suppressAutoHyphens/>
        <w:ind w:firstLine="720"/>
        <w:jc w:val="both"/>
        <w:rPr>
          <w:rFonts w:eastAsia="Batang"/>
          <w:szCs w:val="24"/>
          <w:lang w:eastAsia="ar-SA"/>
        </w:rPr>
      </w:pPr>
      <w:r w:rsidRPr="00372422">
        <w:rPr>
          <w:rFonts w:eastAsia="Batang"/>
          <w:szCs w:val="24"/>
          <w:lang w:eastAsia="ar-SA"/>
        </w:rPr>
        <w:t xml:space="preserve">Vadovaudamasi Lietuvos Respublikos vietos savivaldos įstatymo 18 straipsnio 1 dalimi, </w:t>
      </w:r>
      <w:r w:rsidR="006D5FDE">
        <w:rPr>
          <w:rFonts w:eastAsia="Batang"/>
          <w:szCs w:val="24"/>
          <w:lang w:eastAsia="ar-SA"/>
        </w:rPr>
        <w:t>M</w:t>
      </w:r>
      <w:r w:rsidR="006D5FDE" w:rsidRPr="00372422">
        <w:rPr>
          <w:rFonts w:eastAsia="Batang"/>
          <w:szCs w:val="24"/>
          <w:lang w:eastAsia="ar-SA"/>
        </w:rPr>
        <w:t xml:space="preserve">okymo lėšų apskaičiavimo, paskirstymo ir panaudojimo </w:t>
      </w:r>
      <w:r w:rsidR="006D5FDE">
        <w:rPr>
          <w:rFonts w:eastAsia="Batang"/>
          <w:szCs w:val="24"/>
          <w:lang w:eastAsia="ar-SA"/>
        </w:rPr>
        <w:t>tvarkos aprašu, patvirtintu</w:t>
      </w:r>
      <w:r w:rsidR="006D5FDE" w:rsidRPr="00372422">
        <w:rPr>
          <w:rFonts w:eastAsia="Batang"/>
          <w:szCs w:val="24"/>
          <w:lang w:eastAsia="ar-SA"/>
        </w:rPr>
        <w:t xml:space="preserve"> </w:t>
      </w:r>
      <w:r w:rsidRPr="00372422">
        <w:rPr>
          <w:rFonts w:eastAsia="Batang"/>
          <w:szCs w:val="24"/>
          <w:lang w:eastAsia="ar-SA"/>
        </w:rPr>
        <w:t>Lietuvos Respublikos Vyriausybės 201</w:t>
      </w:r>
      <w:r w:rsidR="00B001DE" w:rsidRPr="00372422">
        <w:rPr>
          <w:rFonts w:eastAsia="Batang"/>
          <w:szCs w:val="24"/>
          <w:lang w:eastAsia="ar-SA"/>
        </w:rPr>
        <w:t>8</w:t>
      </w:r>
      <w:r w:rsidRPr="00372422">
        <w:rPr>
          <w:rFonts w:eastAsia="Batang"/>
          <w:szCs w:val="24"/>
          <w:lang w:eastAsia="ar-SA"/>
        </w:rPr>
        <w:t xml:space="preserve"> m. </w:t>
      </w:r>
      <w:r w:rsidR="00B001DE" w:rsidRPr="00372422">
        <w:rPr>
          <w:rFonts w:eastAsia="Batang"/>
          <w:szCs w:val="24"/>
          <w:lang w:eastAsia="ar-SA"/>
        </w:rPr>
        <w:t>liepos</w:t>
      </w:r>
      <w:r w:rsidRPr="00372422">
        <w:rPr>
          <w:rFonts w:eastAsia="Batang"/>
          <w:szCs w:val="24"/>
          <w:lang w:eastAsia="ar-SA"/>
        </w:rPr>
        <w:t xml:space="preserve"> </w:t>
      </w:r>
      <w:r w:rsidR="00B001DE" w:rsidRPr="00372422">
        <w:rPr>
          <w:rFonts w:eastAsia="Batang"/>
          <w:szCs w:val="24"/>
          <w:lang w:eastAsia="ar-SA"/>
        </w:rPr>
        <w:t>11</w:t>
      </w:r>
      <w:r w:rsidRPr="00372422">
        <w:rPr>
          <w:rFonts w:eastAsia="Batang"/>
          <w:szCs w:val="24"/>
          <w:lang w:eastAsia="ar-SA"/>
        </w:rPr>
        <w:t xml:space="preserve"> d. nutarimu Nr.</w:t>
      </w:r>
      <w:r w:rsidR="00B001DE" w:rsidRPr="00372422">
        <w:rPr>
          <w:rFonts w:eastAsia="Batang"/>
          <w:szCs w:val="24"/>
          <w:lang w:eastAsia="ar-SA"/>
        </w:rPr>
        <w:t xml:space="preserve"> 679</w:t>
      </w:r>
      <w:r w:rsidRPr="00372422">
        <w:rPr>
          <w:rFonts w:eastAsia="Batang"/>
          <w:szCs w:val="24"/>
          <w:lang w:eastAsia="ar-SA"/>
        </w:rPr>
        <w:t xml:space="preserve"> „Dėl </w:t>
      </w:r>
      <w:r w:rsidR="006D5FDE">
        <w:rPr>
          <w:rFonts w:eastAsia="Batang"/>
          <w:szCs w:val="24"/>
          <w:lang w:eastAsia="ar-SA"/>
        </w:rPr>
        <w:t>M</w:t>
      </w:r>
      <w:r w:rsidRPr="00372422">
        <w:rPr>
          <w:rFonts w:eastAsia="Batang"/>
          <w:szCs w:val="24"/>
          <w:lang w:eastAsia="ar-SA"/>
        </w:rPr>
        <w:t>o</w:t>
      </w:r>
      <w:r w:rsidR="00B001DE" w:rsidRPr="00372422">
        <w:rPr>
          <w:rFonts w:eastAsia="Batang"/>
          <w:szCs w:val="24"/>
          <w:lang w:eastAsia="ar-SA"/>
        </w:rPr>
        <w:t>kymo lėšų</w:t>
      </w:r>
      <w:r w:rsidRPr="00372422">
        <w:rPr>
          <w:rFonts w:eastAsia="Batang"/>
          <w:szCs w:val="24"/>
          <w:lang w:eastAsia="ar-SA"/>
        </w:rPr>
        <w:t xml:space="preserve"> apskaičiavimo</w:t>
      </w:r>
      <w:r w:rsidR="00B001DE" w:rsidRPr="00372422">
        <w:rPr>
          <w:rFonts w:eastAsia="Batang"/>
          <w:szCs w:val="24"/>
          <w:lang w:eastAsia="ar-SA"/>
        </w:rPr>
        <w:t>,</w:t>
      </w:r>
      <w:r w:rsidRPr="00372422">
        <w:rPr>
          <w:rFonts w:eastAsia="Batang"/>
          <w:szCs w:val="24"/>
          <w:lang w:eastAsia="ar-SA"/>
        </w:rPr>
        <w:t xml:space="preserve"> paskirstymo</w:t>
      </w:r>
      <w:r w:rsidR="00B001DE" w:rsidRPr="00372422">
        <w:rPr>
          <w:rFonts w:eastAsia="Batang"/>
          <w:szCs w:val="24"/>
          <w:lang w:eastAsia="ar-SA"/>
        </w:rPr>
        <w:t xml:space="preserve"> ir panaudojimo</w:t>
      </w:r>
      <w:r w:rsidRPr="00372422">
        <w:rPr>
          <w:rFonts w:eastAsia="Batang"/>
          <w:szCs w:val="24"/>
          <w:lang w:eastAsia="ar-SA"/>
        </w:rPr>
        <w:t xml:space="preserve"> </w:t>
      </w:r>
      <w:r w:rsidR="00B001DE" w:rsidRPr="00372422">
        <w:rPr>
          <w:rFonts w:eastAsia="Batang"/>
          <w:szCs w:val="24"/>
          <w:lang w:eastAsia="ar-SA"/>
        </w:rPr>
        <w:t>tvarkos aprašo</w:t>
      </w:r>
      <w:r w:rsidRPr="00372422">
        <w:rPr>
          <w:rFonts w:eastAsia="Batang"/>
          <w:szCs w:val="24"/>
          <w:lang w:eastAsia="ar-SA"/>
        </w:rPr>
        <w:t xml:space="preserve"> patvirtinimo“</w:t>
      </w:r>
      <w:r w:rsidR="002B7FE7">
        <w:rPr>
          <w:rFonts w:eastAsia="Batang"/>
          <w:szCs w:val="24"/>
          <w:lang w:eastAsia="ar-SA"/>
        </w:rPr>
        <w:t>,</w:t>
      </w:r>
      <w:r w:rsidR="00A02BAC">
        <w:rPr>
          <w:rFonts w:eastAsia="Batang"/>
          <w:szCs w:val="24"/>
          <w:lang w:eastAsia="ar-SA"/>
        </w:rPr>
        <w:t xml:space="preserve"> </w:t>
      </w:r>
      <w:r w:rsidRPr="00372422">
        <w:rPr>
          <w:rFonts w:eastAsia="Batang"/>
          <w:szCs w:val="24"/>
          <w:lang w:eastAsia="ar-SA"/>
        </w:rPr>
        <w:t>Savivaldybės taryba n u s p r e n d ž i a:</w:t>
      </w:r>
    </w:p>
    <w:p w14:paraId="61982312" w14:textId="208CDB81" w:rsidR="00A96240" w:rsidRDefault="0024794F" w:rsidP="00A96240">
      <w:pPr>
        <w:suppressAutoHyphens/>
        <w:ind w:firstLine="720"/>
        <w:jc w:val="both"/>
      </w:pPr>
      <w:r>
        <w:t>Pakeisti</w:t>
      </w:r>
      <w:r w:rsidR="00A96240">
        <w:t xml:space="preserve"> Mokymo lėšų apskaičiavimo, paskirstymo ir panaudojimo tvarkos apraš</w:t>
      </w:r>
      <w:r w:rsidR="0071485A">
        <w:t>ą</w:t>
      </w:r>
      <w:r w:rsidR="00A96240">
        <w:t>, patvirtint</w:t>
      </w:r>
      <w:r w:rsidR="0071485A">
        <w:t>ą</w:t>
      </w:r>
      <w:r w:rsidR="00A96240">
        <w:t xml:space="preserve"> Panevėžio rajono savivaldybės tarybos 2018 m. rugpjūčio 30 d. sprendimu Nr. T-159 „Dėl Panevėžio rajono savivaldybės mokymo lėšų apskaičiavimo, paskirstymo ir panaudojimo tvarkos aprašo patvirtinimo“:</w:t>
      </w:r>
    </w:p>
    <w:p w14:paraId="41AAC2FA" w14:textId="5F8CC17B" w:rsidR="00A96240" w:rsidRDefault="00F40B74" w:rsidP="00F40B74">
      <w:pPr>
        <w:pStyle w:val="Sraopastraipa"/>
        <w:numPr>
          <w:ilvl w:val="0"/>
          <w:numId w:val="1"/>
        </w:numPr>
        <w:suppressAutoHyphens/>
        <w:jc w:val="both"/>
      </w:pPr>
      <w:r>
        <w:t xml:space="preserve">pripažinti netekusius galios 4.5.2 ir 4.5.3 papunkčius; </w:t>
      </w:r>
    </w:p>
    <w:p w14:paraId="3446D307" w14:textId="77E732CC" w:rsidR="00A96240" w:rsidRDefault="0071485A" w:rsidP="0024794F">
      <w:pPr>
        <w:pStyle w:val="Sraopastraipa"/>
        <w:numPr>
          <w:ilvl w:val="0"/>
          <w:numId w:val="1"/>
        </w:numPr>
        <w:suppressAutoHyphens/>
        <w:jc w:val="both"/>
      </w:pPr>
      <w:r>
        <w:t>pakeisti</w:t>
      </w:r>
      <w:r w:rsidR="00A96240">
        <w:t xml:space="preserve"> 5 punktą ir jį išdėstyti taip:</w:t>
      </w:r>
    </w:p>
    <w:p w14:paraId="38506438" w14:textId="3E9ADAE5" w:rsidR="00A96240" w:rsidRDefault="00A96240" w:rsidP="00A96240">
      <w:pPr>
        <w:suppressAutoHyphens/>
        <w:ind w:firstLine="720"/>
        <w:jc w:val="both"/>
      </w:pPr>
      <w:r>
        <w:t>„5. Tvarkos 4.2, 4.4, 4.4</w:t>
      </w:r>
      <w:r>
        <w:rPr>
          <w:vertAlign w:val="superscript"/>
        </w:rPr>
        <w:t xml:space="preserve">1 </w:t>
      </w:r>
      <w:r>
        <w:t>ir 4.4</w:t>
      </w:r>
      <w:r>
        <w:rPr>
          <w:vertAlign w:val="superscript"/>
        </w:rPr>
        <w:t xml:space="preserve">2 </w:t>
      </w:r>
      <w:bookmarkStart w:id="0" w:name="_Hlk119335111"/>
      <w:r>
        <w:t xml:space="preserve">papunkčiuose </w:t>
      </w:r>
      <w:bookmarkEnd w:id="0"/>
      <w:r>
        <w:t>nurodytoms ugdymo reikmėms tenkinti paskirstoma ne mažiau kaip 100 procentų lėšų.</w:t>
      </w:r>
      <w:r w:rsidR="00DC62BE">
        <w:t xml:space="preserve"> </w:t>
      </w:r>
      <w:r w:rsidR="00DC62BE">
        <w:rPr>
          <w:szCs w:val="24"/>
          <w:lang w:eastAsia="lt-LT"/>
        </w:rPr>
        <w:t xml:space="preserve">Patenkinus Tvarkos </w:t>
      </w:r>
      <w:r w:rsidR="00DC62BE">
        <w:t>4.2, 4.4, 4.4</w:t>
      </w:r>
      <w:r w:rsidR="00DC62BE">
        <w:rPr>
          <w:vertAlign w:val="superscript"/>
        </w:rPr>
        <w:t xml:space="preserve">1 </w:t>
      </w:r>
      <w:r w:rsidR="00DC62BE">
        <w:t>ir 4.4</w:t>
      </w:r>
      <w:r w:rsidR="00DC62BE">
        <w:rPr>
          <w:vertAlign w:val="superscript"/>
        </w:rPr>
        <w:t>2</w:t>
      </w:r>
      <w:r w:rsidR="00DC62BE">
        <w:rPr>
          <w:szCs w:val="24"/>
          <w:lang w:eastAsia="lt-LT"/>
        </w:rPr>
        <w:t xml:space="preserve"> </w:t>
      </w:r>
      <w:r w:rsidR="00DC62BE">
        <w:t>papunkčiuose</w:t>
      </w:r>
      <w:r w:rsidR="00DC62BE">
        <w:rPr>
          <w:szCs w:val="24"/>
          <w:lang w:eastAsia="lt-LT"/>
        </w:rPr>
        <w:t xml:space="preserve"> nurodytų reikmių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Tvarkos 4 punkte nurodytoms reikmėms.</w:t>
      </w:r>
      <w:r>
        <w:t xml:space="preserve"> Tvarkos 4.1 ir 4.3 papunkčiuose nurodytoms ugdymo reikmėms tenkinti lėšos skiriamos pagal poreikį, neviršijant turimų lėšų. Nesant galimybių prieš tvirtinant atitinkamų metų savivaldybės biudžetą išsiaiškinti faktinio lėšų poreikio konkrečioms švietimo įstaigoms Tvarkos 4.3 ir 4.5 papunkčiuose nurodytų reikmių, lėšos paskirstomos patikslinant savivaldybės biudžetą konkrečioms mokykloms paaiškėjus faktiniam jų poreikiui.“</w:t>
      </w:r>
      <w:r w:rsidR="00F40B74">
        <w:t>.</w:t>
      </w:r>
    </w:p>
    <w:p w14:paraId="2658314B" w14:textId="77777777" w:rsidR="00EA152B" w:rsidRDefault="00A96240" w:rsidP="00F40B74">
      <w:pPr>
        <w:suppressAutoHyphens/>
        <w:jc w:val="both"/>
      </w:pPr>
      <w:r>
        <w:t xml:space="preserve"> </w:t>
      </w:r>
    </w:p>
    <w:p w14:paraId="479E2B9A" w14:textId="77777777" w:rsidR="00EA152B" w:rsidRDefault="00EA152B" w:rsidP="00F40B74">
      <w:pPr>
        <w:suppressAutoHyphens/>
        <w:jc w:val="both"/>
      </w:pPr>
    </w:p>
    <w:p w14:paraId="27BF68FA" w14:textId="32F02DF5" w:rsidR="0032698D" w:rsidRDefault="00EA152B" w:rsidP="00F40B74">
      <w:pPr>
        <w:suppressAutoHyphens/>
        <w:jc w:val="both"/>
        <w:sectPr w:rsidR="0032698D" w:rsidSect="00582530">
          <w:headerReference w:type="default" r:id="rId8"/>
          <w:pgSz w:w="11906" w:h="16820"/>
          <w:pgMar w:top="1191" w:right="567" w:bottom="567" w:left="1701" w:header="1134" w:footer="567" w:gutter="0"/>
          <w:cols w:space="1296"/>
          <w:titlePg/>
          <w:docGrid w:linePitch="600" w:charSpace="40960"/>
        </w:sectPr>
      </w:pPr>
      <w:r>
        <w:t>Savivaldybės meras</w:t>
      </w:r>
      <w:r>
        <w:tab/>
      </w:r>
      <w:r>
        <w:tab/>
      </w:r>
      <w:r>
        <w:tab/>
      </w:r>
      <w:r>
        <w:tab/>
      </w:r>
      <w:r>
        <w:tab/>
      </w:r>
      <w:r>
        <w:tab/>
      </w:r>
      <w:r>
        <w:tab/>
      </w:r>
      <w:r>
        <w:tab/>
        <w:t xml:space="preserve">             Povilas Žagunis</w:t>
      </w:r>
      <w:r w:rsidR="00A96240">
        <w:t xml:space="preserve">                                                     </w:t>
      </w:r>
    </w:p>
    <w:p w14:paraId="378DA26A" w14:textId="77777777" w:rsidR="008C38EC" w:rsidRPr="0048042E" w:rsidRDefault="008C38EC" w:rsidP="00EA152B">
      <w:pPr>
        <w:jc w:val="both"/>
        <w:rPr>
          <w:szCs w:val="24"/>
        </w:rPr>
      </w:pPr>
    </w:p>
    <w:sectPr w:rsidR="008C38EC" w:rsidRPr="0048042E" w:rsidSect="00582530">
      <w:pgSz w:w="11906" w:h="16820"/>
      <w:pgMar w:top="1191" w:right="567" w:bottom="567" w:left="1701" w:header="1134"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50D7B" w14:textId="77777777" w:rsidR="005024A5" w:rsidRDefault="005024A5">
      <w:pPr>
        <w:suppressAutoHyphens/>
        <w:rPr>
          <w:rFonts w:eastAsia="Batang"/>
          <w:sz w:val="20"/>
          <w:lang w:eastAsia="ar-SA"/>
        </w:rPr>
      </w:pPr>
      <w:r>
        <w:rPr>
          <w:rFonts w:eastAsia="Batang"/>
          <w:sz w:val="20"/>
          <w:lang w:eastAsia="ar-SA"/>
        </w:rPr>
        <w:separator/>
      </w:r>
    </w:p>
  </w:endnote>
  <w:endnote w:type="continuationSeparator" w:id="0">
    <w:p w14:paraId="14F2838E" w14:textId="77777777" w:rsidR="005024A5" w:rsidRDefault="005024A5">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6223" w14:textId="77777777" w:rsidR="005024A5" w:rsidRDefault="005024A5">
      <w:pPr>
        <w:suppressAutoHyphens/>
        <w:rPr>
          <w:rFonts w:eastAsia="Batang"/>
          <w:sz w:val="20"/>
          <w:lang w:eastAsia="ar-SA"/>
        </w:rPr>
      </w:pPr>
      <w:r>
        <w:rPr>
          <w:rFonts w:eastAsia="Batang"/>
          <w:sz w:val="20"/>
          <w:lang w:eastAsia="ar-SA"/>
        </w:rPr>
        <w:separator/>
      </w:r>
    </w:p>
  </w:footnote>
  <w:footnote w:type="continuationSeparator" w:id="0">
    <w:p w14:paraId="0BABBBD9" w14:textId="77777777" w:rsidR="005024A5" w:rsidRDefault="005024A5">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947202"/>
      <w:docPartObj>
        <w:docPartGallery w:val="Page Numbers (Top of Page)"/>
        <w:docPartUnique/>
      </w:docPartObj>
    </w:sdtPr>
    <w:sdtContent>
      <w:p w14:paraId="382A3243" w14:textId="67811E49" w:rsidR="00582530" w:rsidRDefault="00582530">
        <w:pPr>
          <w:pStyle w:val="Antrats"/>
          <w:jc w:val="center"/>
        </w:pPr>
        <w:r>
          <w:fldChar w:fldCharType="begin"/>
        </w:r>
        <w:r>
          <w:instrText>PAGE   \* MERGEFORMAT</w:instrText>
        </w:r>
        <w:r>
          <w:fldChar w:fldCharType="separate"/>
        </w:r>
        <w:r w:rsidR="00A96240">
          <w:rPr>
            <w:noProof/>
          </w:rPr>
          <w:t>2</w:t>
        </w:r>
        <w:r>
          <w:fldChar w:fldCharType="end"/>
        </w:r>
      </w:p>
    </w:sdtContent>
  </w:sdt>
  <w:p w14:paraId="4805783A" w14:textId="77777777" w:rsidR="00006EA6" w:rsidRDefault="00006EA6">
    <w:pPr>
      <w:tabs>
        <w:tab w:val="center" w:pos="4153"/>
        <w:tab w:val="right" w:pos="8306"/>
      </w:tabs>
      <w:suppressAutoHyphens/>
      <w:ind w:firstLine="13"/>
      <w:jc w:val="center"/>
      <w:rPr>
        <w:rFonts w:eastAsia="Batang"/>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F5EC3"/>
    <w:multiLevelType w:val="hybridMultilevel"/>
    <w:tmpl w:val="01CA1A88"/>
    <w:lvl w:ilvl="0" w:tplc="A038F7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9555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06EA6"/>
    <w:rsid w:val="000139B3"/>
    <w:rsid w:val="00020691"/>
    <w:rsid w:val="000224F7"/>
    <w:rsid w:val="00025E59"/>
    <w:rsid w:val="00031255"/>
    <w:rsid w:val="00033890"/>
    <w:rsid w:val="00043972"/>
    <w:rsid w:val="00053A37"/>
    <w:rsid w:val="00062B6D"/>
    <w:rsid w:val="0006323E"/>
    <w:rsid w:val="0007424F"/>
    <w:rsid w:val="00085D5E"/>
    <w:rsid w:val="00091092"/>
    <w:rsid w:val="000A52E7"/>
    <w:rsid w:val="000C27D7"/>
    <w:rsid w:val="000D4903"/>
    <w:rsid w:val="000D699B"/>
    <w:rsid w:val="000E060E"/>
    <w:rsid w:val="000E361A"/>
    <w:rsid w:val="000F32F3"/>
    <w:rsid w:val="001074AE"/>
    <w:rsid w:val="00125B44"/>
    <w:rsid w:val="0012723E"/>
    <w:rsid w:val="00131221"/>
    <w:rsid w:val="00132393"/>
    <w:rsid w:val="00132917"/>
    <w:rsid w:val="00137581"/>
    <w:rsid w:val="00137694"/>
    <w:rsid w:val="00150479"/>
    <w:rsid w:val="00152016"/>
    <w:rsid w:val="00153A95"/>
    <w:rsid w:val="00157B82"/>
    <w:rsid w:val="0016316F"/>
    <w:rsid w:val="00182C87"/>
    <w:rsid w:val="00192042"/>
    <w:rsid w:val="001A110A"/>
    <w:rsid w:val="001C0A35"/>
    <w:rsid w:val="001D146B"/>
    <w:rsid w:val="001E5926"/>
    <w:rsid w:val="001E7398"/>
    <w:rsid w:val="0020038A"/>
    <w:rsid w:val="00215F9E"/>
    <w:rsid w:val="00222100"/>
    <w:rsid w:val="00224D14"/>
    <w:rsid w:val="0024729A"/>
    <w:rsid w:val="0024794F"/>
    <w:rsid w:val="002820E6"/>
    <w:rsid w:val="00283D34"/>
    <w:rsid w:val="00297678"/>
    <w:rsid w:val="002B7FE7"/>
    <w:rsid w:val="002C2F1E"/>
    <w:rsid w:val="002C6167"/>
    <w:rsid w:val="002D046B"/>
    <w:rsid w:val="002D04CB"/>
    <w:rsid w:val="002D288C"/>
    <w:rsid w:val="002D3551"/>
    <w:rsid w:val="002F1550"/>
    <w:rsid w:val="003164B3"/>
    <w:rsid w:val="00320D4F"/>
    <w:rsid w:val="0032698D"/>
    <w:rsid w:val="003277E3"/>
    <w:rsid w:val="0033188F"/>
    <w:rsid w:val="00347ED9"/>
    <w:rsid w:val="0036106B"/>
    <w:rsid w:val="0036350A"/>
    <w:rsid w:val="00371710"/>
    <w:rsid w:val="00372422"/>
    <w:rsid w:val="00387681"/>
    <w:rsid w:val="003937ED"/>
    <w:rsid w:val="003A1A62"/>
    <w:rsid w:val="003C0A2C"/>
    <w:rsid w:val="003C0EB3"/>
    <w:rsid w:val="003C5FF2"/>
    <w:rsid w:val="003E21C7"/>
    <w:rsid w:val="003F3D2C"/>
    <w:rsid w:val="00422E3C"/>
    <w:rsid w:val="004234E5"/>
    <w:rsid w:val="0042459E"/>
    <w:rsid w:val="00432B28"/>
    <w:rsid w:val="00434150"/>
    <w:rsid w:val="00440399"/>
    <w:rsid w:val="00441BD5"/>
    <w:rsid w:val="00450504"/>
    <w:rsid w:val="0045124E"/>
    <w:rsid w:val="00451801"/>
    <w:rsid w:val="004613F8"/>
    <w:rsid w:val="004705BB"/>
    <w:rsid w:val="00471802"/>
    <w:rsid w:val="0048042E"/>
    <w:rsid w:val="00480AFE"/>
    <w:rsid w:val="004A21DF"/>
    <w:rsid w:val="004A3F39"/>
    <w:rsid w:val="004A4204"/>
    <w:rsid w:val="004B13C8"/>
    <w:rsid w:val="004B3C48"/>
    <w:rsid w:val="004C2E0D"/>
    <w:rsid w:val="004D5BE6"/>
    <w:rsid w:val="004E14E9"/>
    <w:rsid w:val="004E6537"/>
    <w:rsid w:val="004F1A50"/>
    <w:rsid w:val="005024A5"/>
    <w:rsid w:val="00504A1F"/>
    <w:rsid w:val="00504B86"/>
    <w:rsid w:val="00505BA0"/>
    <w:rsid w:val="00515FA3"/>
    <w:rsid w:val="005241E7"/>
    <w:rsid w:val="005247DA"/>
    <w:rsid w:val="00536EF1"/>
    <w:rsid w:val="0055000D"/>
    <w:rsid w:val="00555B3D"/>
    <w:rsid w:val="005742ED"/>
    <w:rsid w:val="00582530"/>
    <w:rsid w:val="005C73A7"/>
    <w:rsid w:val="005E741B"/>
    <w:rsid w:val="0060143E"/>
    <w:rsid w:val="006114EE"/>
    <w:rsid w:val="006118C7"/>
    <w:rsid w:val="0061513A"/>
    <w:rsid w:val="0062177C"/>
    <w:rsid w:val="006230BE"/>
    <w:rsid w:val="00653729"/>
    <w:rsid w:val="0069753B"/>
    <w:rsid w:val="006A0D67"/>
    <w:rsid w:val="006A46D4"/>
    <w:rsid w:val="006B0697"/>
    <w:rsid w:val="006B468B"/>
    <w:rsid w:val="006B7C49"/>
    <w:rsid w:val="006C432E"/>
    <w:rsid w:val="006D5FDE"/>
    <w:rsid w:val="006E6F64"/>
    <w:rsid w:val="0071485A"/>
    <w:rsid w:val="0071576B"/>
    <w:rsid w:val="00715978"/>
    <w:rsid w:val="00744152"/>
    <w:rsid w:val="00746C93"/>
    <w:rsid w:val="007601BE"/>
    <w:rsid w:val="007666E9"/>
    <w:rsid w:val="00780D1B"/>
    <w:rsid w:val="00781E54"/>
    <w:rsid w:val="00791F36"/>
    <w:rsid w:val="00796C1D"/>
    <w:rsid w:val="007A0F85"/>
    <w:rsid w:val="007A5701"/>
    <w:rsid w:val="007B4509"/>
    <w:rsid w:val="007C6670"/>
    <w:rsid w:val="007F4CE2"/>
    <w:rsid w:val="00812423"/>
    <w:rsid w:val="00834FC6"/>
    <w:rsid w:val="00855C31"/>
    <w:rsid w:val="00864E0E"/>
    <w:rsid w:val="008716EB"/>
    <w:rsid w:val="00873C00"/>
    <w:rsid w:val="00877E6B"/>
    <w:rsid w:val="008806AB"/>
    <w:rsid w:val="00882796"/>
    <w:rsid w:val="00883165"/>
    <w:rsid w:val="00883471"/>
    <w:rsid w:val="00891910"/>
    <w:rsid w:val="008B155E"/>
    <w:rsid w:val="008C38EC"/>
    <w:rsid w:val="008D12AB"/>
    <w:rsid w:val="008D2BE0"/>
    <w:rsid w:val="008D612B"/>
    <w:rsid w:val="008D7635"/>
    <w:rsid w:val="008E2301"/>
    <w:rsid w:val="008F6E11"/>
    <w:rsid w:val="009219AD"/>
    <w:rsid w:val="0099565E"/>
    <w:rsid w:val="009B3912"/>
    <w:rsid w:val="009C3DBD"/>
    <w:rsid w:val="009D025C"/>
    <w:rsid w:val="009F037F"/>
    <w:rsid w:val="009F7748"/>
    <w:rsid w:val="00A02BAC"/>
    <w:rsid w:val="00A344B4"/>
    <w:rsid w:val="00A5128F"/>
    <w:rsid w:val="00A56C91"/>
    <w:rsid w:val="00A8021C"/>
    <w:rsid w:val="00A83234"/>
    <w:rsid w:val="00A84D6A"/>
    <w:rsid w:val="00A909A5"/>
    <w:rsid w:val="00A95A7A"/>
    <w:rsid w:val="00A96240"/>
    <w:rsid w:val="00AA77E3"/>
    <w:rsid w:val="00AB095E"/>
    <w:rsid w:val="00AB2087"/>
    <w:rsid w:val="00AB27B8"/>
    <w:rsid w:val="00AC1D0C"/>
    <w:rsid w:val="00AC26CF"/>
    <w:rsid w:val="00AE2AAD"/>
    <w:rsid w:val="00AE658A"/>
    <w:rsid w:val="00B001DE"/>
    <w:rsid w:val="00B03C0D"/>
    <w:rsid w:val="00B13BFE"/>
    <w:rsid w:val="00B24697"/>
    <w:rsid w:val="00B406F1"/>
    <w:rsid w:val="00B43B40"/>
    <w:rsid w:val="00B507E6"/>
    <w:rsid w:val="00B50F2B"/>
    <w:rsid w:val="00B56F12"/>
    <w:rsid w:val="00BA0204"/>
    <w:rsid w:val="00BA5D4C"/>
    <w:rsid w:val="00BB3AFF"/>
    <w:rsid w:val="00BC185C"/>
    <w:rsid w:val="00BC32FC"/>
    <w:rsid w:val="00BD2034"/>
    <w:rsid w:val="00BD2102"/>
    <w:rsid w:val="00BE0628"/>
    <w:rsid w:val="00BF136A"/>
    <w:rsid w:val="00C05EC9"/>
    <w:rsid w:val="00C07CBB"/>
    <w:rsid w:val="00C10A2C"/>
    <w:rsid w:val="00C21CF3"/>
    <w:rsid w:val="00C33355"/>
    <w:rsid w:val="00C375FA"/>
    <w:rsid w:val="00C441D2"/>
    <w:rsid w:val="00C55B3B"/>
    <w:rsid w:val="00C9233B"/>
    <w:rsid w:val="00C94483"/>
    <w:rsid w:val="00CA70C3"/>
    <w:rsid w:val="00CB0516"/>
    <w:rsid w:val="00CB2D84"/>
    <w:rsid w:val="00CB6F46"/>
    <w:rsid w:val="00CC586A"/>
    <w:rsid w:val="00CD125E"/>
    <w:rsid w:val="00CD2808"/>
    <w:rsid w:val="00CE7725"/>
    <w:rsid w:val="00CF61BD"/>
    <w:rsid w:val="00D002D7"/>
    <w:rsid w:val="00D02DB8"/>
    <w:rsid w:val="00D040BF"/>
    <w:rsid w:val="00D13DF7"/>
    <w:rsid w:val="00D17365"/>
    <w:rsid w:val="00D260FF"/>
    <w:rsid w:val="00D3665F"/>
    <w:rsid w:val="00D5270D"/>
    <w:rsid w:val="00D663EB"/>
    <w:rsid w:val="00D74194"/>
    <w:rsid w:val="00D80134"/>
    <w:rsid w:val="00D81FA6"/>
    <w:rsid w:val="00D91D23"/>
    <w:rsid w:val="00DA4155"/>
    <w:rsid w:val="00DC0F56"/>
    <w:rsid w:val="00DC3878"/>
    <w:rsid w:val="00DC62BE"/>
    <w:rsid w:val="00DE66DD"/>
    <w:rsid w:val="00DF2AFE"/>
    <w:rsid w:val="00E35646"/>
    <w:rsid w:val="00E41A2C"/>
    <w:rsid w:val="00E7291C"/>
    <w:rsid w:val="00E740AC"/>
    <w:rsid w:val="00E749D0"/>
    <w:rsid w:val="00E76BFE"/>
    <w:rsid w:val="00E8670D"/>
    <w:rsid w:val="00E97B9D"/>
    <w:rsid w:val="00EA0C68"/>
    <w:rsid w:val="00EA152B"/>
    <w:rsid w:val="00EA22A0"/>
    <w:rsid w:val="00EB12B2"/>
    <w:rsid w:val="00EC0A2F"/>
    <w:rsid w:val="00F0771C"/>
    <w:rsid w:val="00F13169"/>
    <w:rsid w:val="00F213A0"/>
    <w:rsid w:val="00F222B6"/>
    <w:rsid w:val="00F356A1"/>
    <w:rsid w:val="00F36D29"/>
    <w:rsid w:val="00F40B74"/>
    <w:rsid w:val="00F45429"/>
    <w:rsid w:val="00F46FB5"/>
    <w:rsid w:val="00F55A94"/>
    <w:rsid w:val="00F61653"/>
    <w:rsid w:val="00F61876"/>
    <w:rsid w:val="00F703D0"/>
    <w:rsid w:val="00F804D4"/>
    <w:rsid w:val="00F8377E"/>
    <w:rsid w:val="00F84E2D"/>
    <w:rsid w:val="00F9072E"/>
    <w:rsid w:val="00F97B69"/>
    <w:rsid w:val="00FA16FA"/>
    <w:rsid w:val="00FC7E0E"/>
    <w:rsid w:val="00FF4EDC"/>
    <w:rsid w:val="00FF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0577D0"/>
  <w15:docId w15:val="{00E91B7D-2560-4EF5-9C43-1713A4A4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131221"/>
    <w:rPr>
      <w:color w:val="808080"/>
    </w:rPr>
  </w:style>
  <w:style w:type="paragraph" w:styleId="Sraopastraipa">
    <w:name w:val="List Paragraph"/>
    <w:basedOn w:val="prastasis"/>
    <w:rsid w:val="002D3551"/>
    <w:pPr>
      <w:ind w:left="720"/>
      <w:contextualSpacing/>
    </w:pPr>
  </w:style>
  <w:style w:type="paragraph" w:styleId="prastasiniatinklio">
    <w:name w:val="Normal (Web)"/>
    <w:basedOn w:val="prastasis"/>
    <w:uiPriority w:val="99"/>
    <w:unhideWhenUsed/>
    <w:rsid w:val="006A0D67"/>
    <w:pPr>
      <w:spacing w:before="100" w:beforeAutospacing="1" w:after="119"/>
    </w:pPr>
    <w:rPr>
      <w:szCs w:val="24"/>
      <w:lang w:eastAsia="lt-LT"/>
    </w:rPr>
  </w:style>
  <w:style w:type="paragraph" w:styleId="Antrats">
    <w:name w:val="header"/>
    <w:basedOn w:val="prastasis"/>
    <w:link w:val="AntratsDiagrama"/>
    <w:uiPriority w:val="99"/>
    <w:unhideWhenUsed/>
    <w:rsid w:val="00B24697"/>
    <w:pPr>
      <w:tabs>
        <w:tab w:val="center" w:pos="4819"/>
        <w:tab w:val="right" w:pos="9638"/>
      </w:tabs>
    </w:pPr>
  </w:style>
  <w:style w:type="character" w:customStyle="1" w:styleId="AntratsDiagrama">
    <w:name w:val="Antraštės Diagrama"/>
    <w:basedOn w:val="Numatytasispastraiposriftas"/>
    <w:link w:val="Antrats"/>
    <w:uiPriority w:val="99"/>
    <w:rsid w:val="00B24697"/>
  </w:style>
  <w:style w:type="paragraph" w:styleId="Porat">
    <w:name w:val="footer"/>
    <w:basedOn w:val="prastasis"/>
    <w:link w:val="PoratDiagrama"/>
    <w:unhideWhenUsed/>
    <w:rsid w:val="00B24697"/>
    <w:pPr>
      <w:tabs>
        <w:tab w:val="center" w:pos="4819"/>
        <w:tab w:val="right" w:pos="9638"/>
      </w:tabs>
    </w:pPr>
  </w:style>
  <w:style w:type="character" w:customStyle="1" w:styleId="PoratDiagrama">
    <w:name w:val="Poraštė Diagrama"/>
    <w:basedOn w:val="Numatytasispastraiposriftas"/>
    <w:link w:val="Porat"/>
    <w:rsid w:val="00B2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798">
      <w:bodyDiv w:val="1"/>
      <w:marLeft w:val="0"/>
      <w:marRight w:val="0"/>
      <w:marTop w:val="0"/>
      <w:marBottom w:val="0"/>
      <w:divBdr>
        <w:top w:val="none" w:sz="0" w:space="0" w:color="auto"/>
        <w:left w:val="none" w:sz="0" w:space="0" w:color="auto"/>
        <w:bottom w:val="none" w:sz="0" w:space="0" w:color="auto"/>
        <w:right w:val="none" w:sz="0" w:space="0" w:color="auto"/>
      </w:divBdr>
      <w:divsChild>
        <w:div w:id="145053318">
          <w:marLeft w:val="0"/>
          <w:marRight w:val="0"/>
          <w:marTop w:val="0"/>
          <w:marBottom w:val="0"/>
          <w:divBdr>
            <w:top w:val="none" w:sz="0" w:space="0" w:color="auto"/>
            <w:left w:val="none" w:sz="0" w:space="0" w:color="auto"/>
            <w:bottom w:val="none" w:sz="0" w:space="0" w:color="auto"/>
            <w:right w:val="none" w:sz="0" w:space="0" w:color="auto"/>
          </w:divBdr>
        </w:div>
        <w:div w:id="7803741">
          <w:marLeft w:val="0"/>
          <w:marRight w:val="0"/>
          <w:marTop w:val="0"/>
          <w:marBottom w:val="0"/>
          <w:divBdr>
            <w:top w:val="none" w:sz="0" w:space="0" w:color="auto"/>
            <w:left w:val="none" w:sz="0" w:space="0" w:color="auto"/>
            <w:bottom w:val="none" w:sz="0" w:space="0" w:color="auto"/>
            <w:right w:val="none" w:sz="0" w:space="0" w:color="auto"/>
          </w:divBdr>
        </w:div>
        <w:div w:id="1932930783">
          <w:marLeft w:val="0"/>
          <w:marRight w:val="0"/>
          <w:marTop w:val="0"/>
          <w:marBottom w:val="0"/>
          <w:divBdr>
            <w:top w:val="none" w:sz="0" w:space="0" w:color="auto"/>
            <w:left w:val="none" w:sz="0" w:space="0" w:color="auto"/>
            <w:bottom w:val="none" w:sz="0" w:space="0" w:color="auto"/>
            <w:right w:val="none" w:sz="0" w:space="0" w:color="auto"/>
          </w:divBdr>
        </w:div>
        <w:div w:id="1225679063">
          <w:marLeft w:val="0"/>
          <w:marRight w:val="0"/>
          <w:marTop w:val="0"/>
          <w:marBottom w:val="0"/>
          <w:divBdr>
            <w:top w:val="none" w:sz="0" w:space="0" w:color="auto"/>
            <w:left w:val="none" w:sz="0" w:space="0" w:color="auto"/>
            <w:bottom w:val="none" w:sz="0" w:space="0" w:color="auto"/>
            <w:right w:val="none" w:sz="0" w:space="0" w:color="auto"/>
          </w:divBdr>
        </w:div>
        <w:div w:id="804278286">
          <w:marLeft w:val="0"/>
          <w:marRight w:val="0"/>
          <w:marTop w:val="0"/>
          <w:marBottom w:val="0"/>
          <w:divBdr>
            <w:top w:val="none" w:sz="0" w:space="0" w:color="auto"/>
            <w:left w:val="none" w:sz="0" w:space="0" w:color="auto"/>
            <w:bottom w:val="none" w:sz="0" w:space="0" w:color="auto"/>
            <w:right w:val="none" w:sz="0" w:space="0" w:color="auto"/>
          </w:divBdr>
        </w:div>
        <w:div w:id="1404796351">
          <w:marLeft w:val="0"/>
          <w:marRight w:val="0"/>
          <w:marTop w:val="0"/>
          <w:marBottom w:val="0"/>
          <w:divBdr>
            <w:top w:val="none" w:sz="0" w:space="0" w:color="auto"/>
            <w:left w:val="none" w:sz="0" w:space="0" w:color="auto"/>
            <w:bottom w:val="none" w:sz="0" w:space="0" w:color="auto"/>
            <w:right w:val="none" w:sz="0" w:space="0" w:color="auto"/>
          </w:divBdr>
        </w:div>
        <w:div w:id="768743512">
          <w:marLeft w:val="0"/>
          <w:marRight w:val="0"/>
          <w:marTop w:val="0"/>
          <w:marBottom w:val="0"/>
          <w:divBdr>
            <w:top w:val="none" w:sz="0" w:space="0" w:color="auto"/>
            <w:left w:val="none" w:sz="0" w:space="0" w:color="auto"/>
            <w:bottom w:val="none" w:sz="0" w:space="0" w:color="auto"/>
            <w:right w:val="none" w:sz="0" w:space="0" w:color="auto"/>
          </w:divBdr>
        </w:div>
      </w:divsChild>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48550735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724252518">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1353</Words>
  <Characters>772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Sarune Drobuzaite</cp:lastModifiedBy>
  <cp:revision>17</cp:revision>
  <cp:lastPrinted>2019-06-03T13:46:00Z</cp:lastPrinted>
  <dcterms:created xsi:type="dcterms:W3CDTF">2022-03-03T14:18:00Z</dcterms:created>
  <dcterms:modified xsi:type="dcterms:W3CDTF">2022-12-14T12:59:00Z</dcterms:modified>
</cp:coreProperties>
</file>