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</w:t>
      </w:r>
      <w:r w:rsidR="009B48F0">
        <w:rPr>
          <w:sz w:val="24"/>
          <w:szCs w:val="24"/>
        </w:rPr>
        <w:t>2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B48F0">
        <w:rPr>
          <w:sz w:val="24"/>
          <w:szCs w:val="24"/>
        </w:rPr>
        <w:t>birželio 16</w:t>
      </w:r>
      <w:r>
        <w:rPr>
          <w:sz w:val="24"/>
          <w:szCs w:val="24"/>
        </w:rPr>
        <w:t xml:space="preserve"> d. Nr. T-</w:t>
      </w:r>
      <w:r w:rsidR="00FC2E52">
        <w:rPr>
          <w:sz w:val="24"/>
          <w:szCs w:val="24"/>
        </w:rPr>
        <w:t>139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6B3854">
        <w:rPr>
          <w:rFonts w:eastAsia="Calibri"/>
          <w:sz w:val="24"/>
        </w:rPr>
        <w:t xml:space="preserve">Vadovaudamasi </w:t>
      </w:r>
      <w:r w:rsidR="006B3854" w:rsidRPr="00885C5C">
        <w:rPr>
          <w:sz w:val="24"/>
          <w:szCs w:val="24"/>
        </w:rPr>
        <w:t>Lietuvos Respublikos vietos savivaldos įstatymo 18 straipsnio 1 dalimi,</w:t>
      </w:r>
      <w:r w:rsidR="00FA6C3F">
        <w:rPr>
          <w:sz w:val="24"/>
          <w:szCs w:val="24"/>
        </w:rPr>
        <w:t xml:space="preserve"> </w:t>
      </w:r>
      <w:r w:rsidR="00AF1479" w:rsidRPr="00AF1479">
        <w:rPr>
          <w:rFonts w:eastAsia="Calibri"/>
          <w:sz w:val="24"/>
        </w:rPr>
        <w:t>Lietuvos Respublikos vietos savivaldos įstatymo</w:t>
      </w:r>
      <w:r w:rsidR="00AF1479">
        <w:rPr>
          <w:rFonts w:eastAsia="Calibri"/>
          <w:sz w:val="24"/>
        </w:rPr>
        <w:t xml:space="preserve"> 16 straipsnio 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</w:t>
      </w:r>
      <w:r w:rsidR="009B48F0">
        <w:rPr>
          <w:rFonts w:eastAsia="Calibri"/>
          <w:sz w:val="24"/>
        </w:rPr>
        <w:t>2-06-0</w:t>
      </w:r>
      <w:r w:rsidR="001C4FE0">
        <w:rPr>
          <w:rFonts w:eastAsia="Calibri"/>
          <w:sz w:val="24"/>
        </w:rPr>
        <w:t>7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1C4FE0">
        <w:rPr>
          <w:rFonts w:eastAsia="Calibri"/>
          <w:sz w:val="24"/>
        </w:rPr>
        <w:t>84</w:t>
      </w:r>
      <w:r w:rsidR="009B48F0">
        <w:rPr>
          <w:rFonts w:eastAsia="Calibri"/>
          <w:sz w:val="24"/>
        </w:rPr>
        <w:t>8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7A49D6" w:rsidP="000576F6">
      <w:pPr>
        <w:ind w:firstLine="1296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9B48F0" w:rsidRDefault="00FA6C3F" w:rsidP="000576F6">
      <w:pPr>
        <w:ind w:firstLine="1296"/>
        <w:jc w:val="both"/>
        <w:rPr>
          <w:sz w:val="24"/>
          <w:szCs w:val="24"/>
        </w:rPr>
      </w:pPr>
      <w:r>
        <w:rPr>
          <w:rFonts w:eastAsia="Calibri"/>
          <w:sz w:val="24"/>
        </w:rPr>
        <w:t>2.</w:t>
      </w:r>
      <w:r w:rsidRPr="00734AD2">
        <w:rPr>
          <w:sz w:val="24"/>
          <w:szCs w:val="24"/>
        </w:rPr>
        <w:t xml:space="preserve"> Pripažinti netekusiu galios</w:t>
      </w:r>
      <w:r w:rsidR="009B48F0">
        <w:rPr>
          <w:sz w:val="24"/>
          <w:szCs w:val="24"/>
        </w:rPr>
        <w:t>:</w:t>
      </w:r>
    </w:p>
    <w:p w:rsidR="00FA6C3F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A6C3F"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>21</w:t>
      </w:r>
      <w:r w:rsidR="00FA6C3F">
        <w:rPr>
          <w:sz w:val="24"/>
          <w:szCs w:val="24"/>
        </w:rPr>
        <w:t xml:space="preserve"> </w:t>
      </w:r>
      <w:r w:rsidR="00FA6C3F"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>vasario 25</w:t>
      </w:r>
      <w:r w:rsidR="00FA6C3F">
        <w:rPr>
          <w:sz w:val="24"/>
          <w:szCs w:val="24"/>
        </w:rPr>
        <w:t xml:space="preserve"> </w:t>
      </w:r>
      <w:r w:rsidR="00FA6C3F" w:rsidRPr="00734AD2">
        <w:rPr>
          <w:sz w:val="24"/>
          <w:szCs w:val="24"/>
        </w:rPr>
        <w:t>d. sprendim</w:t>
      </w:r>
      <w:r w:rsidR="00FA6C3F">
        <w:rPr>
          <w:sz w:val="24"/>
          <w:szCs w:val="24"/>
        </w:rPr>
        <w:t>o</w:t>
      </w:r>
      <w:r w:rsidR="00FA6C3F"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29 </w:t>
      </w:r>
      <w:r w:rsidR="00FA6C3F" w:rsidRPr="00734AD2">
        <w:rPr>
          <w:sz w:val="24"/>
          <w:szCs w:val="24"/>
        </w:rPr>
        <w:t xml:space="preserve">„Dėl </w:t>
      </w:r>
      <w:r w:rsidR="00FA6C3F">
        <w:rPr>
          <w:sz w:val="24"/>
          <w:szCs w:val="24"/>
        </w:rPr>
        <w:t xml:space="preserve">viešosios įstaigos Velžio komunalinio ūkio teikiamų atlygintinų paslaugų kainų </w:t>
      </w:r>
      <w:r>
        <w:rPr>
          <w:sz w:val="24"/>
          <w:szCs w:val="24"/>
        </w:rPr>
        <w:t>pa</w:t>
      </w:r>
      <w:r w:rsidR="00FA6C3F">
        <w:rPr>
          <w:sz w:val="24"/>
          <w:szCs w:val="24"/>
        </w:rPr>
        <w:t xml:space="preserve">tvirtinimo“ </w:t>
      </w:r>
      <w:r>
        <w:rPr>
          <w:sz w:val="24"/>
          <w:szCs w:val="24"/>
        </w:rPr>
        <w:t>1 punktą;</w:t>
      </w:r>
    </w:p>
    <w:p w:rsidR="009B48F0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734AD2">
        <w:rPr>
          <w:sz w:val="24"/>
          <w:szCs w:val="24"/>
        </w:rPr>
        <w:t xml:space="preserve"> Savivaldybės tarybos 20</w:t>
      </w:r>
      <w:r>
        <w:rPr>
          <w:sz w:val="24"/>
          <w:szCs w:val="24"/>
        </w:rPr>
        <w:t xml:space="preserve">20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gruodžio 3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272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patvirtinimo“;</w:t>
      </w:r>
    </w:p>
    <w:p w:rsidR="009B48F0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 xml:space="preserve">20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gegužės 28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122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</w:t>
      </w:r>
      <w:r w:rsidR="00807BAB">
        <w:rPr>
          <w:sz w:val="24"/>
          <w:szCs w:val="24"/>
        </w:rPr>
        <w:t>nų paslaugų kainų patvirtinimo“;</w:t>
      </w:r>
    </w:p>
    <w:p w:rsidR="00807BAB" w:rsidRDefault="00807BAB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734AD2">
        <w:rPr>
          <w:sz w:val="24"/>
          <w:szCs w:val="24"/>
        </w:rPr>
        <w:t>Savivaldybės tarybos 20</w:t>
      </w:r>
      <w:r w:rsidRPr="00B46FA2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lapkričio 15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189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tvirtinimo“ su visais pakeitimais;</w:t>
      </w:r>
    </w:p>
    <w:p w:rsidR="00807BAB" w:rsidRPr="00734AD2" w:rsidRDefault="00807BAB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 xml:space="preserve">18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gegužės 30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103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tvirtinimo“.</w:t>
      </w:r>
    </w:p>
    <w:p w:rsidR="00AF1479" w:rsidRPr="00AF1479" w:rsidRDefault="00FA6C3F" w:rsidP="000576F6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79E"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</w:t>
      </w:r>
      <w:r w:rsidR="008E07D2">
        <w:rPr>
          <w:sz w:val="24"/>
          <w:szCs w:val="24"/>
        </w:rPr>
        <w:t>2</w:t>
      </w:r>
      <w:r w:rsidR="00AF1479" w:rsidRPr="00AF1479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8E07D2">
        <w:rPr>
          <w:sz w:val="24"/>
          <w:szCs w:val="24"/>
        </w:rPr>
        <w:t xml:space="preserve">liepos 1 </w:t>
      </w:r>
      <w:r w:rsidR="00AF1479" w:rsidRPr="00AF1479">
        <w:rPr>
          <w:sz w:val="24"/>
          <w:szCs w:val="24"/>
        </w:rPr>
        <w:t xml:space="preserve">d. </w:t>
      </w:r>
    </w:p>
    <w:p w:rsidR="00AF1479" w:rsidRPr="00AF1479" w:rsidRDefault="00AF1479" w:rsidP="000576F6">
      <w:pPr>
        <w:jc w:val="both"/>
        <w:rPr>
          <w:sz w:val="24"/>
          <w:szCs w:val="24"/>
        </w:rPr>
      </w:pPr>
    </w:p>
    <w:p w:rsidR="00AF1479" w:rsidRPr="00AF1479" w:rsidRDefault="00AF1479" w:rsidP="000576F6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 w:rsidP="000576F6">
      <w:pPr>
        <w:ind w:firstLine="720"/>
        <w:jc w:val="both"/>
        <w:rPr>
          <w:sz w:val="24"/>
          <w:szCs w:val="24"/>
        </w:rPr>
      </w:pPr>
    </w:p>
    <w:p w:rsidR="00EC2063" w:rsidRDefault="00EC2063" w:rsidP="000576F6">
      <w:pPr>
        <w:ind w:firstLine="720"/>
        <w:jc w:val="both"/>
        <w:rPr>
          <w:sz w:val="24"/>
          <w:szCs w:val="24"/>
        </w:rPr>
      </w:pPr>
    </w:p>
    <w:p w:rsidR="00FC2E52" w:rsidRDefault="00FC2E52" w:rsidP="00FC2E52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FC2E52" w:rsidRDefault="00FC2E52" w:rsidP="00FC2E52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0576F6" w:rsidRDefault="000576F6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05789">
        <w:rPr>
          <w:sz w:val="24"/>
          <w:szCs w:val="24"/>
        </w:rPr>
        <w:t>2</w:t>
      </w:r>
      <w:r w:rsidRPr="009B2F22">
        <w:rPr>
          <w:sz w:val="24"/>
          <w:szCs w:val="24"/>
        </w:rPr>
        <w:t xml:space="preserve"> m. </w:t>
      </w:r>
      <w:r w:rsidR="00D05789">
        <w:rPr>
          <w:sz w:val="24"/>
          <w:szCs w:val="24"/>
        </w:rPr>
        <w:t>birželio 16</w:t>
      </w:r>
      <w:r w:rsidR="00FA6C3F">
        <w:rPr>
          <w:sz w:val="24"/>
          <w:szCs w:val="24"/>
        </w:rPr>
        <w:t xml:space="preserve"> </w:t>
      </w:r>
      <w:r w:rsidR="008C6AAB">
        <w:rPr>
          <w:sz w:val="24"/>
          <w:szCs w:val="24"/>
        </w:rPr>
        <w:t>d. sprendimu</w:t>
      </w:r>
      <w:r w:rsidRPr="009B2F22">
        <w:rPr>
          <w:sz w:val="24"/>
          <w:szCs w:val="24"/>
        </w:rPr>
        <w:t xml:space="preserve"> Nr. T-</w:t>
      </w:r>
      <w:r w:rsidR="00FC2E52">
        <w:rPr>
          <w:sz w:val="24"/>
          <w:szCs w:val="24"/>
        </w:rPr>
        <w:t>139</w:t>
      </w:r>
    </w:p>
    <w:p w:rsidR="00BB3975" w:rsidRDefault="00BB3975" w:rsidP="008C6AAB">
      <w:pPr>
        <w:jc w:val="both"/>
        <w:rPr>
          <w:sz w:val="24"/>
          <w:szCs w:val="24"/>
        </w:rPr>
      </w:pPr>
    </w:p>
    <w:p w:rsidR="001C4FE0" w:rsidRDefault="001C4FE0" w:rsidP="001C4FE0">
      <w:pPr>
        <w:jc w:val="center"/>
        <w:rPr>
          <w:b/>
          <w:bCs/>
          <w:sz w:val="24"/>
          <w:szCs w:val="24"/>
        </w:rPr>
      </w:pPr>
      <w:r w:rsidRPr="003943A5">
        <w:rPr>
          <w:b/>
          <w:bCs/>
          <w:sz w:val="24"/>
          <w:szCs w:val="24"/>
        </w:rPr>
        <w:t>VIEŠOSIOS ĮS</w:t>
      </w:r>
      <w:r>
        <w:rPr>
          <w:b/>
          <w:bCs/>
          <w:sz w:val="24"/>
          <w:szCs w:val="24"/>
        </w:rPr>
        <w:t>TAIGOS VELŽIO KOMUNALINIO ŪKIO TEIKIAMŲ ATLYGINTINŲ PASLAUGŲ KAINOS</w:t>
      </w:r>
      <w:r w:rsidRPr="001C4FE0">
        <w:rPr>
          <w:b/>
          <w:bCs/>
          <w:sz w:val="24"/>
          <w:szCs w:val="24"/>
        </w:rPr>
        <w:t xml:space="preserve"> </w:t>
      </w:r>
    </w:p>
    <w:p w:rsidR="001C4FE0" w:rsidRDefault="001C4FE0" w:rsidP="001C4FE0">
      <w:pPr>
        <w:jc w:val="center"/>
        <w:rPr>
          <w:b/>
          <w:bCs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400"/>
        <w:gridCol w:w="1800"/>
        <w:gridCol w:w="1607"/>
      </w:tblGrid>
      <w:tr w:rsidR="001C4FE0" w:rsidRPr="00460D4C" w:rsidTr="000576F6">
        <w:trPr>
          <w:trHeight w:val="494"/>
        </w:trPr>
        <w:tc>
          <w:tcPr>
            <w:tcW w:w="91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Eil.Nr.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Kaina Eur (be PVM)</w:t>
            </w:r>
          </w:p>
        </w:tc>
      </w:tr>
      <w:tr w:rsidR="001C4FE0" w:rsidRPr="00460D4C" w:rsidTr="000576F6">
        <w:trPr>
          <w:trHeight w:val="377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D4C">
              <w:rPr>
                <w:b/>
                <w:bCs/>
                <w:color w:val="000000"/>
                <w:sz w:val="24"/>
                <w:szCs w:val="24"/>
              </w:rPr>
              <w:t>AUTOMAŠINOS</w:t>
            </w:r>
          </w:p>
        </w:tc>
      </w:tr>
      <w:tr w:rsidR="001C4FE0" w:rsidRPr="00460D4C" w:rsidTr="000576F6">
        <w:trPr>
          <w:trHeight w:val="503"/>
        </w:trPr>
        <w:tc>
          <w:tcPr>
            <w:tcW w:w="9717" w:type="dxa"/>
            <w:gridSpan w:val="4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Lengvieji automobiliai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„Audi 80“ (valst. Nr. EZN 522)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„Audi 80“ (valst. Nr. EZN 522)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Berlingo“ (valst. Nr. KHR 032)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C3 Picasso“ (valst. Nr. MCO 885)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Nemo“ (valst. Nr. ETN 873)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Dokker“ (valst. Nr. KRR 871)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Dokker“ (valst. Nr. LMU 879)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Logan“ (valst. Nr. LNO 616)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Logan“ (valst. Nr. MCO 261)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„Fiat Doblo“ (valst. Nr. ECS 029)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Ranger“ (valst. Nr. LYC 574)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Ranger“ (valst. Nr. LYC 574)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„Opel Combo“ (valst. Nr. KSN 015)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„Peugeot Bipper“ (valst. Nr. LIT 780)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„Škoda Roomster“ (valst. Nr. KSV 729)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„Škoda Roomster“ (valst. Nr. LMF 967)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„Toyota Proace“ (valst. Nr. HCP 973)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Caddy“ (valst. Nr. HGJ 298)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Caddy“ (valst. Nr. HNH 419)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Golf“ (valst. Nr. JNJ 965)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1C4FE0" w:rsidRPr="00460D4C" w:rsidTr="000576F6">
        <w:trPr>
          <w:trHeight w:val="413"/>
        </w:trPr>
        <w:tc>
          <w:tcPr>
            <w:tcW w:w="9717" w:type="dxa"/>
            <w:gridSpan w:val="4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Mikroautobusai ir kitos transporto priemonės</w:t>
            </w:r>
            <w:r>
              <w:rPr>
                <w:color w:val="000000"/>
                <w:sz w:val="24"/>
                <w:szCs w:val="24"/>
              </w:rPr>
              <w:t xml:space="preserve"> ir įrengimai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„Fiat Scudo“ (valst. Nr. LUJ 071)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Tran</w:t>
            </w:r>
            <w:r w:rsidR="0040022B">
              <w:rPr>
                <w:color w:val="000000"/>
                <w:sz w:val="24"/>
                <w:szCs w:val="24"/>
              </w:rPr>
              <w:t>S</w:t>
            </w:r>
            <w:r w:rsidRPr="00460D4C">
              <w:rPr>
                <w:color w:val="000000"/>
                <w:sz w:val="24"/>
                <w:szCs w:val="24"/>
              </w:rPr>
              <w:t xml:space="preserve">it FT 33“ (valst. Nr. </w:t>
            </w:r>
            <w:r w:rsidR="00B46FA2">
              <w:rPr>
                <w:color w:val="000000"/>
                <w:sz w:val="24"/>
                <w:szCs w:val="24"/>
              </w:rPr>
              <w:t>GGK</w:t>
            </w:r>
            <w:r w:rsidRPr="00B46FA2">
              <w:rPr>
                <w:color w:val="000000"/>
                <w:sz w:val="24"/>
                <w:szCs w:val="24"/>
              </w:rPr>
              <w:t>149</w:t>
            </w:r>
            <w:r w:rsidRPr="00460D4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Tran</w:t>
            </w:r>
            <w:r w:rsidR="0040022B">
              <w:rPr>
                <w:color w:val="000000"/>
                <w:sz w:val="24"/>
                <w:szCs w:val="24"/>
              </w:rPr>
              <w:t>S</w:t>
            </w:r>
            <w:r w:rsidRPr="00460D4C">
              <w:rPr>
                <w:color w:val="000000"/>
                <w:sz w:val="24"/>
                <w:szCs w:val="24"/>
              </w:rPr>
              <w:t>it FT 33“ (valst. Nr.</w:t>
            </w:r>
            <w:r w:rsidR="00B46FA2">
              <w:rPr>
                <w:color w:val="000000"/>
                <w:sz w:val="24"/>
                <w:szCs w:val="24"/>
              </w:rPr>
              <w:t xml:space="preserve"> GGK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Pr="00B46FA2">
              <w:rPr>
                <w:color w:val="000000"/>
                <w:sz w:val="24"/>
                <w:szCs w:val="24"/>
              </w:rPr>
              <w:t>149</w:t>
            </w:r>
            <w:r w:rsidRPr="00460D4C">
              <w:rPr>
                <w:color w:val="000000"/>
                <w:sz w:val="24"/>
                <w:szCs w:val="24"/>
              </w:rPr>
              <w:t>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„Renault Traffic“ (valst. Nr. KMT 391)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Transporter“ (valst. Nr. GOF 974)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Transporter“ (valst. Nr. HAD 612)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„Man“ (valst. Nr. JNU 867)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0,99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B46FA2" w:rsidRDefault="001C4FE0" w:rsidP="000576F6">
            <w:pPr>
              <w:rPr>
                <w:color w:val="000000"/>
                <w:sz w:val="24"/>
                <w:szCs w:val="24"/>
              </w:rPr>
            </w:pPr>
            <w:r w:rsidRPr="00B46FA2">
              <w:rPr>
                <w:color w:val="000000"/>
                <w:sz w:val="24"/>
                <w:szCs w:val="24"/>
              </w:rPr>
              <w:t>Miniekskavatorius „Kubota U27-4“ (valst. Nr. C837S)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val.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22,72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Traktorius „MTZ 82“ (valst. Nr. LE 06-82)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val.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21,56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vejapjove „John Deer X748“ be žolės surinkimo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86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vejapjove „John Deer X748“ su žolės surinkimu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</w:t>
            </w:r>
            <w:r w:rsidRPr="00182314">
              <w:rPr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krūmapjove „Still“ be žolės surinkimo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3,7</w:t>
            </w:r>
            <w:r>
              <w:rPr>
                <w:sz w:val="24"/>
                <w:szCs w:val="24"/>
              </w:rPr>
              <w:t>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krūmapjove „Still“ su  žolės surinkimu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>6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b/>
                <w:bCs/>
                <w:color w:val="000000"/>
                <w:sz w:val="24"/>
                <w:szCs w:val="24"/>
              </w:rPr>
              <w:t>GATVIŲ APŠVIETIMO TINKLŲ PRIEŽIŪRA IR REMONTAS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DRL 250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DRL 125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70-75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100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59,08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150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59,8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400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61,24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Perdegusios  apšvietimo lempos metalo halogeno </w:t>
            </w:r>
            <w:r w:rsidR="000576F6">
              <w:rPr>
                <w:sz w:val="24"/>
                <w:szCs w:val="24"/>
              </w:rPr>
              <w:t xml:space="preserve">  </w:t>
            </w:r>
            <w:r w:rsidRPr="00460D4C">
              <w:rPr>
                <w:sz w:val="24"/>
                <w:szCs w:val="24"/>
              </w:rPr>
              <w:t>150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Perdegusios  apšvietimo lempos metalo halogeno </w:t>
            </w:r>
            <w:r w:rsidR="000576F6">
              <w:rPr>
                <w:sz w:val="24"/>
                <w:szCs w:val="24"/>
              </w:rPr>
              <w:t xml:space="preserve">   </w:t>
            </w:r>
            <w:r w:rsidRPr="00460D4C">
              <w:rPr>
                <w:sz w:val="24"/>
                <w:szCs w:val="24"/>
              </w:rPr>
              <w:t>70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Cinkuoto apšvietimo stulpo iki 8 m išmontavimas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348,07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iki 8 m pakeitimas, nekeičiant gelžbetoninio pamato ir gembės, darbai vykdomi be techninio darbo projekto ir topografinės nuotraukos sudarymo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578,04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nuo 8 m pakeitimas, nekeičiant gelžbetoninio pamato ir gembės, darbai vykdomi be techninio darbo projekto ir topografinės nuotraukos sudarymo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655,29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iki 8 m gelžbetoninio pamato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226,8</w:t>
            </w:r>
            <w:r>
              <w:rPr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nuo 8 m gelžbetoninio pamato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258,79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Gelžbetoninio elektros stulpo iki 11 m pastatymas su įžeminimo kont</w:t>
            </w:r>
            <w:r w:rsidR="0040022B">
              <w:rPr>
                <w:sz w:val="24"/>
                <w:szCs w:val="24"/>
              </w:rPr>
              <w:t>ū</w:t>
            </w:r>
            <w:r w:rsidRPr="00460D4C">
              <w:rPr>
                <w:sz w:val="24"/>
                <w:szCs w:val="24"/>
              </w:rPr>
              <w:t>ro įrengimu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</w:t>
            </w:r>
            <w:r w:rsidR="00B46FA2">
              <w:rPr>
                <w:color w:val="000000"/>
                <w:sz w:val="24"/>
                <w:szCs w:val="24"/>
              </w:rPr>
              <w:t xml:space="preserve"> </w:t>
            </w:r>
            <w:r w:rsidRPr="00460D4C">
              <w:rPr>
                <w:color w:val="000000"/>
                <w:sz w:val="24"/>
                <w:szCs w:val="24"/>
              </w:rPr>
              <w:t>066,72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Gelžbetoninio elektros stulpo išmontavimas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258,7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70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143,56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70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96,17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100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142,42</w:t>
            </w:r>
          </w:p>
        </w:tc>
      </w:tr>
      <w:tr w:rsidR="001C4FE0" w:rsidRPr="00460D4C" w:rsidTr="000576F6">
        <w:trPr>
          <w:trHeight w:val="39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100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96,17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150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147,68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150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107,81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30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151,38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30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111,52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2.24.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50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161,26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50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126,81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70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159,36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70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124,91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100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166,57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100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138,13</w:t>
            </w:r>
          </w:p>
        </w:tc>
      </w:tr>
      <w:tr w:rsidR="001C4FE0" w:rsidRPr="00460D4C" w:rsidTr="000576F6">
        <w:trPr>
          <w:trHeight w:val="6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2.30.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30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117,53</w:t>
            </w:r>
          </w:p>
        </w:tc>
      </w:tr>
      <w:tr w:rsidR="001C4FE0" w:rsidRPr="00460D4C" w:rsidTr="000576F6">
        <w:trPr>
          <w:trHeight w:val="6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2.31.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50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127,41</w:t>
            </w:r>
          </w:p>
        </w:tc>
      </w:tr>
      <w:tr w:rsidR="001C4FE0" w:rsidRPr="00460D4C" w:rsidTr="000576F6">
        <w:trPr>
          <w:trHeight w:val="30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2.32.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70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130,92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2.33.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100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138,13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išmontavimas nuo G/B ar metalinio stulpo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52,69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nuo G/B ar metalinio stulpo perkėlimas į kitą vietą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82,46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su natrio lempa ant G/B ar metalinio stulpo rekonstravimas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108,32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su natrio lempa arba LED šviestuvo paruošimas montavimui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41,33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metalinio stulpo iki 8 m dažymas su paviršiaus paruošimo darbais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66,22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perjungimas prie oro linijos ar oro kabelių linijos (nusid</w:t>
            </w:r>
            <w:r w:rsidR="000576F6">
              <w:rPr>
                <w:sz w:val="24"/>
                <w:szCs w:val="24"/>
              </w:rPr>
              <w:t>ė</w:t>
            </w:r>
            <w:r w:rsidRPr="00460D4C">
              <w:rPr>
                <w:sz w:val="24"/>
                <w:szCs w:val="24"/>
              </w:rPr>
              <w:t>vėjusių laidų keitimas)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ind w:left="-106" w:right="5"/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66,11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kronšteino 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87,13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Gatvių šviestuvo reguliuojamo lanksto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63,45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pakeitimas į rekonstruotą ŽKU-21 šviestuvą (kai esamas nėra tinkamas remont</w:t>
            </w:r>
            <w:r w:rsidR="000576F6">
              <w:rPr>
                <w:sz w:val="24"/>
                <w:szCs w:val="24"/>
              </w:rPr>
              <w:t>uoti</w:t>
            </w:r>
            <w:r w:rsidRPr="00460D4C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92,99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valdymo skydo įvadinio kabelio paskirstymo gnybtų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57,49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Tranšėjos iki 1 m gylio ir 5 m ilgio kasimas kabelių linijos remonto darbams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87,92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Tranšėjos 5 m ilgio užpylimas gruntu, tankinimas, vejos sėjimas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103,46</w:t>
            </w:r>
          </w:p>
        </w:tc>
      </w:tr>
      <w:tr w:rsidR="001C4FE0" w:rsidRPr="00460D4C" w:rsidTr="000576F6">
        <w:trPr>
          <w:trHeight w:val="73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2.46.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Keturgyslio aliuminio kabelio iki 16 mm² remontas paruoštoje tranšėjoje, montuojant 2 jungiamąsias movas su kabelio intarp</w:t>
            </w:r>
            <w:r w:rsidR="000576F6">
              <w:rPr>
                <w:color w:val="000000"/>
                <w:sz w:val="24"/>
                <w:szCs w:val="24"/>
              </w:rPr>
              <w:t>u</w:t>
            </w:r>
            <w:r w:rsidRPr="00460D4C">
              <w:rPr>
                <w:color w:val="000000"/>
                <w:sz w:val="24"/>
                <w:szCs w:val="24"/>
              </w:rPr>
              <w:t xml:space="preserve"> iki 3 m ilgio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125,02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2.47.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Keturgyslio aliuminio kabelio iki 16 mm² paruoštoje tranšėjoje sumontavimas, kai papildomas ilgis 1 m (prie esamo kabelio),  montuojant jungiamąją movą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80,16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2.48.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Aliuminio kabelio 1 m ( 5x16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37,23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2.49.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Varinio kabelio 1 m ( 5x16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42,61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2.50.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Varinio kabelio 1 m (4x4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35,78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2.51.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vienfazės oro linijos 100 m  keitimas į oro kabelių liniją 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2.52.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trifazės oro linijos 100 m  keitimas į oro kabelių liniją AMKA 3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401,21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2.53.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Oro kabelių linijos 100 m montavimas </w:t>
            </w:r>
            <w:r w:rsidR="000576F6">
              <w:rPr>
                <w:color w:val="000000"/>
                <w:sz w:val="24"/>
                <w:szCs w:val="24"/>
              </w:rPr>
              <w:t xml:space="preserve">              </w:t>
            </w:r>
            <w:r w:rsidRPr="00460D4C">
              <w:rPr>
                <w:color w:val="000000"/>
                <w:sz w:val="24"/>
                <w:szCs w:val="24"/>
              </w:rPr>
              <w:t>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353,49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2.54.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Oro kabelių linijos 100 m montavimas AMKA 3 x 16 + 26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377,18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Tarp dviejų G/B oro linijos atramų nutraukto/pažeisto laido pakeitimas į 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2.56.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Laido APV 1x16 100 m montavimas oro linijoje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157,55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2.57.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Metalinių paviršių 1 m</w:t>
            </w:r>
            <w:r w:rsidRPr="000576F6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460D4C">
              <w:rPr>
                <w:color w:val="000000"/>
                <w:sz w:val="24"/>
                <w:szCs w:val="24"/>
              </w:rPr>
              <w:t xml:space="preserve"> dažymas su paviršiaus paruošimo darbais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m</w:t>
            </w:r>
            <w:r w:rsidRPr="0040022B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55,10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valdymo skydo sumontavimas (arba keičiant nauju) prijungiant prie g/b oro linijos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431,52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valdymo skydo (kai skydas nekeičiamas) vidaus dalių rekonstravimas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257,78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2.60.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Apsaugos nuo viršįtampių (viršįtampio ribotuvų)  sumontavimas oro linijoje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132,60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2.61.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Kabelių lovio žemos įtampos kabeliams uždengti sumontavimas be įžeminimo kontūro įrengimo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142,07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2.62.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Gedimo apšvietimo tinkle  oro /oro kabelių /kabelių linijose nustatymas, likvidavimas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88,26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2.63.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Oro linijos 1 m laido remontas (nutraukto/pažeisto)</w:t>
            </w:r>
            <w:r w:rsidR="000576F6">
              <w:rPr>
                <w:color w:val="000000"/>
                <w:sz w:val="24"/>
                <w:szCs w:val="24"/>
              </w:rPr>
              <w:t>,</w:t>
            </w:r>
            <w:r w:rsidRPr="00460D4C">
              <w:rPr>
                <w:color w:val="000000"/>
                <w:sz w:val="24"/>
                <w:szCs w:val="24"/>
              </w:rPr>
              <w:t xml:space="preserve"> kai nėra galimybės keisti į oro kabelių liniją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111,53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Įžeminimo kontūro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153,25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valdymo skydo elektrotechninis žymėjimas trafaretu antikoroziniais dažais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45,86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2.66.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g/b stulpų  elektrotechninis žymėjimas šlifuojant paviršių, dažant trafaretu emalės dažais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45,78</w:t>
            </w:r>
          </w:p>
        </w:tc>
      </w:tr>
      <w:tr w:rsidR="001C4FE0" w:rsidRPr="00460D4C" w:rsidTr="000576F6">
        <w:trPr>
          <w:trHeight w:val="7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2.67.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metalinių ar met. cinkuotų stulpų elektrotechninis žymėjimas IP 65 lipdukais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34,44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2.68.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g/b stulpų įžeminimo kontūro įrengimas ir sujungimas plieno viela ne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 xml:space="preserve">mažiau </w:t>
            </w:r>
            <w:r w:rsidR="00623D93">
              <w:rPr>
                <w:sz w:val="24"/>
                <w:szCs w:val="24"/>
              </w:rPr>
              <w:t xml:space="preserve">kaip </w:t>
            </w:r>
            <w:r w:rsidRPr="00460D4C">
              <w:rPr>
                <w:sz w:val="24"/>
                <w:szCs w:val="24"/>
              </w:rPr>
              <w:t xml:space="preserve">8 mm su oro linijos traversa naujų šviestuvų montavimui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211,74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2.69.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Gadralizdžio platformos GL-1 tipo įrengimas ant apšvietimo G/B stulpų su įžeminimo kontūro įrengimu ir sujungimu  plieno viena ne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 xml:space="preserve">mažiau </w:t>
            </w:r>
            <w:r w:rsidR="00623D93">
              <w:rPr>
                <w:sz w:val="24"/>
                <w:szCs w:val="24"/>
              </w:rPr>
              <w:t xml:space="preserve">kaip </w:t>
            </w:r>
            <w:r w:rsidRPr="00460D4C">
              <w:rPr>
                <w:sz w:val="24"/>
                <w:szCs w:val="24"/>
              </w:rPr>
              <w:t xml:space="preserve">6mm su GL-1 platforma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401,12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2.70.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valdymo skydo esamos spynos montavimas įrengiant elektrotechninę spyną apsaugai nuo pašalinių asmenų patekimo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42,7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2.71.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valdymo skydo esamos spynos rekonstravimas įrengiant elektrotechninę spyną apsaugai nuo pašalinių asmenų patekimo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43,83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oro linijos gnybtų perjungimas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58,11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2.73.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oro linijos atšakinio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/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kampinio laidų permetimo ar galinio rišimo 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60,06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2.74.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Šventinių renginių elektrifikavimas naudojant alkūninį keltuvą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58,69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2.75.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Šventinių renginių elektrifikavimas be alkūninio keltuvo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50,90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2.76.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1F automatinių jungiklių pakeitimas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46,92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2.77.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3F automatinių jungiklių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53,40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Kontaktoriaus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55,47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Fotor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lės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64,37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2.80.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Elektromechaninės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lės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47,89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Astronominių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 xml:space="preserve">lių I kontakto montavimas vietoje elektromechaninių laikrodžių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120,23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Astronominių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 xml:space="preserve">lių II kontaktų montavimas vietoje elektromechaninių laikrodžių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149,60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2.83.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linijų ir valdymo skydų (visų) mėnesinė profilaktinė priežiūra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2.84.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Elektros skaitiklių rodmenų nurašymas (už einamą</w:t>
            </w:r>
            <w:r w:rsidR="007676BD">
              <w:rPr>
                <w:color w:val="000000"/>
                <w:sz w:val="24"/>
                <w:szCs w:val="24"/>
              </w:rPr>
              <w:t>jį</w:t>
            </w:r>
            <w:r w:rsidRPr="00460D4C">
              <w:rPr>
                <w:color w:val="000000"/>
                <w:sz w:val="24"/>
                <w:szCs w:val="24"/>
              </w:rPr>
              <w:t xml:space="preserve"> kalendorinį mėnesį)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5,97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2.85.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Atsiskaitymas už sunaudotą elektros energiją ir elektros energijos persiuntimo paslaugas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Vienkartinis apšvietimo įrenginių įjungimas (išjungimas) arba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lių parametrų perderinimas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38,88</w:t>
            </w:r>
          </w:p>
        </w:tc>
      </w:tr>
      <w:tr w:rsidR="001C4FE0" w:rsidRPr="00460D4C" w:rsidTr="000576F6">
        <w:trPr>
          <w:trHeight w:val="37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įrenginių įjungimas (išjungimas) arba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lių parametrų perderinimas apšvietimo sezonui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5,97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88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(iki 4 šakų) ir jų išvežimas 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94,18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60D4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(iki 4 šakų)  be išvežimo </w:t>
            </w:r>
            <w:r w:rsidR="000576F6">
              <w:rPr>
                <w:color w:val="000000"/>
                <w:sz w:val="24"/>
                <w:szCs w:val="24"/>
              </w:rPr>
              <w:t xml:space="preserve">   </w:t>
            </w:r>
            <w:r w:rsidR="00623D93">
              <w:rPr>
                <w:color w:val="000000"/>
                <w:sz w:val="24"/>
                <w:szCs w:val="24"/>
              </w:rPr>
              <w:t xml:space="preserve"> 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4 iki 8 šakų) ir jų išvežimas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="000576F6"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103,75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4 iki 8 šakų) be išvežimo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="000576F6"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79,71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8 šakų) ir jų išvežimas </w:t>
            </w:r>
            <w:r w:rsidR="00A11358">
              <w:rPr>
                <w:color w:val="000000"/>
                <w:sz w:val="24"/>
                <w:szCs w:val="24"/>
              </w:rPr>
              <w:t>(</w:t>
            </w:r>
            <w:r w:rsidR="00A11358" w:rsidRPr="00460D4C">
              <w:rPr>
                <w:color w:val="000000"/>
                <w:sz w:val="24"/>
                <w:szCs w:val="24"/>
              </w:rPr>
              <w:t>1 med</w:t>
            </w:r>
            <w:r w:rsidR="00A11358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129,14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8 šakų) be išvežimo </w:t>
            </w:r>
            <w:r w:rsidR="00A11358">
              <w:rPr>
                <w:color w:val="000000"/>
                <w:sz w:val="24"/>
                <w:szCs w:val="24"/>
              </w:rPr>
              <w:t>(</w:t>
            </w:r>
            <w:r w:rsidR="00A11358" w:rsidRPr="00460D4C">
              <w:rPr>
                <w:color w:val="000000"/>
                <w:sz w:val="24"/>
                <w:szCs w:val="24"/>
              </w:rPr>
              <w:t>1 med</w:t>
            </w:r>
            <w:r w:rsidR="00A11358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95,05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(vieno) medžio nupjovimas (iki 25 cm storio ir iki 8 m aukščio)</w:t>
            </w:r>
            <w:r w:rsidR="00A11358">
              <w:rPr>
                <w:color w:val="000000"/>
                <w:sz w:val="24"/>
                <w:szCs w:val="24"/>
              </w:rPr>
              <w:t xml:space="preserve"> ir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="00A11358" w:rsidRPr="00460D4C">
              <w:rPr>
                <w:color w:val="000000"/>
                <w:sz w:val="24"/>
                <w:szCs w:val="24"/>
              </w:rPr>
              <w:t>darbo viet</w:t>
            </w:r>
            <w:r w:rsidR="00A11358">
              <w:rPr>
                <w:color w:val="000000"/>
                <w:sz w:val="24"/>
                <w:szCs w:val="24"/>
              </w:rPr>
              <w:t xml:space="preserve">os </w:t>
            </w:r>
            <w:r w:rsidRPr="00460D4C">
              <w:rPr>
                <w:color w:val="000000"/>
                <w:sz w:val="24"/>
                <w:szCs w:val="24"/>
              </w:rPr>
              <w:t>sutvark</w:t>
            </w:r>
            <w:r w:rsidR="00A11358">
              <w:rPr>
                <w:color w:val="000000"/>
                <w:sz w:val="24"/>
                <w:szCs w:val="24"/>
              </w:rPr>
              <w:t>ymo darbai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280,62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1 (vieno) medžio nupjovimas (iki 25 cm storio ir iki 8 m aukščio) be darbo vietos </w:t>
            </w:r>
            <w:r w:rsidR="00A11358">
              <w:rPr>
                <w:color w:val="000000"/>
                <w:sz w:val="24"/>
                <w:szCs w:val="24"/>
              </w:rPr>
              <w:t>su</w:t>
            </w:r>
            <w:r w:rsidRPr="00460D4C">
              <w:rPr>
                <w:color w:val="000000"/>
                <w:sz w:val="24"/>
                <w:szCs w:val="24"/>
              </w:rPr>
              <w:t>tvarkymo darbų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178,27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(vieno) medžio nupjovimas (nuo 25 cm storio ir nuo 8 m aukščio)</w:t>
            </w:r>
            <w:r w:rsidR="00A11358">
              <w:rPr>
                <w:color w:val="000000"/>
                <w:sz w:val="24"/>
                <w:szCs w:val="24"/>
              </w:rPr>
              <w:t xml:space="preserve"> ir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="00A11358" w:rsidRPr="00460D4C">
              <w:rPr>
                <w:color w:val="000000"/>
                <w:sz w:val="24"/>
                <w:szCs w:val="24"/>
              </w:rPr>
              <w:t>darbo viet</w:t>
            </w:r>
            <w:r w:rsidR="00A11358">
              <w:rPr>
                <w:color w:val="000000"/>
                <w:sz w:val="24"/>
                <w:szCs w:val="24"/>
              </w:rPr>
              <w:t>os</w:t>
            </w:r>
            <w:r w:rsidR="00A11358" w:rsidRPr="00460D4C">
              <w:rPr>
                <w:color w:val="000000"/>
                <w:sz w:val="24"/>
                <w:szCs w:val="24"/>
              </w:rPr>
              <w:t xml:space="preserve"> </w:t>
            </w:r>
            <w:r w:rsidRPr="00460D4C">
              <w:rPr>
                <w:color w:val="000000"/>
                <w:sz w:val="24"/>
                <w:szCs w:val="24"/>
              </w:rPr>
              <w:t>sutvark</w:t>
            </w:r>
            <w:r w:rsidR="00A11358">
              <w:rPr>
                <w:color w:val="000000"/>
                <w:sz w:val="24"/>
                <w:szCs w:val="24"/>
              </w:rPr>
              <w:t>ymo darbai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516,79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1 (vieno) medžio nupjovimas (nuo 25 cm storio ir nuo 8 m aukščio) be darbo vietos </w:t>
            </w:r>
            <w:r w:rsidR="00A11358">
              <w:rPr>
                <w:color w:val="000000"/>
                <w:sz w:val="24"/>
                <w:szCs w:val="24"/>
              </w:rPr>
              <w:t>su</w:t>
            </w:r>
            <w:r w:rsidRPr="00460D4C">
              <w:rPr>
                <w:color w:val="000000"/>
                <w:sz w:val="24"/>
                <w:szCs w:val="24"/>
              </w:rPr>
              <w:t>tvarkymo darbų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307,04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Metalinio apšvietimo stulpo ar jo pamato tiesinimas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36,08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460D4C">
              <w:rPr>
                <w:b/>
                <w:bCs/>
                <w:sz w:val="24"/>
                <w:szCs w:val="24"/>
              </w:rPr>
              <w:t>ELEKTROFIZINIAI MATAVIMAI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Grandinės nuo įžemintuvų (įnulinimo magistralės) iki įžeminamų (įnulinamų) elementų tikrinima</w:t>
            </w:r>
            <w:r w:rsidR="00A11358">
              <w:rPr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574130">
              <w:rPr>
                <w:sz w:val="24"/>
                <w:szCs w:val="24"/>
              </w:rPr>
              <w:t>Iki  1</w:t>
            </w:r>
            <w:r w:rsidR="00A11358">
              <w:rPr>
                <w:sz w:val="24"/>
                <w:szCs w:val="24"/>
              </w:rPr>
              <w:t xml:space="preserve"> </w:t>
            </w:r>
            <w:r w:rsidRPr="00574130">
              <w:rPr>
                <w:sz w:val="24"/>
                <w:szCs w:val="24"/>
              </w:rPr>
              <w:t>000 V įtampos kabelių ir instaliacijos varžos matavimas. Elektros plytų kaitinimo elementų izoliacijos matavimas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Pilnosios varžos  fazė-nulis 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Įžeminimo įrenginio varžos matavimas</w:t>
            </w:r>
            <w:r w:rsidR="00A11358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(įžeminimo kontūro)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Nuot</w:t>
            </w:r>
            <w:r w:rsidR="00A11358">
              <w:rPr>
                <w:sz w:val="24"/>
                <w:szCs w:val="24"/>
              </w:rPr>
              <w:t>ė</w:t>
            </w:r>
            <w:r w:rsidRPr="00460D4C">
              <w:rPr>
                <w:sz w:val="24"/>
                <w:szCs w:val="24"/>
              </w:rPr>
              <w:t>kio srovės r</w:t>
            </w:r>
            <w:r w:rsidR="00623D93">
              <w:rPr>
                <w:sz w:val="24"/>
                <w:szCs w:val="24"/>
              </w:rPr>
              <w:t>e</w:t>
            </w:r>
            <w:r w:rsidRPr="00460D4C">
              <w:rPr>
                <w:sz w:val="24"/>
                <w:szCs w:val="24"/>
              </w:rPr>
              <w:t>lių kontaktų įtampos, atsijungimo srovės bei laiko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3.9.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 xml:space="preserve">Vartotojų, kuriems </w:t>
            </w:r>
            <w:r w:rsidR="00E964A7" w:rsidRPr="008F4A4C">
              <w:rPr>
                <w:sz w:val="24"/>
                <w:szCs w:val="24"/>
              </w:rPr>
              <w:t xml:space="preserve">elektros energija </w:t>
            </w:r>
            <w:r w:rsidRPr="008F4A4C">
              <w:rPr>
                <w:sz w:val="24"/>
                <w:szCs w:val="24"/>
              </w:rPr>
              <w:t>teikiama per kontrolines apskaitas, duomenų nurašymo paslauga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apskaitos taškas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6,07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460D4C">
              <w:rPr>
                <w:b/>
                <w:bCs/>
                <w:sz w:val="24"/>
                <w:szCs w:val="24"/>
              </w:rPr>
              <w:t>GERIAMOJO VANDENS TIEKIMAS IR NUOTEKŲ TVARKYMAS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Plombos nuėmimas nuo geriamojo vandens apskaitos prietaiso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17,55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Geriamojo vandens apskaitos prietaiso užplombavimas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17,89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Laikinas geriamojo vandens atjungimas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32,44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Geriamojo vandens p</w:t>
            </w:r>
            <w:r w:rsidR="00E964A7">
              <w:rPr>
                <w:sz w:val="24"/>
                <w:szCs w:val="24"/>
              </w:rPr>
              <w:t>ri</w:t>
            </w:r>
            <w:r w:rsidRPr="00105DDC">
              <w:rPr>
                <w:sz w:val="24"/>
                <w:szCs w:val="24"/>
              </w:rPr>
              <w:t>jungimas po laikino atjungimo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26,15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Įstaigos</w:t>
            </w:r>
            <w:r w:rsidRPr="00105DDC">
              <w:rPr>
                <w:sz w:val="24"/>
                <w:szCs w:val="24"/>
              </w:rPr>
              <w:t xml:space="preserve"> atstovo iškvietimas į vandentiekio įvadų, fekalinių nuotekų pridavimo darbų vietą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19,48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692C34">
              <w:rPr>
                <w:sz w:val="24"/>
                <w:szCs w:val="24"/>
              </w:rPr>
              <w:t xml:space="preserve">Buitinių </w:t>
            </w:r>
            <w:r w:rsidRPr="00105DDC">
              <w:rPr>
                <w:sz w:val="24"/>
                <w:szCs w:val="24"/>
              </w:rPr>
              <w:t>nuotekų rezervuaro asenizacijos paslauga (be transportavimo)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m³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6,73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 xml:space="preserve">Lauko ir </w:t>
            </w:r>
            <w:r>
              <w:rPr>
                <w:sz w:val="24"/>
                <w:szCs w:val="24"/>
              </w:rPr>
              <w:t>bio</w:t>
            </w:r>
            <w:r w:rsidRPr="00105DDC">
              <w:rPr>
                <w:sz w:val="24"/>
                <w:szCs w:val="24"/>
              </w:rPr>
              <w:t>tualeto asenizacijos paslauga (be transportavimo)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44,78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38,51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46,11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53,71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61,31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68,91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 išardymas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Klozeto indo su tiesiogiai sujungtu bakeliu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Įstaigos darbuotojo nuvykimas į objektą darbų kainai įvertinti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19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Sąmatos-pasiūlymo parengimas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4.2</w:t>
            </w:r>
            <w:r>
              <w:rPr>
                <w:sz w:val="24"/>
                <w:szCs w:val="24"/>
              </w:rPr>
              <w:t>0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1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2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76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 išardymas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29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Klozeto indo su tiesiogiai sujungtu bakeliu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30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1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00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2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20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poilsio ar švenčių dienomis arba nakties metu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25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išardymas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Klozeto indo su tiesiogiai sujungtu bakeliu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lastRenderedPageBreak/>
              <w:t>4.4</w:t>
            </w:r>
            <w:r>
              <w:rPr>
                <w:sz w:val="24"/>
                <w:szCs w:val="24"/>
              </w:rPr>
              <w:t>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15DN </w:t>
            </w:r>
            <w:r w:rsidR="00E964A7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1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20DN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94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2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DN15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3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vartotojo prašymu atliekamas vandens apskaitos prietaiso pakeitimas pastato įvade dėl neeilinės apskaitos prietaiso patikros DN20 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4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20DN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5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32DN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46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282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47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 Dėl vartotojo ar abonento kaltės sugadinto buitinio vandens apskaitos prietaiso 15DN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 xml:space="preserve">darbo dienomis po darbo valandų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48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20DN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DN15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DN20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59</w:t>
            </w:r>
          </w:p>
        </w:tc>
      </w:tr>
      <w:tr w:rsidR="001C4FE0" w:rsidRPr="00460D4C" w:rsidTr="000576F6">
        <w:trPr>
          <w:trHeight w:val="620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1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20DN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69</w:t>
            </w:r>
          </w:p>
        </w:tc>
      </w:tr>
      <w:tr w:rsidR="001C4FE0" w:rsidRPr="00460D4C" w:rsidTr="000576F6">
        <w:trPr>
          <w:trHeight w:val="692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2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32DN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62</w:t>
            </w:r>
          </w:p>
        </w:tc>
      </w:tr>
      <w:tr w:rsidR="001C4FE0" w:rsidRPr="00460D4C" w:rsidTr="000576F6">
        <w:trPr>
          <w:trHeight w:val="692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53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82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54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 Dėl vartotojo ar abonento kaltės sugadinto buitinio vandens apskaitos prietaiso 15DN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poilsio ar švenčių dienomis arba nakties metu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55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Dėl vartotojo ar abonento kaltės sugadinto buitinio vandens apskaitos prietaiso 20DN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90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56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Abonento/vartotojo prašymu atliekamas vandens apskaitos prietaiso pakeitimas pastato įvade dėl neeilinės apskaitos prietaiso patikros DN15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57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Abonento/vartotojo prašymu atliekamas vandens apskaitos prietaiso pakeitimas pastato įvade dėl neeilinės apskaitos prietaiso patikros DN20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58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Ventilių, vožtuvų iki 20DN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28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Ventilių, vožtuvų iki 32DN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52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484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88</w:t>
            </w:r>
          </w:p>
        </w:tc>
      </w:tr>
      <w:tr w:rsidR="001C4FE0" w:rsidRPr="00460D4C" w:rsidTr="000576F6">
        <w:trPr>
          <w:trHeight w:val="547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713FBD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13FBD">
              <w:rPr>
                <w:b/>
                <w:bCs/>
                <w:sz w:val="24"/>
                <w:szCs w:val="24"/>
              </w:rPr>
              <w:t>ŠILDYMO SISTEMŲ BANDYMAS IR PLOVIMAS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Automatizuoto šilumos mazgo hidrauliniai bandymai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5.2.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>šildymo</w:t>
            </w:r>
            <w:r w:rsidRPr="00262F6D">
              <w:rPr>
                <w:color w:val="000000"/>
                <w:sz w:val="24"/>
                <w:szCs w:val="24"/>
              </w:rPr>
              <w:t xml:space="preserve"> sistemos iki 12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96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30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sz w:val="24"/>
                <w:szCs w:val="24"/>
              </w:rPr>
              <w:t>5.4.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60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57,39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sz w:val="24"/>
                <w:szCs w:val="24"/>
              </w:rPr>
              <w:t>5.5.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 80 butų ir daugiau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77,68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5.6.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sistemų iki 1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000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m</w:t>
            </w:r>
            <w:r w:rsidRPr="00713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8039C6" w:rsidRPr="00713FBD">
              <w:rPr>
                <w:color w:val="000000"/>
                <w:sz w:val="24"/>
                <w:szCs w:val="24"/>
              </w:rPr>
              <w:t xml:space="preserve"> plovimas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06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5.7.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sistemų iki 3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000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m</w:t>
            </w:r>
            <w:r w:rsidRPr="00713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8039C6" w:rsidRPr="00713FBD">
              <w:rPr>
                <w:color w:val="000000"/>
                <w:sz w:val="24"/>
                <w:szCs w:val="24"/>
              </w:rPr>
              <w:t xml:space="preserve"> plovimas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sistemos nudrenavimas ir užpildymas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5.9.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B46FA2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 xml:space="preserve">Pastato šildymo ir karšto vandens sistemos vieno stovo drenavimas ir </w:t>
            </w:r>
            <w:r w:rsidR="00262F6D" w:rsidRPr="00262F6D">
              <w:rPr>
                <w:sz w:val="24"/>
                <w:szCs w:val="24"/>
              </w:rPr>
              <w:t xml:space="preserve"> </w:t>
            </w:r>
            <w:r w:rsidR="00262F6D" w:rsidRPr="00B46FA2">
              <w:rPr>
                <w:sz w:val="24"/>
                <w:szCs w:val="24"/>
              </w:rPr>
              <w:t>užpildymas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C4FE0" w:rsidRPr="00460D4C" w:rsidTr="000576F6">
        <w:trPr>
          <w:trHeight w:val="458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1C4FE0" w:rsidRPr="002643CB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43CB">
              <w:rPr>
                <w:b/>
                <w:bCs/>
                <w:color w:val="000000"/>
                <w:sz w:val="24"/>
                <w:szCs w:val="24"/>
              </w:rPr>
              <w:t>PATALPŲ DEZINFEKAVIMAS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6.1.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8039C6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7.30–16.30 val</w:t>
            </w:r>
            <w:r w:rsidR="008039C6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0,193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6.2.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E964A7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16.30–22.00, 6.00–7.30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0,259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6.3.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E964A7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22.00–6.00 val</w:t>
            </w:r>
            <w:r w:rsidR="00E964A7" w:rsidRPr="00E964A7">
              <w:rPr>
                <w:sz w:val="24"/>
                <w:szCs w:val="24"/>
              </w:rPr>
              <w:t>.</w:t>
            </w:r>
            <w:r w:rsidRPr="00E964A7">
              <w:rPr>
                <w:sz w:val="24"/>
                <w:szCs w:val="24"/>
              </w:rPr>
              <w:t>, poilsio ir švenčių dienomis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0,324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6.4.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7.30–16.30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462A6">
              <w:rPr>
                <w:color w:val="000000"/>
                <w:sz w:val="24"/>
                <w:szCs w:val="24"/>
              </w:rPr>
              <w:t>0,105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6.5.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16.30–22.00, 6.00–7.30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0,127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6.6.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22.00–6.00 val</w:t>
            </w:r>
            <w:r w:rsidR="00E964A7" w:rsidRPr="00E964A7">
              <w:rPr>
                <w:sz w:val="24"/>
                <w:szCs w:val="24"/>
              </w:rPr>
              <w:t>.</w:t>
            </w:r>
            <w:r w:rsidRPr="00E964A7">
              <w:rPr>
                <w:sz w:val="24"/>
                <w:szCs w:val="24"/>
              </w:rPr>
              <w:t>, poilsio ir švenčių dienomis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0,149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7.30–16.30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0,079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6.8.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16.30–22.00, 6.00–7.30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0,087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6.9.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22.00–6.00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  <w:r w:rsidRPr="006462A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poilsio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švenčių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0,096</w:t>
            </w:r>
          </w:p>
        </w:tc>
      </w:tr>
      <w:tr w:rsidR="001C4FE0" w:rsidRPr="00460D4C" w:rsidTr="000576F6">
        <w:trPr>
          <w:trHeight w:val="458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1C4FE0" w:rsidRPr="002643CB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KITOS PASLAUGOS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462A6">
              <w:rPr>
                <w:sz w:val="24"/>
                <w:szCs w:val="24"/>
              </w:rPr>
              <w:t>.1.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9977BF" w:rsidRDefault="001C4FE0" w:rsidP="000576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Daugiabučių namų atnaujinimo (modernizavimo) kredito administravimo mokestis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03</w:t>
            </w:r>
          </w:p>
        </w:tc>
      </w:tr>
    </w:tbl>
    <w:p w:rsidR="001C4FE0" w:rsidRPr="00460D4C" w:rsidRDefault="001C4FE0" w:rsidP="001C4FE0">
      <w:pPr>
        <w:jc w:val="both"/>
        <w:rPr>
          <w:b/>
          <w:bCs/>
          <w:sz w:val="24"/>
          <w:szCs w:val="24"/>
        </w:rPr>
      </w:pPr>
    </w:p>
    <w:p w:rsidR="00B41DD3" w:rsidRPr="00F21027" w:rsidRDefault="00B41DD3" w:rsidP="00B41DD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C03666" w:rsidRDefault="00C03666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sectPr w:rsidR="00B373CB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6A45"/>
    <w:multiLevelType w:val="hybridMultilevel"/>
    <w:tmpl w:val="83CA7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B62A0"/>
    <w:multiLevelType w:val="hybridMultilevel"/>
    <w:tmpl w:val="F7869838"/>
    <w:lvl w:ilvl="0" w:tplc="C7266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576F6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C4FE0"/>
    <w:rsid w:val="001D3C7D"/>
    <w:rsid w:val="001F0AA0"/>
    <w:rsid w:val="00214E05"/>
    <w:rsid w:val="00230FCF"/>
    <w:rsid w:val="00262F6D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022B"/>
    <w:rsid w:val="004043DB"/>
    <w:rsid w:val="004324B3"/>
    <w:rsid w:val="004556EA"/>
    <w:rsid w:val="0047321D"/>
    <w:rsid w:val="004804D8"/>
    <w:rsid w:val="004B45B3"/>
    <w:rsid w:val="004C7A76"/>
    <w:rsid w:val="004D5AAA"/>
    <w:rsid w:val="00526569"/>
    <w:rsid w:val="0053376B"/>
    <w:rsid w:val="00536707"/>
    <w:rsid w:val="0054203E"/>
    <w:rsid w:val="00542573"/>
    <w:rsid w:val="00565338"/>
    <w:rsid w:val="005C69F8"/>
    <w:rsid w:val="006213A1"/>
    <w:rsid w:val="00622EEC"/>
    <w:rsid w:val="00623D93"/>
    <w:rsid w:val="00634E7E"/>
    <w:rsid w:val="00645523"/>
    <w:rsid w:val="00694AA1"/>
    <w:rsid w:val="006A1318"/>
    <w:rsid w:val="006B2DD0"/>
    <w:rsid w:val="006B3854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676BD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7E556B"/>
    <w:rsid w:val="00800AA3"/>
    <w:rsid w:val="008018DF"/>
    <w:rsid w:val="008039C6"/>
    <w:rsid w:val="00807BAB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E07D2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93869"/>
    <w:rsid w:val="009A3D9A"/>
    <w:rsid w:val="009A6A5C"/>
    <w:rsid w:val="009B48F0"/>
    <w:rsid w:val="009C2F38"/>
    <w:rsid w:val="009C4398"/>
    <w:rsid w:val="009F269B"/>
    <w:rsid w:val="009F3640"/>
    <w:rsid w:val="00A00271"/>
    <w:rsid w:val="00A11358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373CB"/>
    <w:rsid w:val="00B41DD3"/>
    <w:rsid w:val="00B46FA2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3049"/>
    <w:rsid w:val="00BF3E8D"/>
    <w:rsid w:val="00BF505B"/>
    <w:rsid w:val="00C015D5"/>
    <w:rsid w:val="00C02B83"/>
    <w:rsid w:val="00C03666"/>
    <w:rsid w:val="00C04058"/>
    <w:rsid w:val="00C1076A"/>
    <w:rsid w:val="00C1421D"/>
    <w:rsid w:val="00C17916"/>
    <w:rsid w:val="00C40233"/>
    <w:rsid w:val="00C70071"/>
    <w:rsid w:val="00CA5EC6"/>
    <w:rsid w:val="00CC0DF3"/>
    <w:rsid w:val="00D0343E"/>
    <w:rsid w:val="00D04355"/>
    <w:rsid w:val="00D05789"/>
    <w:rsid w:val="00D07B48"/>
    <w:rsid w:val="00D2084D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17DFF"/>
    <w:rsid w:val="00E20D25"/>
    <w:rsid w:val="00E278D4"/>
    <w:rsid w:val="00E74985"/>
    <w:rsid w:val="00E750D1"/>
    <w:rsid w:val="00E90BF8"/>
    <w:rsid w:val="00E964A7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A6C3F"/>
    <w:rsid w:val="00FB1C10"/>
    <w:rsid w:val="00FC2E52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paragraph" w:styleId="Sraopastraipa">
    <w:name w:val="List Paragraph"/>
    <w:basedOn w:val="prastasis"/>
    <w:uiPriority w:val="34"/>
    <w:qFormat/>
    <w:rsid w:val="00C03666"/>
    <w:pPr>
      <w:ind w:left="720"/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7BAB"/>
    <w:rPr>
      <w:rFonts w:asciiTheme="minorHAnsi" w:eastAsiaTheme="minorHAnsi" w:hAnsiTheme="minorHAnsi" w:cstheme="minorBidi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7BAB"/>
    <w:pPr>
      <w:suppressAutoHyphens w:val="0"/>
      <w:spacing w:after="160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7BAB"/>
    <w:rPr>
      <w:rFonts w:asciiTheme="minorHAnsi" w:eastAsiaTheme="minorHAnsi" w:hAnsiTheme="minorHAnsi" w:cstheme="minorBidi"/>
      <w:b/>
      <w:bCs/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7BAB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4F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5E0A-7E02-4F1A-AB73-87487131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15052</Words>
  <Characters>8581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2022-06-16T10:11:00Z</cp:lastPrinted>
  <dcterms:created xsi:type="dcterms:W3CDTF">2022-06-16T10:12:00Z</dcterms:created>
  <dcterms:modified xsi:type="dcterms:W3CDTF">2022-06-16T10:12:00Z</dcterms:modified>
</cp:coreProperties>
</file>