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553" w:rsidRDefault="00983AC6">
      <w:pPr>
        <w:pStyle w:val="Pagrindiniotekstotrauka"/>
        <w:ind w:left="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7728;visibility:hidden">
            <o:lock v:ext="edit" selection="t"/>
          </v:shape>
        </w:pict>
      </w:r>
      <w:r w:rsidR="00241219">
        <w:object w:dxaOrig="855" w:dyaOrig="1020">
          <v:shape id="ole_rId2" o:spid="_x0000_i1025" type="#_x0000_t75" style="width:42.75pt;height:51pt;visibility:visible;mso-wrap-distance-right:0" o:ole="">
            <v:imagedata r:id="rId7" o:title=""/>
          </v:shape>
          <o:OLEObject Type="Embed" ProgID="PI3.Image" ShapeID="ole_rId2" DrawAspect="Content" ObjectID="_1710242287" r:id="rId8"/>
        </w:object>
      </w:r>
    </w:p>
    <w:p w:rsidR="00310553" w:rsidRDefault="00241219">
      <w:pPr>
        <w:pStyle w:val="Antrats"/>
        <w:jc w:val="center"/>
        <w:rPr>
          <w:b/>
          <w:caps/>
          <w:sz w:val="24"/>
          <w:szCs w:val="24"/>
        </w:rPr>
      </w:pPr>
      <w:r>
        <w:tab/>
      </w:r>
      <w:r>
        <w:rPr>
          <w:b/>
          <w:sz w:val="24"/>
          <w:szCs w:val="24"/>
        </w:rPr>
        <w:t xml:space="preserve">                                                                                                  </w:t>
      </w:r>
      <w:r w:rsidR="0039169C">
        <w:rPr>
          <w:b/>
          <w:sz w:val="24"/>
          <w:szCs w:val="24"/>
        </w:rPr>
        <w:t xml:space="preserve">                      </w:t>
      </w:r>
    </w:p>
    <w:p w:rsidR="00310553" w:rsidRDefault="00241219">
      <w:pPr>
        <w:pStyle w:val="Antrats"/>
        <w:jc w:val="center"/>
        <w:rPr>
          <w:b/>
          <w:caps/>
          <w:sz w:val="28"/>
        </w:rPr>
      </w:pPr>
      <w:r>
        <w:rPr>
          <w:b/>
          <w:caps/>
          <w:sz w:val="28"/>
        </w:rPr>
        <w:t>panevėžio rajono savivaldybės taryba</w:t>
      </w:r>
    </w:p>
    <w:p w:rsidR="00310553" w:rsidRDefault="00310553">
      <w:pPr>
        <w:pStyle w:val="Antrats"/>
        <w:rPr>
          <w:caps/>
          <w:sz w:val="24"/>
        </w:rPr>
      </w:pPr>
    </w:p>
    <w:p w:rsidR="00310553" w:rsidRDefault="00241219">
      <w:pPr>
        <w:pStyle w:val="Betarp"/>
        <w:jc w:val="center"/>
        <w:rPr>
          <w:b/>
          <w:sz w:val="28"/>
          <w:szCs w:val="28"/>
        </w:rPr>
      </w:pPr>
      <w:r>
        <w:rPr>
          <w:b/>
          <w:sz w:val="28"/>
          <w:szCs w:val="28"/>
        </w:rPr>
        <w:t>SPRENDIMAS</w:t>
      </w:r>
    </w:p>
    <w:p w:rsidR="009B7C14" w:rsidRDefault="00241219">
      <w:pPr>
        <w:jc w:val="center"/>
        <w:rPr>
          <w:b/>
          <w:sz w:val="24"/>
          <w:szCs w:val="24"/>
        </w:rPr>
      </w:pPr>
      <w:r>
        <w:rPr>
          <w:b/>
          <w:sz w:val="24"/>
          <w:szCs w:val="24"/>
        </w:rPr>
        <w:t xml:space="preserve">DĖL PANEVĖŽIO RAJONO SAVIVALDYBĖS TARYBOS 2020 M. VASARIO 27 D. SPRENDIMO NR. T-56 „DĖL VIEŠAME AUKCIONE PARDUODAMO PANEVĖŽIO </w:t>
      </w:r>
    </w:p>
    <w:p w:rsidR="00310553" w:rsidRDefault="009B7C14">
      <w:pPr>
        <w:jc w:val="center"/>
        <w:rPr>
          <w:b/>
          <w:sz w:val="24"/>
          <w:szCs w:val="24"/>
        </w:rPr>
      </w:pPr>
      <w:r>
        <w:rPr>
          <w:b/>
          <w:sz w:val="24"/>
          <w:szCs w:val="24"/>
        </w:rPr>
        <w:t xml:space="preserve"> </w:t>
      </w:r>
      <w:r w:rsidR="00241219">
        <w:rPr>
          <w:b/>
          <w:sz w:val="24"/>
          <w:szCs w:val="24"/>
        </w:rPr>
        <w:t>RAJONO SAVIVALDYBĖS NEKILNOJAMOJO TURTO IR KITŲ NEKILNOJAMŲJŲ DAIKTŲ SĄRAŠO PATVIRTINIMO“ PAKEITIMO</w:t>
      </w:r>
    </w:p>
    <w:p w:rsidR="00310553" w:rsidRDefault="00310553">
      <w:pPr>
        <w:ind w:firstLine="1440"/>
        <w:jc w:val="both"/>
        <w:rPr>
          <w:sz w:val="24"/>
          <w:szCs w:val="24"/>
        </w:rPr>
      </w:pPr>
    </w:p>
    <w:p w:rsidR="00310553" w:rsidRDefault="00241219">
      <w:pPr>
        <w:jc w:val="center"/>
        <w:rPr>
          <w:sz w:val="24"/>
          <w:szCs w:val="24"/>
        </w:rPr>
      </w:pPr>
      <w:r>
        <w:rPr>
          <w:sz w:val="24"/>
          <w:szCs w:val="24"/>
        </w:rPr>
        <w:t>2022 m. kovo 31 d. Nr. T-</w:t>
      </w:r>
      <w:r w:rsidR="0039169C">
        <w:rPr>
          <w:sz w:val="24"/>
          <w:szCs w:val="24"/>
        </w:rPr>
        <w:t>72</w:t>
      </w:r>
      <w:r>
        <w:rPr>
          <w:sz w:val="24"/>
          <w:szCs w:val="24"/>
        </w:rPr>
        <w:t xml:space="preserve"> </w:t>
      </w:r>
    </w:p>
    <w:p w:rsidR="00310553" w:rsidRDefault="00241219">
      <w:pPr>
        <w:jc w:val="center"/>
        <w:rPr>
          <w:sz w:val="24"/>
          <w:szCs w:val="24"/>
        </w:rPr>
      </w:pPr>
      <w:r>
        <w:rPr>
          <w:sz w:val="24"/>
          <w:szCs w:val="24"/>
        </w:rPr>
        <w:t>Panevėžys</w:t>
      </w:r>
    </w:p>
    <w:p w:rsidR="00310553" w:rsidRDefault="00310553">
      <w:pPr>
        <w:rPr>
          <w:sz w:val="24"/>
          <w:szCs w:val="24"/>
        </w:rPr>
      </w:pPr>
    </w:p>
    <w:p w:rsidR="00310553" w:rsidRDefault="00241219">
      <w:pPr>
        <w:ind w:firstLine="720"/>
        <w:jc w:val="both"/>
        <w:rPr>
          <w:sz w:val="24"/>
          <w:szCs w:val="24"/>
        </w:rPr>
      </w:pPr>
      <w:r>
        <w:rPr>
          <w:sz w:val="24"/>
          <w:szCs w:val="24"/>
        </w:rPr>
        <w:t xml:space="preserve">Vadovaudamasi Lietuvos Respublikos vietos savivaldos įstatymo 16 straipsnio 2 dalies </w:t>
      </w:r>
      <w:r>
        <w:rPr>
          <w:sz w:val="24"/>
          <w:szCs w:val="24"/>
        </w:rPr>
        <w:br/>
        <w:t>26 punktu, 18 straipsnio 1 dalimi, Lietuvos Respublikos valstybės ir savivaldybių turto valdymo, naudojimo ir disponavimo juo įstatymo 20 straipsnio 2 dalies 2 punktu, Viešame aukcione parduodamo valstybės ir savivaldybių nekilnojamojo turto ir kitų nekilnojamųjų daiktų sąrašo sudarymo tvarkos aprašu, patvirtintu Lietuvos Respublikos Vyriausybės 2014 m.    spalio 28 d. nutarimu Nr. 1179 „Dėl Viešame aukcione parduodamo valstybės ir savivaldybių nekilnojamojo turto ir kitų nekilnojamųjų daiktų sąrašo sudarymo tvarkos aprašo patvirtinimo“  3.2 papunkčiu, 21 punktu ir 22.1 papunkčiu, Panevėžio rajono savivaldybės administracijos direktoriaus  2022 m. sausio 31 d. įsakymą Nr. A1-20 „Dėl turto pripažinimo nereikalingu ir tolesnio jo panaudojimo“, Panevėžio rajono savivaldybės administracijos direktoriaus 2022 m. kovo 8 d. įsakymą Nr. A1-81 „Dėl turto pripažinimo nereikalingu ir tolesnio jo panaudojimo“, Panevėžio rajono savivaldybės</w:t>
      </w:r>
      <w:r w:rsidR="009B7C14">
        <w:rPr>
          <w:sz w:val="24"/>
          <w:szCs w:val="24"/>
        </w:rPr>
        <w:t xml:space="preserve"> </w:t>
      </w:r>
      <w:r>
        <w:rPr>
          <w:sz w:val="24"/>
          <w:szCs w:val="24"/>
        </w:rPr>
        <w:t>taryba n u s p r e n d ž i a:</w:t>
      </w:r>
    </w:p>
    <w:p w:rsidR="00310553" w:rsidRDefault="00241219">
      <w:pPr>
        <w:ind w:firstLine="720"/>
        <w:jc w:val="both"/>
        <w:rPr>
          <w:sz w:val="24"/>
          <w:szCs w:val="24"/>
        </w:rPr>
      </w:pPr>
      <w:r>
        <w:rPr>
          <w:sz w:val="24"/>
          <w:szCs w:val="24"/>
        </w:rPr>
        <w:t xml:space="preserve">Pakeisti </w:t>
      </w:r>
      <w:r>
        <w:rPr>
          <w:color w:val="000000"/>
          <w:sz w:val="24"/>
          <w:szCs w:val="24"/>
          <w:shd w:val="clear" w:color="auto" w:fill="FFFFFF"/>
        </w:rPr>
        <w:t xml:space="preserve">viešame aukcione parduodamo Panevėžio rajono savivaldybės nekilnojamojo turto ir kitų nekilnojamųjų daiktų sąrašą, patvirtintą Panevėžio rajono savivaldybės tarybos </w:t>
      </w:r>
      <w:r>
        <w:rPr>
          <w:sz w:val="24"/>
          <w:szCs w:val="24"/>
        </w:rPr>
        <w:t>2020 m. vasario 27 d. sprendimu Nr. T-56 „Dėl Viešame aukcione parduodamo Panevėžio rajono savivaldybės nekilnojamojo turto ir kitų nekilnojamųjų daiktų sąrašo patvirtinimo“:</w:t>
      </w:r>
    </w:p>
    <w:p w:rsidR="00310553" w:rsidRDefault="00241219">
      <w:pPr>
        <w:ind w:firstLine="720"/>
        <w:jc w:val="both"/>
        <w:rPr>
          <w:sz w:val="24"/>
          <w:szCs w:val="24"/>
        </w:rPr>
      </w:pPr>
      <w:r>
        <w:rPr>
          <w:sz w:val="24"/>
          <w:szCs w:val="24"/>
          <w:shd w:val="clear" w:color="auto" w:fill="FFFFFF"/>
        </w:rPr>
        <w:t>1. pripažinti netekusia galios 22</w:t>
      </w:r>
      <w:r>
        <w:rPr>
          <w:color w:val="000000"/>
          <w:sz w:val="24"/>
          <w:szCs w:val="24"/>
          <w:shd w:val="clear" w:color="auto" w:fill="FFFFFF"/>
        </w:rPr>
        <w:t xml:space="preserve"> eilutę;</w:t>
      </w:r>
    </w:p>
    <w:p w:rsidR="00310553" w:rsidRDefault="00241219">
      <w:pPr>
        <w:ind w:left="720"/>
        <w:jc w:val="both"/>
        <w:rPr>
          <w:sz w:val="24"/>
          <w:szCs w:val="24"/>
        </w:rPr>
      </w:pPr>
      <w:r>
        <w:rPr>
          <w:sz w:val="24"/>
          <w:szCs w:val="24"/>
        </w:rPr>
        <w:t>2. papildyti 29 ir 30 eilutėmis ir jas išdėstyti taip:</w:t>
      </w:r>
    </w:p>
    <w:tbl>
      <w:tblPr>
        <w:tblW w:w="10206" w:type="dxa"/>
        <w:tblInd w:w="-5" w:type="dxa"/>
        <w:tblLayout w:type="fixed"/>
        <w:tblLook w:val="01E0" w:firstRow="1" w:lastRow="1" w:firstColumn="1" w:lastColumn="1" w:noHBand="0" w:noVBand="0"/>
      </w:tblPr>
      <w:tblGrid>
        <w:gridCol w:w="686"/>
        <w:gridCol w:w="2103"/>
        <w:gridCol w:w="5042"/>
        <w:gridCol w:w="2375"/>
      </w:tblGrid>
      <w:tr w:rsidR="00310553" w:rsidTr="00CD0A02">
        <w:tc>
          <w:tcPr>
            <w:tcW w:w="686" w:type="dxa"/>
            <w:tcBorders>
              <w:top w:val="single" w:sz="4" w:space="0" w:color="000000"/>
              <w:left w:val="single" w:sz="4" w:space="0" w:color="000000"/>
              <w:bottom w:val="single" w:sz="4" w:space="0" w:color="000000"/>
              <w:right w:val="single" w:sz="4" w:space="0" w:color="000000"/>
            </w:tcBorders>
          </w:tcPr>
          <w:p w:rsidR="00310553" w:rsidRDefault="00241219">
            <w:pPr>
              <w:widowControl w:val="0"/>
              <w:jc w:val="center"/>
              <w:rPr>
                <w:sz w:val="24"/>
                <w:szCs w:val="24"/>
              </w:rPr>
            </w:pPr>
            <w:r>
              <w:rPr>
                <w:sz w:val="24"/>
                <w:szCs w:val="24"/>
              </w:rPr>
              <w:t>Eil.</w:t>
            </w:r>
          </w:p>
          <w:p w:rsidR="00310553" w:rsidRDefault="00241219">
            <w:pPr>
              <w:widowControl w:val="0"/>
              <w:jc w:val="center"/>
              <w:rPr>
                <w:sz w:val="24"/>
                <w:szCs w:val="24"/>
              </w:rPr>
            </w:pPr>
            <w:r>
              <w:rPr>
                <w:sz w:val="24"/>
                <w:szCs w:val="24"/>
              </w:rPr>
              <w:t>Nr.</w:t>
            </w:r>
          </w:p>
        </w:tc>
        <w:tc>
          <w:tcPr>
            <w:tcW w:w="2103" w:type="dxa"/>
            <w:tcBorders>
              <w:top w:val="single" w:sz="4" w:space="0" w:color="000000"/>
              <w:left w:val="single" w:sz="4" w:space="0" w:color="000000"/>
              <w:bottom w:val="single" w:sz="4" w:space="0" w:color="000000"/>
              <w:right w:val="single" w:sz="4" w:space="0" w:color="000000"/>
            </w:tcBorders>
          </w:tcPr>
          <w:p w:rsidR="00310553" w:rsidRDefault="00310553">
            <w:pPr>
              <w:widowControl w:val="0"/>
              <w:jc w:val="center"/>
              <w:rPr>
                <w:sz w:val="24"/>
                <w:szCs w:val="24"/>
              </w:rPr>
            </w:pPr>
          </w:p>
          <w:p w:rsidR="00310553" w:rsidRDefault="00241219">
            <w:pPr>
              <w:widowControl w:val="0"/>
              <w:jc w:val="center"/>
              <w:rPr>
                <w:sz w:val="24"/>
                <w:szCs w:val="24"/>
              </w:rPr>
            </w:pPr>
            <w:r>
              <w:rPr>
                <w:sz w:val="24"/>
                <w:szCs w:val="24"/>
              </w:rPr>
              <w:t>Adresas</w:t>
            </w:r>
          </w:p>
        </w:tc>
        <w:tc>
          <w:tcPr>
            <w:tcW w:w="5042" w:type="dxa"/>
            <w:tcBorders>
              <w:top w:val="single" w:sz="4" w:space="0" w:color="000000"/>
              <w:left w:val="single" w:sz="4" w:space="0" w:color="000000"/>
              <w:bottom w:val="single" w:sz="4" w:space="0" w:color="000000"/>
              <w:right w:val="single" w:sz="4" w:space="0" w:color="000000"/>
            </w:tcBorders>
          </w:tcPr>
          <w:p w:rsidR="00310553" w:rsidRDefault="00310553">
            <w:pPr>
              <w:widowControl w:val="0"/>
              <w:jc w:val="center"/>
              <w:rPr>
                <w:sz w:val="24"/>
                <w:szCs w:val="24"/>
              </w:rPr>
            </w:pPr>
          </w:p>
          <w:p w:rsidR="00310553" w:rsidRDefault="00241219">
            <w:pPr>
              <w:widowControl w:val="0"/>
              <w:jc w:val="center"/>
              <w:rPr>
                <w:sz w:val="24"/>
                <w:szCs w:val="24"/>
              </w:rPr>
            </w:pPr>
            <w:r>
              <w:rPr>
                <w:sz w:val="24"/>
                <w:szCs w:val="24"/>
              </w:rPr>
              <w:t xml:space="preserve">Pavadinimas, aprašymas </w:t>
            </w:r>
          </w:p>
        </w:tc>
        <w:tc>
          <w:tcPr>
            <w:tcW w:w="2375" w:type="dxa"/>
            <w:tcBorders>
              <w:top w:val="single" w:sz="4" w:space="0" w:color="000000"/>
              <w:left w:val="single" w:sz="4" w:space="0" w:color="000000"/>
              <w:bottom w:val="single" w:sz="4" w:space="0" w:color="000000"/>
              <w:right w:val="single" w:sz="4" w:space="0" w:color="000000"/>
            </w:tcBorders>
          </w:tcPr>
          <w:p w:rsidR="00310553" w:rsidRDefault="00241219">
            <w:pPr>
              <w:widowControl w:val="0"/>
              <w:jc w:val="center"/>
              <w:rPr>
                <w:sz w:val="24"/>
                <w:szCs w:val="24"/>
              </w:rPr>
            </w:pPr>
            <w:r>
              <w:rPr>
                <w:sz w:val="24"/>
                <w:szCs w:val="24"/>
              </w:rPr>
              <w:t xml:space="preserve">Likutinė </w:t>
            </w:r>
          </w:p>
          <w:p w:rsidR="00310553" w:rsidRDefault="00241219">
            <w:pPr>
              <w:widowControl w:val="0"/>
              <w:jc w:val="center"/>
              <w:rPr>
                <w:sz w:val="24"/>
                <w:szCs w:val="24"/>
              </w:rPr>
            </w:pPr>
            <w:r>
              <w:rPr>
                <w:sz w:val="24"/>
                <w:szCs w:val="24"/>
              </w:rPr>
              <w:t xml:space="preserve">turto vertė, </w:t>
            </w:r>
          </w:p>
          <w:p w:rsidR="00310553" w:rsidRDefault="00241219">
            <w:pPr>
              <w:widowControl w:val="0"/>
              <w:jc w:val="center"/>
              <w:rPr>
                <w:sz w:val="24"/>
                <w:szCs w:val="24"/>
              </w:rPr>
            </w:pPr>
            <w:r>
              <w:rPr>
                <w:sz w:val="24"/>
                <w:szCs w:val="24"/>
              </w:rPr>
              <w:t>Eur</w:t>
            </w:r>
          </w:p>
        </w:tc>
      </w:tr>
      <w:tr w:rsidR="00310553" w:rsidTr="00CD0A02">
        <w:trPr>
          <w:trHeight w:val="1662"/>
        </w:trPr>
        <w:tc>
          <w:tcPr>
            <w:tcW w:w="686" w:type="dxa"/>
            <w:tcBorders>
              <w:top w:val="single" w:sz="4" w:space="0" w:color="000000"/>
              <w:left w:val="single" w:sz="4" w:space="0" w:color="000000"/>
              <w:bottom w:val="single" w:sz="4" w:space="0" w:color="000000"/>
              <w:right w:val="single" w:sz="4" w:space="0" w:color="000000"/>
            </w:tcBorders>
          </w:tcPr>
          <w:p w:rsidR="00310553" w:rsidRDefault="00241219">
            <w:pPr>
              <w:widowControl w:val="0"/>
              <w:rPr>
                <w:sz w:val="24"/>
                <w:szCs w:val="24"/>
              </w:rPr>
            </w:pPr>
            <w:r>
              <w:rPr>
                <w:sz w:val="24"/>
                <w:szCs w:val="24"/>
              </w:rPr>
              <w:t>29.</w:t>
            </w:r>
          </w:p>
        </w:tc>
        <w:tc>
          <w:tcPr>
            <w:tcW w:w="2103" w:type="dxa"/>
            <w:tcBorders>
              <w:top w:val="single" w:sz="4" w:space="0" w:color="000000"/>
              <w:left w:val="single" w:sz="4" w:space="0" w:color="000000"/>
              <w:bottom w:val="single" w:sz="4" w:space="0" w:color="000000"/>
              <w:right w:val="single" w:sz="4" w:space="0" w:color="000000"/>
            </w:tcBorders>
          </w:tcPr>
          <w:p w:rsidR="00310553" w:rsidRDefault="00241219">
            <w:pPr>
              <w:widowControl w:val="0"/>
              <w:rPr>
                <w:sz w:val="24"/>
                <w:szCs w:val="24"/>
                <w:lang w:eastAsia="ar-SA"/>
              </w:rPr>
            </w:pPr>
            <w:r>
              <w:rPr>
                <w:sz w:val="24"/>
                <w:szCs w:val="24"/>
                <w:lang w:eastAsia="ar-SA"/>
              </w:rPr>
              <w:t>Panevėžio r. sav.,</w:t>
            </w:r>
          </w:p>
          <w:p w:rsidR="00310553" w:rsidRDefault="00241219">
            <w:pPr>
              <w:widowControl w:val="0"/>
              <w:rPr>
                <w:sz w:val="24"/>
                <w:szCs w:val="24"/>
              </w:rPr>
            </w:pPr>
            <w:proofErr w:type="spellStart"/>
            <w:r>
              <w:rPr>
                <w:sz w:val="24"/>
                <w:szCs w:val="24"/>
                <w:lang w:eastAsia="ar-SA"/>
              </w:rPr>
              <w:t>Stumbriškio</w:t>
            </w:r>
            <w:proofErr w:type="spellEnd"/>
            <w:r>
              <w:rPr>
                <w:sz w:val="24"/>
                <w:szCs w:val="24"/>
                <w:lang w:eastAsia="ar-SA"/>
              </w:rPr>
              <w:t xml:space="preserve"> k., Vabalninko g. 14-2 </w:t>
            </w:r>
          </w:p>
        </w:tc>
        <w:tc>
          <w:tcPr>
            <w:tcW w:w="5042" w:type="dxa"/>
            <w:tcBorders>
              <w:top w:val="single" w:sz="4" w:space="0" w:color="000000"/>
              <w:left w:val="single" w:sz="4" w:space="0" w:color="000000"/>
              <w:bottom w:val="single" w:sz="4" w:space="0" w:color="000000"/>
              <w:right w:val="single" w:sz="4" w:space="0" w:color="000000"/>
            </w:tcBorders>
          </w:tcPr>
          <w:p w:rsidR="00310553" w:rsidRDefault="00241219">
            <w:pPr>
              <w:widowControl w:val="0"/>
              <w:rPr>
                <w:sz w:val="24"/>
                <w:szCs w:val="24"/>
                <w:lang w:eastAsia="ar-SA"/>
              </w:rPr>
            </w:pPr>
            <w:r>
              <w:rPr>
                <w:sz w:val="24"/>
                <w:szCs w:val="24"/>
                <w:lang w:eastAsia="ar-SA"/>
              </w:rPr>
              <w:t xml:space="preserve"> Butą / patalpą – butą (unikalus Nr. 4400-4275-1053:3001, bendras plotas 40,71 kv. m);</w:t>
            </w:r>
          </w:p>
          <w:p w:rsidR="00310553" w:rsidRDefault="00241219">
            <w:pPr>
              <w:widowControl w:val="0"/>
              <w:rPr>
                <w:sz w:val="24"/>
                <w:szCs w:val="24"/>
                <w:lang w:eastAsia="ar-SA"/>
              </w:rPr>
            </w:pPr>
            <w:r>
              <w:rPr>
                <w:sz w:val="24"/>
                <w:szCs w:val="24"/>
                <w:lang w:eastAsia="ar-SA"/>
              </w:rPr>
              <w:t xml:space="preserve">25/100 pastato – ūkinio pastato (unikalus          Nr. 6696-7004-4026); </w:t>
            </w:r>
          </w:p>
          <w:p w:rsidR="00310553" w:rsidRDefault="00241219">
            <w:pPr>
              <w:widowControl w:val="0"/>
              <w:rPr>
                <w:sz w:val="24"/>
                <w:szCs w:val="24"/>
              </w:rPr>
            </w:pPr>
            <w:r>
              <w:rPr>
                <w:sz w:val="24"/>
                <w:szCs w:val="24"/>
                <w:lang w:eastAsia="ar-SA"/>
              </w:rPr>
              <w:t>25/100 kitų inžinerinių statinių – kiemo statinių (lauko tualetai, 4 vnt.).</w:t>
            </w:r>
            <w:bookmarkStart w:id="0" w:name="_GoBack"/>
            <w:bookmarkEnd w:id="0"/>
          </w:p>
        </w:tc>
        <w:tc>
          <w:tcPr>
            <w:tcW w:w="2375" w:type="dxa"/>
            <w:tcBorders>
              <w:top w:val="single" w:sz="4" w:space="0" w:color="000000"/>
              <w:left w:val="single" w:sz="4" w:space="0" w:color="000000"/>
              <w:bottom w:val="single" w:sz="4" w:space="0" w:color="000000"/>
              <w:right w:val="single" w:sz="4" w:space="0" w:color="000000"/>
            </w:tcBorders>
          </w:tcPr>
          <w:p w:rsidR="00310553" w:rsidRDefault="00241219">
            <w:pPr>
              <w:widowControl w:val="0"/>
              <w:jc w:val="center"/>
              <w:rPr>
                <w:sz w:val="24"/>
                <w:szCs w:val="24"/>
              </w:rPr>
            </w:pPr>
            <w:r>
              <w:rPr>
                <w:sz w:val="24"/>
                <w:szCs w:val="24"/>
                <w:lang w:eastAsia="ar-SA"/>
              </w:rPr>
              <w:t>2 493,99</w:t>
            </w:r>
          </w:p>
          <w:p w:rsidR="00310553" w:rsidRDefault="00310553">
            <w:pPr>
              <w:widowControl w:val="0"/>
              <w:jc w:val="center"/>
              <w:rPr>
                <w:sz w:val="24"/>
                <w:szCs w:val="24"/>
              </w:rPr>
            </w:pPr>
          </w:p>
          <w:p w:rsidR="00310553" w:rsidRDefault="00241219">
            <w:pPr>
              <w:widowControl w:val="0"/>
              <w:jc w:val="center"/>
              <w:rPr>
                <w:sz w:val="24"/>
                <w:szCs w:val="24"/>
              </w:rPr>
            </w:pPr>
            <w:r>
              <w:rPr>
                <w:sz w:val="24"/>
                <w:szCs w:val="24"/>
              </w:rPr>
              <w:t>0,00</w:t>
            </w:r>
          </w:p>
          <w:p w:rsidR="00310553" w:rsidRDefault="00310553">
            <w:pPr>
              <w:widowControl w:val="0"/>
              <w:jc w:val="center"/>
              <w:rPr>
                <w:sz w:val="24"/>
                <w:szCs w:val="24"/>
              </w:rPr>
            </w:pPr>
          </w:p>
          <w:p w:rsidR="00310553" w:rsidRDefault="00241219">
            <w:pPr>
              <w:widowControl w:val="0"/>
              <w:jc w:val="center"/>
              <w:rPr>
                <w:sz w:val="24"/>
                <w:szCs w:val="24"/>
              </w:rPr>
            </w:pPr>
            <w:r>
              <w:rPr>
                <w:sz w:val="24"/>
                <w:szCs w:val="24"/>
              </w:rPr>
              <w:t>0,00</w:t>
            </w:r>
          </w:p>
        </w:tc>
      </w:tr>
      <w:tr w:rsidR="00310553" w:rsidTr="00CD0A02">
        <w:tc>
          <w:tcPr>
            <w:tcW w:w="686" w:type="dxa"/>
            <w:tcBorders>
              <w:top w:val="single" w:sz="4" w:space="0" w:color="000000"/>
              <w:left w:val="single" w:sz="4" w:space="0" w:color="000000"/>
              <w:bottom w:val="single" w:sz="4" w:space="0" w:color="000000"/>
              <w:right w:val="single" w:sz="4" w:space="0" w:color="000000"/>
            </w:tcBorders>
          </w:tcPr>
          <w:p w:rsidR="00310553" w:rsidRDefault="00241219">
            <w:pPr>
              <w:widowControl w:val="0"/>
              <w:rPr>
                <w:sz w:val="24"/>
                <w:szCs w:val="24"/>
              </w:rPr>
            </w:pPr>
            <w:r>
              <w:rPr>
                <w:sz w:val="24"/>
                <w:szCs w:val="24"/>
              </w:rPr>
              <w:t>30.</w:t>
            </w:r>
          </w:p>
        </w:tc>
        <w:tc>
          <w:tcPr>
            <w:tcW w:w="2103" w:type="dxa"/>
            <w:tcBorders>
              <w:top w:val="single" w:sz="4" w:space="0" w:color="000000"/>
              <w:left w:val="single" w:sz="4" w:space="0" w:color="000000"/>
              <w:bottom w:val="single" w:sz="4" w:space="0" w:color="000000"/>
              <w:right w:val="single" w:sz="4" w:space="0" w:color="000000"/>
            </w:tcBorders>
          </w:tcPr>
          <w:p w:rsidR="00310553" w:rsidRDefault="00241219">
            <w:pPr>
              <w:widowControl w:val="0"/>
              <w:rPr>
                <w:sz w:val="24"/>
                <w:szCs w:val="24"/>
              </w:rPr>
            </w:pPr>
            <w:r>
              <w:rPr>
                <w:sz w:val="24"/>
                <w:szCs w:val="24"/>
              </w:rPr>
              <w:t xml:space="preserve">Panevėžio r. sav., Vyčių k., </w:t>
            </w:r>
          </w:p>
          <w:p w:rsidR="00310553" w:rsidRDefault="00241219">
            <w:pPr>
              <w:widowControl w:val="0"/>
              <w:rPr>
                <w:sz w:val="24"/>
                <w:szCs w:val="24"/>
              </w:rPr>
            </w:pPr>
            <w:r>
              <w:rPr>
                <w:sz w:val="24"/>
                <w:szCs w:val="24"/>
              </w:rPr>
              <w:t xml:space="preserve">Velžio </w:t>
            </w:r>
            <w:proofErr w:type="spellStart"/>
            <w:r>
              <w:rPr>
                <w:sz w:val="24"/>
                <w:szCs w:val="24"/>
              </w:rPr>
              <w:t>kel</w:t>
            </w:r>
            <w:proofErr w:type="spellEnd"/>
            <w:r>
              <w:rPr>
                <w:sz w:val="24"/>
                <w:szCs w:val="24"/>
              </w:rPr>
              <w:t>. 29-6</w:t>
            </w:r>
          </w:p>
        </w:tc>
        <w:tc>
          <w:tcPr>
            <w:tcW w:w="5042" w:type="dxa"/>
            <w:tcBorders>
              <w:top w:val="single" w:sz="4" w:space="0" w:color="000000"/>
              <w:left w:val="single" w:sz="4" w:space="0" w:color="000000"/>
              <w:bottom w:val="single" w:sz="4" w:space="0" w:color="000000"/>
              <w:right w:val="single" w:sz="4" w:space="0" w:color="000000"/>
            </w:tcBorders>
          </w:tcPr>
          <w:p w:rsidR="00310553" w:rsidRDefault="00241219">
            <w:pPr>
              <w:widowControl w:val="0"/>
              <w:rPr>
                <w:sz w:val="24"/>
                <w:szCs w:val="24"/>
                <w:lang w:eastAsia="ar-SA"/>
              </w:rPr>
            </w:pPr>
            <w:r>
              <w:rPr>
                <w:sz w:val="24"/>
                <w:szCs w:val="24"/>
                <w:lang w:eastAsia="ar-SA"/>
              </w:rPr>
              <w:t>Butą / patalpą – butą (unikalus Nr. 4400-2105-4930:9281, bendras plotas 25,61 kv. m);</w:t>
            </w:r>
          </w:p>
          <w:p w:rsidR="00310553" w:rsidRDefault="00241219">
            <w:pPr>
              <w:widowControl w:val="0"/>
              <w:rPr>
                <w:sz w:val="24"/>
                <w:szCs w:val="24"/>
                <w:lang w:eastAsia="ar-SA"/>
              </w:rPr>
            </w:pPr>
            <w:r>
              <w:rPr>
                <w:sz w:val="24"/>
                <w:szCs w:val="24"/>
                <w:lang w:eastAsia="ar-SA"/>
              </w:rPr>
              <w:t>1/6 pastato ūkinio pastato (unikalus Nr. 6693-4001-4045);</w:t>
            </w:r>
          </w:p>
          <w:p w:rsidR="00310553" w:rsidRDefault="00241219">
            <w:pPr>
              <w:widowControl w:val="0"/>
              <w:rPr>
                <w:sz w:val="24"/>
                <w:szCs w:val="24"/>
              </w:rPr>
            </w:pPr>
            <w:r>
              <w:rPr>
                <w:sz w:val="24"/>
                <w:szCs w:val="24"/>
                <w:lang w:eastAsia="ar-SA"/>
              </w:rPr>
              <w:t>1/6 kitų inžinerinių statinių – šulinio (unikalus Nr. 6693-4001-4056).</w:t>
            </w:r>
          </w:p>
        </w:tc>
        <w:tc>
          <w:tcPr>
            <w:tcW w:w="2375" w:type="dxa"/>
            <w:tcBorders>
              <w:top w:val="single" w:sz="4" w:space="0" w:color="000000"/>
              <w:left w:val="single" w:sz="4" w:space="0" w:color="000000"/>
              <w:bottom w:val="single" w:sz="4" w:space="0" w:color="000000"/>
              <w:right w:val="single" w:sz="4" w:space="0" w:color="000000"/>
            </w:tcBorders>
          </w:tcPr>
          <w:p w:rsidR="00310553" w:rsidRDefault="00241219">
            <w:pPr>
              <w:widowControl w:val="0"/>
              <w:jc w:val="center"/>
              <w:rPr>
                <w:sz w:val="24"/>
                <w:szCs w:val="24"/>
              </w:rPr>
            </w:pPr>
            <w:r>
              <w:rPr>
                <w:sz w:val="24"/>
                <w:szCs w:val="24"/>
              </w:rPr>
              <w:t>0,00</w:t>
            </w:r>
          </w:p>
          <w:p w:rsidR="00310553" w:rsidRDefault="00310553">
            <w:pPr>
              <w:widowControl w:val="0"/>
              <w:jc w:val="center"/>
              <w:rPr>
                <w:sz w:val="24"/>
                <w:szCs w:val="24"/>
              </w:rPr>
            </w:pPr>
          </w:p>
          <w:p w:rsidR="00310553" w:rsidRDefault="00241219">
            <w:pPr>
              <w:widowControl w:val="0"/>
              <w:jc w:val="center"/>
              <w:rPr>
                <w:sz w:val="24"/>
                <w:szCs w:val="24"/>
              </w:rPr>
            </w:pPr>
            <w:r>
              <w:rPr>
                <w:sz w:val="24"/>
                <w:szCs w:val="24"/>
              </w:rPr>
              <w:t>0,00</w:t>
            </w:r>
          </w:p>
          <w:p w:rsidR="00310553" w:rsidRDefault="00310553">
            <w:pPr>
              <w:widowControl w:val="0"/>
              <w:jc w:val="center"/>
              <w:rPr>
                <w:sz w:val="24"/>
                <w:szCs w:val="24"/>
              </w:rPr>
            </w:pPr>
          </w:p>
          <w:p w:rsidR="00310553" w:rsidRDefault="00241219">
            <w:pPr>
              <w:widowControl w:val="0"/>
              <w:jc w:val="center"/>
              <w:rPr>
                <w:sz w:val="24"/>
                <w:szCs w:val="24"/>
              </w:rPr>
            </w:pPr>
            <w:r>
              <w:rPr>
                <w:sz w:val="24"/>
                <w:szCs w:val="24"/>
              </w:rPr>
              <w:t>0,00</w:t>
            </w:r>
          </w:p>
        </w:tc>
      </w:tr>
    </w:tbl>
    <w:p w:rsidR="00310553" w:rsidRDefault="00241219">
      <w:pPr>
        <w:ind w:firstLine="720"/>
        <w:rPr>
          <w:sz w:val="24"/>
          <w:szCs w:val="24"/>
        </w:rPr>
      </w:pPr>
      <w:r>
        <w:rPr>
          <w:sz w:val="24"/>
          <w:szCs w:val="24"/>
        </w:rPr>
        <w:t>Šis sprendimas gali būti skundžiamas Lietuvos Respublikos administracinių bylų teisenos įstatymo nustatyta tvarka.</w:t>
      </w:r>
    </w:p>
    <w:p w:rsidR="00310553" w:rsidRDefault="00310553">
      <w:pPr>
        <w:jc w:val="center"/>
        <w:rPr>
          <w:b/>
          <w:bCs/>
          <w:sz w:val="24"/>
          <w:szCs w:val="24"/>
          <w:lang w:eastAsia="ar-SA"/>
        </w:rPr>
      </w:pPr>
    </w:p>
    <w:p w:rsidR="0039169C" w:rsidRPr="0039169C" w:rsidRDefault="0039169C" w:rsidP="0039169C">
      <w:pPr>
        <w:rPr>
          <w:bCs/>
          <w:sz w:val="24"/>
          <w:szCs w:val="24"/>
          <w:lang w:eastAsia="ar-SA"/>
        </w:rPr>
      </w:pPr>
      <w:r w:rsidRPr="0039169C">
        <w:rPr>
          <w:bCs/>
          <w:sz w:val="24"/>
          <w:szCs w:val="24"/>
          <w:lang w:eastAsia="ar-SA"/>
        </w:rPr>
        <w:t xml:space="preserve">Savivaldybės meras                                                                                             Povilas Žagunis           </w:t>
      </w:r>
    </w:p>
    <w:sectPr w:rsidR="0039169C" w:rsidRPr="0039169C" w:rsidSect="009B7C14">
      <w:headerReference w:type="default" r:id="rId9"/>
      <w:pgSz w:w="11906" w:h="16838"/>
      <w:pgMar w:top="1077" w:right="567" w:bottom="238" w:left="1134" w:header="567" w:footer="0" w:gutter="0"/>
      <w:pgNumType w:start="1"/>
      <w:cols w:space="1296"/>
      <w:formProt w:val="0"/>
      <w:titlePg/>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AC6" w:rsidRDefault="00983AC6">
      <w:r>
        <w:separator/>
      </w:r>
    </w:p>
  </w:endnote>
  <w:endnote w:type="continuationSeparator" w:id="0">
    <w:p w:rsidR="00983AC6" w:rsidRDefault="00983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AC6" w:rsidRDefault="00983AC6">
      <w:r>
        <w:separator/>
      </w:r>
    </w:p>
  </w:footnote>
  <w:footnote w:type="continuationSeparator" w:id="0">
    <w:p w:rsidR="00983AC6" w:rsidRDefault="00983A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553" w:rsidRDefault="00241219">
    <w:pPr>
      <w:pStyle w:val="Antrats"/>
      <w:jc w:val="center"/>
    </w:pPr>
    <w:r>
      <w:fldChar w:fldCharType="begin"/>
    </w:r>
    <w:r>
      <w:instrText>PAGE</w:instrText>
    </w:r>
    <w:r>
      <w:fldChar w:fldCharType="separate"/>
    </w:r>
    <w:r w:rsidR="0039169C">
      <w:rPr>
        <w:noProof/>
      </w:rPr>
      <w:t>2</w:t>
    </w:r>
    <w:r>
      <w:fldChar w:fldCharType="end"/>
    </w:r>
  </w:p>
  <w:p w:rsidR="00310553" w:rsidRDefault="0031055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553"/>
    <w:rsid w:val="00241219"/>
    <w:rsid w:val="00310553"/>
    <w:rsid w:val="0039169C"/>
    <w:rsid w:val="00983AC6"/>
    <w:rsid w:val="009B7C14"/>
    <w:rsid w:val="00CC0DEB"/>
    <w:rsid w:val="00CD0A02"/>
  </w:rsids>
  <m:mathPr>
    <m:mathFont m:val="Cambria Math"/>
    <m:brkBin m:val="before"/>
    <m:brkBinSub m:val="--"/>
    <m:smallFrac m:val="0"/>
    <m:dispDef/>
    <m:lMargin m:val="0"/>
    <m:rMargin m:val="0"/>
    <m:defJc m:val="centerGroup"/>
    <m:wrapIndent m:val="1440"/>
    <m:intLim m:val="subSup"/>
    <m:naryLim m:val="undOvr"/>
  </m:mathPr>
  <w:themeFontLang w:val="lt-LT"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48AF4AC9-D77E-41DE-887F-75067EB63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0CC1"/>
  </w:style>
  <w:style w:type="paragraph" w:styleId="Antrat1">
    <w:name w:val="heading 1"/>
    <w:basedOn w:val="prastasis"/>
    <w:next w:val="prastasis"/>
    <w:qFormat/>
    <w:rsid w:val="00F00CC1"/>
    <w:pPr>
      <w:keepNext/>
      <w:jc w:val="center"/>
      <w:outlineLvl w:val="0"/>
    </w:pPr>
    <w:rPr>
      <w:sz w:val="24"/>
    </w:rPr>
  </w:style>
  <w:style w:type="paragraph" w:styleId="Antrat3">
    <w:name w:val="heading 3"/>
    <w:basedOn w:val="prastasis"/>
    <w:next w:val="prastasis"/>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C22F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link w:val="Antrats"/>
    <w:uiPriority w:val="99"/>
    <w:qFormat/>
    <w:rsid w:val="008B0611"/>
  </w:style>
  <w:style w:type="character" w:customStyle="1" w:styleId="PoratDiagrama">
    <w:name w:val="Poraštė Diagrama"/>
    <w:basedOn w:val="Numatytasispastraiposriftas"/>
    <w:link w:val="Porat"/>
    <w:qFormat/>
    <w:rsid w:val="003D4379"/>
  </w:style>
  <w:style w:type="paragraph" w:styleId="Antrat">
    <w:name w:val="caption"/>
    <w:basedOn w:val="prastasis"/>
    <w:next w:val="Pagrindinistekstas"/>
    <w:qFormat/>
    <w:pPr>
      <w:suppressLineNumbers/>
      <w:spacing w:before="120" w:after="120"/>
    </w:pPr>
    <w:rPr>
      <w:rFonts w:cs="Arial"/>
      <w:i/>
      <w:iCs/>
      <w:sz w:val="24"/>
      <w:szCs w:val="24"/>
    </w:rPr>
  </w:style>
  <w:style w:type="paragraph" w:styleId="Pagrindinistekstas">
    <w:name w:val="Body Text"/>
    <w:basedOn w:val="prastasis"/>
    <w:rsid w:val="00DC22F1"/>
    <w:pPr>
      <w:spacing w:after="120"/>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rsid w:val="00F00CC1"/>
    <w:pPr>
      <w:tabs>
        <w:tab w:val="center" w:pos="4153"/>
        <w:tab w:val="right" w:pos="8306"/>
      </w:tabs>
    </w:pPr>
  </w:style>
  <w:style w:type="paragraph" w:styleId="Pagrindiniotekstotrauka">
    <w:name w:val="Body Text Indent"/>
    <w:basedOn w:val="prastasis"/>
    <w:rsid w:val="00F00CC1"/>
    <w:pPr>
      <w:ind w:left="1440"/>
    </w:pPr>
    <w:rPr>
      <w:b/>
      <w:sz w:val="24"/>
    </w:rPr>
  </w:style>
  <w:style w:type="paragraph" w:styleId="HTMLiankstoformatuotas">
    <w:name w:val="HTML Preformatted"/>
    <w:basedOn w:val="prastasis"/>
    <w:qFormat/>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Pagrindiniotekstotrauka3">
    <w:name w:val="Body Text Indent 3"/>
    <w:basedOn w:val="prastasis"/>
    <w:qFormat/>
    <w:rsid w:val="00DC22F1"/>
    <w:pPr>
      <w:spacing w:after="120"/>
      <w:ind w:left="283"/>
    </w:pPr>
    <w:rPr>
      <w:sz w:val="16"/>
      <w:szCs w:val="16"/>
    </w:rPr>
  </w:style>
  <w:style w:type="paragraph" w:styleId="Debesliotekstas">
    <w:name w:val="Balloon Text"/>
    <w:basedOn w:val="prastasis"/>
    <w:semiHidden/>
    <w:qFormat/>
    <w:rsid w:val="004632C4"/>
    <w:rPr>
      <w:rFonts w:ascii="Tahoma" w:hAnsi="Tahoma" w:cs="Tahoma"/>
      <w:sz w:val="16"/>
      <w:szCs w:val="16"/>
    </w:rPr>
  </w:style>
  <w:style w:type="paragraph" w:styleId="prastasiniatinklio">
    <w:name w:val="Normal (Web)"/>
    <w:basedOn w:val="prastasis"/>
    <w:qFormat/>
    <w:rsid w:val="008E0475"/>
    <w:pPr>
      <w:spacing w:beforeAutospacing="1" w:afterAutospacing="1"/>
    </w:pPr>
    <w:rPr>
      <w:sz w:val="24"/>
      <w:szCs w:val="24"/>
      <w:lang w:val="en-US" w:eastAsia="en-US"/>
    </w:rPr>
  </w:style>
  <w:style w:type="paragraph" w:styleId="Betarp">
    <w:name w:val="No Spacing"/>
    <w:uiPriority w:val="1"/>
    <w:qFormat/>
    <w:rsid w:val="008B0611"/>
  </w:style>
  <w:style w:type="paragraph" w:customStyle="1" w:styleId="Lentelsturinys">
    <w:name w:val="Lentelės turinys"/>
    <w:basedOn w:val="prastasis"/>
    <w:qFormat/>
    <w:rsid w:val="00A761E3"/>
    <w:pPr>
      <w:suppressLineNumbers/>
    </w:pPr>
    <w:rPr>
      <w:lang w:eastAsia="ar-SA"/>
    </w:rPr>
  </w:style>
  <w:style w:type="paragraph" w:styleId="Porat">
    <w:name w:val="footer"/>
    <w:basedOn w:val="prastasis"/>
    <w:link w:val="PoratDiagrama"/>
    <w:rsid w:val="003D4379"/>
    <w:pPr>
      <w:tabs>
        <w:tab w:val="center" w:pos="4819"/>
        <w:tab w:val="right" w:pos="9638"/>
      </w:tabs>
    </w:pPr>
  </w:style>
  <w:style w:type="paragraph" w:styleId="Sraopastraipa">
    <w:name w:val="List Paragraph"/>
    <w:basedOn w:val="prastasis"/>
    <w:uiPriority w:val="34"/>
    <w:qFormat/>
    <w:rsid w:val="00F72B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7F1A9-57B0-4B1B-A406-DFFBD059F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1843</Words>
  <Characters>1051</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pan.raj.sav.</Company>
  <LinksUpToDate>false</LinksUpToDate>
  <CharactersWithSpaces>2889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dc:description/>
  <cp:lastModifiedBy>Aldona Ciegyte</cp:lastModifiedBy>
  <cp:revision>4</cp:revision>
  <cp:lastPrinted>2022-03-31T11:31:00Z</cp:lastPrinted>
  <dcterms:created xsi:type="dcterms:W3CDTF">2022-03-31T11:31:00Z</dcterms:created>
  <dcterms:modified xsi:type="dcterms:W3CDTF">2022-03-31T11:32:00Z</dcterms:modified>
  <dc:language>lt-LT</dc:language>
</cp:coreProperties>
</file>