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9B0001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 xml:space="preserve">DĖL </w:t>
      </w:r>
      <w:r w:rsidR="00476434" w:rsidRPr="00FE1381">
        <w:rPr>
          <w:b/>
          <w:sz w:val="24"/>
          <w:szCs w:val="24"/>
        </w:rPr>
        <w:t>TRUMPALAIKIO</w:t>
      </w:r>
      <w:r w:rsidR="00343451" w:rsidRPr="00FE1381">
        <w:rPr>
          <w:b/>
          <w:sz w:val="24"/>
          <w:szCs w:val="24"/>
        </w:rPr>
        <w:t xml:space="preserve"> TURTO</w:t>
      </w:r>
      <w:r w:rsidRPr="00FE1381">
        <w:rPr>
          <w:b/>
          <w:sz w:val="24"/>
          <w:szCs w:val="24"/>
        </w:rPr>
        <w:t xml:space="preserve"> PERĖMIMO SAVIVALDYBĖS NUOSAVYBĖN IR JO PERDAVIMO VALDYTI, NAUDOTI IR DISPONUOTI </w:t>
      </w:r>
      <w:r w:rsidR="000F2C4F" w:rsidRPr="00FE1381">
        <w:rPr>
          <w:b/>
          <w:sz w:val="24"/>
          <w:szCs w:val="24"/>
        </w:rPr>
        <w:t xml:space="preserve">JUO </w:t>
      </w:r>
      <w:r w:rsidRPr="00FE1381">
        <w:rPr>
          <w:b/>
          <w:sz w:val="24"/>
          <w:szCs w:val="24"/>
        </w:rPr>
        <w:t xml:space="preserve">PATIKĖJIMO TEISE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8729C4" w:rsidRPr="00FE1381">
        <w:rPr>
          <w:sz w:val="24"/>
          <w:szCs w:val="24"/>
        </w:rPr>
        <w:t>1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476434" w:rsidRPr="00FE1381">
        <w:rPr>
          <w:sz w:val="24"/>
          <w:szCs w:val="24"/>
        </w:rPr>
        <w:t>rugpjūčio 26</w:t>
      </w:r>
      <w:r w:rsidRPr="00FE1381">
        <w:rPr>
          <w:sz w:val="24"/>
          <w:szCs w:val="24"/>
        </w:rPr>
        <w:t xml:space="preserve"> d. Nr. T-</w:t>
      </w:r>
      <w:r w:rsidR="00B8016C">
        <w:rPr>
          <w:sz w:val="24"/>
          <w:szCs w:val="24"/>
        </w:rPr>
        <w:t>176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343451" w:rsidRPr="00FE1381">
        <w:rPr>
          <w:sz w:val="24"/>
          <w:szCs w:val="24"/>
        </w:rPr>
        <w:t>5</w:t>
      </w:r>
      <w:r w:rsidR="00625882" w:rsidRPr="00FE1381">
        <w:rPr>
          <w:sz w:val="24"/>
          <w:szCs w:val="24"/>
        </w:rPr>
        <w:t xml:space="preserve"> ir </w:t>
      </w:r>
      <w:r w:rsidR="00343451" w:rsidRPr="00FE1381">
        <w:rPr>
          <w:sz w:val="24"/>
          <w:szCs w:val="24"/>
        </w:rPr>
        <w:t>6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 w:rsidRPr="00FE1381">
        <w:rPr>
          <w:sz w:val="24"/>
          <w:szCs w:val="24"/>
        </w:rPr>
        <w:t xml:space="preserve">Nacionalinės </w:t>
      </w:r>
      <w:r w:rsidRPr="00FE1381">
        <w:rPr>
          <w:sz w:val="24"/>
          <w:szCs w:val="24"/>
        </w:rPr>
        <w:t>švietimo</w:t>
      </w:r>
      <w:r w:rsidR="008E4AB0" w:rsidRPr="00FE1381">
        <w:rPr>
          <w:sz w:val="24"/>
          <w:szCs w:val="24"/>
        </w:rPr>
        <w:t xml:space="preserve"> agentūros 202</w:t>
      </w:r>
      <w:r w:rsidR="00343451" w:rsidRPr="00FE1381">
        <w:rPr>
          <w:sz w:val="24"/>
          <w:szCs w:val="24"/>
        </w:rPr>
        <w:t>1</w:t>
      </w:r>
      <w:r w:rsidR="008E4AB0" w:rsidRPr="00FE1381">
        <w:rPr>
          <w:sz w:val="24"/>
          <w:szCs w:val="24"/>
        </w:rPr>
        <w:t xml:space="preserve"> m. </w:t>
      </w:r>
      <w:r w:rsidR="00476434" w:rsidRPr="00FE1381">
        <w:rPr>
          <w:sz w:val="24"/>
          <w:szCs w:val="24"/>
        </w:rPr>
        <w:t>liepos 28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476434" w:rsidRPr="00FE1381">
        <w:rPr>
          <w:sz w:val="24"/>
          <w:szCs w:val="24"/>
        </w:rPr>
        <w:t>2457</w:t>
      </w:r>
      <w:r w:rsidR="00F659AC" w:rsidRPr="00FE1381">
        <w:rPr>
          <w:sz w:val="24"/>
          <w:szCs w:val="24"/>
        </w:rPr>
        <w:t>(1.6E)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343451" w:rsidRPr="00FE1381">
        <w:rPr>
          <w:sz w:val="24"/>
          <w:szCs w:val="24"/>
        </w:rPr>
        <w:t xml:space="preserve"> trumpalaikio turto perdavimo </w:t>
      </w:r>
      <w:r w:rsidR="00476434" w:rsidRPr="00FE1381">
        <w:rPr>
          <w:sz w:val="24"/>
          <w:szCs w:val="24"/>
        </w:rPr>
        <w:t xml:space="preserve">nuosavybės </w:t>
      </w:r>
      <w:r w:rsidR="00343451" w:rsidRPr="00FE1381">
        <w:rPr>
          <w:sz w:val="24"/>
          <w:szCs w:val="24"/>
        </w:rPr>
        <w:t>teise</w:t>
      </w:r>
      <w:r w:rsidR="00476434" w:rsidRPr="00FE1381">
        <w:rPr>
          <w:sz w:val="24"/>
          <w:szCs w:val="24"/>
        </w:rPr>
        <w:t xml:space="preserve"> valdyti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savarankiškosioms funkcijoms įgyvendinti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F659AC" w:rsidRPr="00FE1381">
        <w:rPr>
          <w:sz w:val="24"/>
          <w:szCs w:val="24"/>
        </w:rPr>
        <w:t xml:space="preserve">Nacionalinės švietimo agentūros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 (</w:t>
      </w:r>
      <w:r w:rsidR="00476434" w:rsidRPr="00FE1381">
        <w:rPr>
          <w:sz w:val="24"/>
          <w:szCs w:val="24"/>
        </w:rPr>
        <w:t>pridedama</w:t>
      </w:r>
      <w:r w:rsidR="00343451" w:rsidRPr="00FE1381">
        <w:rPr>
          <w:sz w:val="24"/>
          <w:szCs w:val="24"/>
        </w:rPr>
        <w:t>)</w:t>
      </w:r>
      <w:r w:rsidRPr="00FE1381">
        <w:rPr>
          <w:sz w:val="24"/>
          <w:szCs w:val="24"/>
        </w:rPr>
        <w:t>.</w:t>
      </w: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Perėmus</w:t>
      </w:r>
      <w:r w:rsidR="00C308A9">
        <w:rPr>
          <w:sz w:val="24"/>
          <w:szCs w:val="24"/>
        </w:rPr>
        <w:t>i</w:t>
      </w:r>
      <w:r w:rsidR="00CD2930" w:rsidRPr="00FE1381">
        <w:rPr>
          <w:sz w:val="24"/>
          <w:szCs w:val="24"/>
        </w:rPr>
        <w:t xml:space="preserve"> savivaldybės nuosavybėn sprendimo 1 punkte nurodytą turtą, jį perduoti   sprendimo priede nurodytoms įstaigoms</w:t>
      </w:r>
      <w:r w:rsidR="00592B18"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3.  Savivaldybės nuosavybėn  perduotas turtas bus naudojamas bendrojo ugdymo mokyklų specialiųjų ugdymosi poreikių turinčių mokinių ugdymui organizuoti, specialiajai ir speci</w:t>
      </w:r>
      <w:r w:rsidR="00C76DD8" w:rsidRPr="00FE1381">
        <w:rPr>
          <w:sz w:val="24"/>
          <w:szCs w:val="24"/>
        </w:rPr>
        <w:t>a</w:t>
      </w:r>
      <w:r w:rsidRPr="00FE1381">
        <w:rPr>
          <w:sz w:val="24"/>
          <w:szCs w:val="24"/>
        </w:rPr>
        <w:t xml:space="preserve">liajai pedagoginei pagalbai teikti. </w:t>
      </w:r>
    </w:p>
    <w:p w:rsidR="005A3BBD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 xml:space="preserve">1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aktą.</w:t>
      </w:r>
    </w:p>
    <w:p w:rsidR="00B8016C" w:rsidRDefault="00B8016C" w:rsidP="00521032">
      <w:pPr>
        <w:autoSpaceDE w:val="0"/>
        <w:ind w:firstLine="720"/>
        <w:jc w:val="both"/>
        <w:rPr>
          <w:sz w:val="24"/>
          <w:szCs w:val="24"/>
        </w:rPr>
      </w:pPr>
    </w:p>
    <w:p w:rsidR="00B8016C" w:rsidRDefault="00B8016C" w:rsidP="00521032">
      <w:pPr>
        <w:autoSpaceDE w:val="0"/>
        <w:ind w:firstLine="720"/>
        <w:jc w:val="both"/>
        <w:rPr>
          <w:sz w:val="24"/>
          <w:szCs w:val="24"/>
        </w:rPr>
      </w:pPr>
    </w:p>
    <w:p w:rsidR="00B8016C" w:rsidRDefault="00B8016C" w:rsidP="00B8016C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B8016C" w:rsidRDefault="00B8016C" w:rsidP="00B8016C">
      <w:pPr>
        <w:ind w:right="-1185"/>
        <w:jc w:val="center"/>
        <w:rPr>
          <w:sz w:val="24"/>
        </w:rPr>
      </w:pPr>
    </w:p>
    <w:p w:rsidR="00B8016C" w:rsidRDefault="00B8016C" w:rsidP="00B8016C">
      <w:pPr>
        <w:ind w:right="-1185"/>
        <w:jc w:val="center"/>
        <w:rPr>
          <w:sz w:val="24"/>
        </w:rPr>
      </w:pPr>
    </w:p>
    <w:p w:rsidR="00B8016C" w:rsidRDefault="00B8016C" w:rsidP="00B8016C">
      <w:pPr>
        <w:ind w:right="-1185"/>
        <w:jc w:val="center"/>
        <w:rPr>
          <w:sz w:val="24"/>
        </w:rPr>
      </w:pPr>
    </w:p>
    <w:p w:rsidR="00B8016C" w:rsidRDefault="00B8016C" w:rsidP="00B8016C">
      <w:pPr>
        <w:ind w:right="-1185"/>
        <w:jc w:val="center"/>
        <w:rPr>
          <w:sz w:val="24"/>
        </w:rPr>
      </w:pPr>
    </w:p>
    <w:p w:rsidR="00B8016C" w:rsidRPr="00FE1381" w:rsidRDefault="00B8016C" w:rsidP="00521032">
      <w:pPr>
        <w:autoSpaceDE w:val="0"/>
        <w:ind w:firstLine="720"/>
        <w:jc w:val="both"/>
        <w:rPr>
          <w:sz w:val="24"/>
          <w:szCs w:val="24"/>
        </w:rPr>
      </w:pPr>
    </w:p>
    <w:p w:rsidR="005A3BBD" w:rsidRPr="00FE1381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b/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E3BBF" w:rsidRPr="00FE1381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FE1381">
        <w:rPr>
          <w:sz w:val="24"/>
          <w:szCs w:val="24"/>
        </w:rPr>
        <w:t>Panevėžio rajono savivaldybės tarybos</w:t>
      </w:r>
    </w:p>
    <w:p w:rsidR="005E3BBF" w:rsidRPr="00FE1381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2021 m. </w:t>
      </w:r>
      <w:r w:rsidR="00C76DD8" w:rsidRPr="00FE1381">
        <w:rPr>
          <w:sz w:val="24"/>
          <w:szCs w:val="24"/>
        </w:rPr>
        <w:t>rugpjūčio 26</w:t>
      </w:r>
      <w:r w:rsidRPr="00FE1381">
        <w:rPr>
          <w:sz w:val="24"/>
          <w:szCs w:val="24"/>
        </w:rPr>
        <w:t xml:space="preserve"> d. sprendimo Nr. T-</w:t>
      </w:r>
      <w:r w:rsidR="00B8016C">
        <w:rPr>
          <w:sz w:val="24"/>
          <w:szCs w:val="24"/>
        </w:rPr>
        <w:t>176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  <w:r w:rsidRPr="00FE1381">
        <w:rPr>
          <w:sz w:val="24"/>
          <w:szCs w:val="24"/>
        </w:rPr>
        <w:t>p</w:t>
      </w:r>
      <w:r w:rsidR="005E3BBF" w:rsidRPr="00FE1381">
        <w:rPr>
          <w:sz w:val="24"/>
          <w:szCs w:val="24"/>
        </w:rPr>
        <w:t>riedas</w:t>
      </w:r>
    </w:p>
    <w:p w:rsidR="00462CFA" w:rsidRPr="00FE1381" w:rsidRDefault="00462CFA" w:rsidP="00462CFA">
      <w:pPr>
        <w:pStyle w:val="Standard"/>
        <w:ind w:left="4320" w:firstLine="720"/>
        <w:rPr>
          <w:sz w:val="24"/>
          <w:szCs w:val="24"/>
        </w:rPr>
      </w:pPr>
    </w:p>
    <w:p w:rsidR="00462CFA" w:rsidRPr="00FE1381" w:rsidRDefault="00462CFA" w:rsidP="00462CFA">
      <w:pPr>
        <w:pStyle w:val="Standard"/>
        <w:tabs>
          <w:tab w:val="left" w:pos="3119"/>
        </w:tabs>
        <w:ind w:left="3119" w:firstLine="720"/>
        <w:rPr>
          <w:sz w:val="24"/>
          <w:szCs w:val="24"/>
        </w:rPr>
      </w:pPr>
      <w:r w:rsidRPr="00FE1381">
        <w:rPr>
          <w:sz w:val="24"/>
          <w:szCs w:val="24"/>
        </w:rPr>
        <w:t>Trumpalaikio turto sąrašas</w:t>
      </w:r>
    </w:p>
    <w:p w:rsidR="00462CFA" w:rsidRPr="00FE1381" w:rsidRDefault="00462CFA" w:rsidP="00462CFA">
      <w:pPr>
        <w:pStyle w:val="Standard"/>
        <w:ind w:left="4320" w:firstLine="720"/>
        <w:jc w:val="center"/>
        <w:rPr>
          <w:sz w:val="24"/>
          <w:szCs w:val="24"/>
        </w:rPr>
      </w:pPr>
    </w:p>
    <w:tbl>
      <w:tblPr>
        <w:tblW w:w="9923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722"/>
        <w:gridCol w:w="1689"/>
        <w:gridCol w:w="2126"/>
        <w:gridCol w:w="1276"/>
        <w:gridCol w:w="1134"/>
        <w:gridCol w:w="708"/>
        <w:gridCol w:w="1134"/>
        <w:gridCol w:w="1134"/>
      </w:tblGrid>
      <w:tr w:rsidR="00462CFA" w:rsidRPr="00FE1381" w:rsidTr="00462CFA">
        <w:trPr>
          <w:trHeight w:val="826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Eil. Nr.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Biudžetinės įstaigos pavadinimas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Turto pavadinimas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Inventori-nis Nr.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Įsigijimo metai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Kie</w:t>
            </w:r>
            <w:r w:rsidR="00462CFA"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-</w:t>
            </w: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kis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Vieneto įsigijimo vertė, Eur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Bendra įsigijimo vertė, Eur</w:t>
            </w:r>
          </w:p>
        </w:tc>
      </w:tr>
      <w:tr w:rsidR="00462CFA" w:rsidRPr="00FE1381" w:rsidTr="00462CFA">
        <w:trPr>
          <w:trHeight w:val="653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Panevėžio r. Paliūniškio pagrindinė mokykla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Komunikatoriai </w:t>
            </w:r>
          </w:p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3 tipo </w:t>
            </w:r>
            <w:r w:rsidRPr="00FE1381">
              <w:rPr>
                <w:i/>
                <w:iCs/>
                <w:color w:val="000000"/>
                <w:sz w:val="22"/>
                <w:szCs w:val="22"/>
                <w:lang w:eastAsia="lt-LT"/>
              </w:rPr>
              <w:t>Go Talk Go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AT003599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237,16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237,16</w:t>
            </w:r>
          </w:p>
        </w:tc>
      </w:tr>
      <w:tr w:rsidR="00462CFA" w:rsidRPr="00FE1381" w:rsidTr="00462CFA">
        <w:trPr>
          <w:trHeight w:val="682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Panevėžio r. Pažagienių mokykla-darželis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Komunikatoriai</w:t>
            </w:r>
          </w:p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3 tipo </w:t>
            </w:r>
            <w:r w:rsidRPr="00FE1381">
              <w:rPr>
                <w:i/>
                <w:iCs/>
                <w:color w:val="000000"/>
                <w:sz w:val="22"/>
                <w:szCs w:val="22"/>
                <w:lang w:eastAsia="lt-LT"/>
              </w:rPr>
              <w:t>Go Talk Go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AT003599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2020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237,16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237,16</w:t>
            </w:r>
          </w:p>
        </w:tc>
      </w:tr>
      <w:tr w:rsidR="00462CFA" w:rsidRPr="00FE1381" w:rsidTr="00462CFA">
        <w:trPr>
          <w:trHeight w:val="682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Panevėžio r. Upytės Antano Belazaro pagrindinė mokykla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GT+Komunikatorius B tipo </w:t>
            </w:r>
            <w:r w:rsidRPr="00FE1381">
              <w:rPr>
                <w:i/>
                <w:iCs/>
                <w:color w:val="000000"/>
                <w:sz w:val="22"/>
                <w:szCs w:val="22"/>
                <w:lang w:eastAsia="lt-LT"/>
              </w:rPr>
              <w:t>Go Talk+9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AT001872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2018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272,48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272,48</w:t>
            </w:r>
          </w:p>
        </w:tc>
      </w:tr>
      <w:tr w:rsidR="00462CFA" w:rsidRPr="00FE1381" w:rsidTr="00462CFA">
        <w:trPr>
          <w:trHeight w:val="710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Panevėžio rajono Smilgių gimnazija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DD8" w:rsidRPr="00FE1381" w:rsidRDefault="00C76DD8" w:rsidP="00C76D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S</w:t>
            </w:r>
            <w:r w:rsidR="00FE1381" w:rsidRPr="00FE1381">
              <w:rPr>
                <w:color w:val="000000"/>
                <w:sz w:val="22"/>
                <w:szCs w:val="22"/>
                <w:lang w:eastAsia="lt-LT"/>
              </w:rPr>
              <w:t>PORDAS</w:t>
            </w: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 priemonė Blanket </w:t>
            </w:r>
            <w:r w:rsidRPr="00FE1381">
              <w:rPr>
                <w:i/>
                <w:iCs/>
                <w:color w:val="000000"/>
                <w:sz w:val="22"/>
                <w:szCs w:val="22"/>
                <w:lang w:eastAsia="lt-LT"/>
              </w:rPr>
              <w:t>Lay-On-Me</w:t>
            </w:r>
            <w:r w:rsidR="00FE1381" w:rsidRPr="00FE1381">
              <w:rPr>
                <w:iCs/>
                <w:color w:val="000000"/>
                <w:sz w:val="22"/>
                <w:szCs w:val="22"/>
                <w:lang w:eastAsia="lt-LT"/>
              </w:rPr>
              <w:t>,</w:t>
            </w:r>
            <w:r w:rsidRPr="00FE1381">
              <w:rPr>
                <w:color w:val="000000"/>
                <w:sz w:val="22"/>
                <w:szCs w:val="22"/>
                <w:lang w:eastAsia="lt-LT"/>
              </w:rPr>
              <w:t xml:space="preserve">  kodas M592519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AT001870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2018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78,9888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78,9888</w:t>
            </w:r>
          </w:p>
        </w:tc>
      </w:tr>
      <w:tr w:rsidR="00462CFA" w:rsidRPr="00FE1381" w:rsidTr="00462CFA">
        <w:trPr>
          <w:trHeight w:val="290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D8" w:rsidRPr="00FE1381" w:rsidRDefault="00C76DD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FE1381">
              <w:rPr>
                <w:b/>
                <w:bCs/>
                <w:color w:val="000000"/>
                <w:sz w:val="22"/>
                <w:szCs w:val="22"/>
                <w:lang w:eastAsia="lt-LT"/>
              </w:rPr>
              <w:t>825,7888</w:t>
            </w:r>
          </w:p>
        </w:tc>
      </w:tr>
    </w:tbl>
    <w:p w:rsidR="00E66A06" w:rsidRPr="00FE1381" w:rsidRDefault="000D2968" w:rsidP="000D2968">
      <w:pPr>
        <w:tabs>
          <w:tab w:val="center" w:pos="5411"/>
          <w:tab w:val="left" w:pos="9255"/>
        </w:tabs>
        <w:ind w:right="-1185"/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____________________</w:t>
      </w:r>
    </w:p>
    <w:p w:rsidR="00E66A06" w:rsidRPr="00FE1381" w:rsidRDefault="00E66A06" w:rsidP="000D2968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0D2968" w:rsidRPr="00FE1381" w:rsidRDefault="000D2968">
      <w:pPr>
        <w:ind w:right="-1185"/>
        <w:jc w:val="center"/>
        <w:rPr>
          <w:b/>
          <w:sz w:val="24"/>
          <w:szCs w:val="24"/>
        </w:rPr>
      </w:pPr>
    </w:p>
    <w:p w:rsidR="00C51919" w:rsidRPr="00FE1381" w:rsidRDefault="00C51919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FE1381" w:rsidRDefault="00E66A06">
      <w:pPr>
        <w:ind w:right="-1185"/>
        <w:jc w:val="center"/>
        <w:rPr>
          <w:b/>
          <w:sz w:val="24"/>
          <w:szCs w:val="24"/>
        </w:rPr>
      </w:pPr>
    </w:p>
    <w:p w:rsidR="00D01222" w:rsidRPr="00FE1381" w:rsidRDefault="00D01222">
      <w:pPr>
        <w:ind w:right="-1185"/>
        <w:jc w:val="center"/>
        <w:rPr>
          <w:b/>
          <w:sz w:val="24"/>
          <w:szCs w:val="24"/>
        </w:rPr>
      </w:pPr>
      <w:bookmarkStart w:id="0" w:name="_GoBack"/>
      <w:bookmarkEnd w:id="0"/>
    </w:p>
    <w:sectPr w:rsidR="00D01222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001" w:rsidRDefault="009B0001">
      <w:r>
        <w:separator/>
      </w:r>
    </w:p>
  </w:endnote>
  <w:endnote w:type="continuationSeparator" w:id="0">
    <w:p w:rsidR="009B0001" w:rsidRDefault="009B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001" w:rsidRDefault="009B0001">
      <w:r>
        <w:separator/>
      </w:r>
    </w:p>
  </w:footnote>
  <w:footnote w:type="continuationSeparator" w:id="0">
    <w:p w:rsidR="009B0001" w:rsidRDefault="009B0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57FCE"/>
    <w:rsid w:val="00096F0F"/>
    <w:rsid w:val="000D2968"/>
    <w:rsid w:val="000F2C4F"/>
    <w:rsid w:val="000F536F"/>
    <w:rsid w:val="00146AC7"/>
    <w:rsid w:val="00252C8D"/>
    <w:rsid w:val="0026656E"/>
    <w:rsid w:val="002B03FC"/>
    <w:rsid w:val="002C52F3"/>
    <w:rsid w:val="00302B83"/>
    <w:rsid w:val="0031166B"/>
    <w:rsid w:val="00343451"/>
    <w:rsid w:val="003D4CEE"/>
    <w:rsid w:val="00406F1C"/>
    <w:rsid w:val="0041657F"/>
    <w:rsid w:val="00423437"/>
    <w:rsid w:val="00427088"/>
    <w:rsid w:val="004277F9"/>
    <w:rsid w:val="004405E9"/>
    <w:rsid w:val="00457DD5"/>
    <w:rsid w:val="00462CFA"/>
    <w:rsid w:val="00467708"/>
    <w:rsid w:val="00476434"/>
    <w:rsid w:val="004E19A6"/>
    <w:rsid w:val="004E37D3"/>
    <w:rsid w:val="004F381D"/>
    <w:rsid w:val="005067D5"/>
    <w:rsid w:val="00521032"/>
    <w:rsid w:val="00566307"/>
    <w:rsid w:val="00592B18"/>
    <w:rsid w:val="005A3BBD"/>
    <w:rsid w:val="005E2AAA"/>
    <w:rsid w:val="005E3BBF"/>
    <w:rsid w:val="00606221"/>
    <w:rsid w:val="00625882"/>
    <w:rsid w:val="006473A0"/>
    <w:rsid w:val="006F57A5"/>
    <w:rsid w:val="0074275C"/>
    <w:rsid w:val="007A02DD"/>
    <w:rsid w:val="007A26FD"/>
    <w:rsid w:val="007A5B9B"/>
    <w:rsid w:val="007D19D3"/>
    <w:rsid w:val="008073EA"/>
    <w:rsid w:val="00837377"/>
    <w:rsid w:val="008729C4"/>
    <w:rsid w:val="008915E0"/>
    <w:rsid w:val="00896F4A"/>
    <w:rsid w:val="008C125F"/>
    <w:rsid w:val="008D7067"/>
    <w:rsid w:val="008E4AB0"/>
    <w:rsid w:val="00916844"/>
    <w:rsid w:val="00935FF7"/>
    <w:rsid w:val="009445EB"/>
    <w:rsid w:val="00960129"/>
    <w:rsid w:val="009B0001"/>
    <w:rsid w:val="00A417E5"/>
    <w:rsid w:val="00B26591"/>
    <w:rsid w:val="00B30D79"/>
    <w:rsid w:val="00B401B9"/>
    <w:rsid w:val="00B52EC0"/>
    <w:rsid w:val="00B63DF1"/>
    <w:rsid w:val="00B71A48"/>
    <w:rsid w:val="00B8016C"/>
    <w:rsid w:val="00BB4296"/>
    <w:rsid w:val="00BD0565"/>
    <w:rsid w:val="00BE7ABE"/>
    <w:rsid w:val="00BF134F"/>
    <w:rsid w:val="00C308A9"/>
    <w:rsid w:val="00C4187B"/>
    <w:rsid w:val="00C51919"/>
    <w:rsid w:val="00C76DD8"/>
    <w:rsid w:val="00CB34F0"/>
    <w:rsid w:val="00CD2930"/>
    <w:rsid w:val="00CF3250"/>
    <w:rsid w:val="00D01222"/>
    <w:rsid w:val="00D46FD2"/>
    <w:rsid w:val="00D72E2B"/>
    <w:rsid w:val="00DC750E"/>
    <w:rsid w:val="00DD28DC"/>
    <w:rsid w:val="00DF4B97"/>
    <w:rsid w:val="00E0442B"/>
    <w:rsid w:val="00E20E1B"/>
    <w:rsid w:val="00E57A72"/>
    <w:rsid w:val="00E66A06"/>
    <w:rsid w:val="00EE4BF2"/>
    <w:rsid w:val="00F02644"/>
    <w:rsid w:val="00F659AC"/>
    <w:rsid w:val="00F83CA0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6654-A0BB-4A6B-BF10-01013E7E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1528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2021-04-22T06:44:00Z</cp:lastPrinted>
  <dcterms:created xsi:type="dcterms:W3CDTF">2021-08-26T07:15:00Z</dcterms:created>
  <dcterms:modified xsi:type="dcterms:W3CDTF">2021-08-26T07:15:00Z</dcterms:modified>
</cp:coreProperties>
</file>