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77C" w:rsidRDefault="00A7484F" w:rsidP="00A7484F">
      <w:pPr>
        <w:pStyle w:val="Antrats"/>
        <w:tabs>
          <w:tab w:val="center" w:pos="4819"/>
          <w:tab w:val="left" w:pos="7275"/>
        </w:tabs>
      </w:pPr>
      <w:r>
        <w:tab/>
      </w:r>
      <w:r>
        <w:tab/>
      </w:r>
      <w:r w:rsidR="007406E7">
        <w:t xml:space="preserve">       </w:t>
      </w:r>
      <w:r w:rsidR="007406E7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E7">
        <w:t xml:space="preserve">  </w:t>
      </w:r>
      <w:r>
        <w:tab/>
      </w:r>
    </w:p>
    <w:p w:rsidR="007406E7" w:rsidRDefault="007406E7" w:rsidP="007406E7">
      <w:pPr>
        <w:pStyle w:val="Antrats"/>
        <w:jc w:val="center"/>
      </w:pPr>
      <w:r>
        <w:t xml:space="preserve">                              </w:t>
      </w:r>
    </w:p>
    <w:p w:rsidR="007406E7" w:rsidRDefault="007406E7" w:rsidP="007406E7">
      <w:pPr>
        <w:pStyle w:val="Antrats"/>
        <w:jc w:val="center"/>
      </w:pP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PANEVĖŽIO RAJONO SAVIVALDYBĖS TARYBA</w:t>
      </w: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</w:p>
    <w:p w:rsidR="007406E7" w:rsidRPr="00260A83" w:rsidRDefault="007406E7" w:rsidP="007406E7">
      <w:pPr>
        <w:pStyle w:val="Antrats"/>
        <w:jc w:val="center"/>
        <w:rPr>
          <w:b/>
          <w:sz w:val="28"/>
          <w:szCs w:val="28"/>
        </w:rPr>
      </w:pPr>
      <w:r w:rsidRPr="00260A83">
        <w:rPr>
          <w:b/>
          <w:sz w:val="28"/>
          <w:szCs w:val="28"/>
        </w:rPr>
        <w:t>SPRENDIMAS</w:t>
      </w:r>
    </w:p>
    <w:p w:rsidR="0084721B" w:rsidRDefault="0084721B" w:rsidP="0084721B">
      <w:pPr>
        <w:pStyle w:val="Pagrindinistekstas"/>
      </w:pPr>
      <w:r>
        <w:t>DĖL PANEVĖŽIO RAJONO SAVIVALDYBĖS TARYBOS 2019 M. GRUODŽIO 31 D. SPRENDIMO NR. T-280 „DĖL PANEVĖŽIO RAJONO SAVIVALDYBĖS BIUDŽETINIŲ ĮSTAIGŲ VADOVŲ DARBO APMOKĖJIMO SISTEMOS PATVIRTINIMO“ PAKEITIMO</w:t>
      </w:r>
    </w:p>
    <w:p w:rsidR="0084721B" w:rsidRDefault="0084721B" w:rsidP="0084721B">
      <w:pPr>
        <w:rPr>
          <w:sz w:val="24"/>
          <w:lang w:val="lt-LT"/>
        </w:rPr>
      </w:pPr>
    </w:p>
    <w:p w:rsidR="0084721B" w:rsidRDefault="00627F6E" w:rsidP="0084721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2021 m. sausio 21 </w:t>
      </w:r>
      <w:r w:rsidR="0084721B">
        <w:rPr>
          <w:sz w:val="24"/>
          <w:lang w:val="lt-LT"/>
        </w:rPr>
        <w:t>d. Nr. T-</w:t>
      </w:r>
      <w:r w:rsidR="00AA72AB">
        <w:rPr>
          <w:sz w:val="24"/>
          <w:lang w:val="lt-LT"/>
        </w:rPr>
        <w:t>13</w:t>
      </w:r>
    </w:p>
    <w:p w:rsidR="007406E7" w:rsidRPr="0084721B" w:rsidRDefault="0084721B" w:rsidP="0084721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7406E7" w:rsidRDefault="007406E7" w:rsidP="007406E7">
      <w:pPr>
        <w:shd w:val="clear" w:color="auto" w:fill="FFFFFF"/>
        <w:tabs>
          <w:tab w:val="left" w:pos="6096"/>
        </w:tabs>
        <w:jc w:val="both"/>
        <w:rPr>
          <w:sz w:val="24"/>
        </w:rPr>
      </w:pPr>
    </w:p>
    <w:p w:rsidR="007406E7" w:rsidRDefault="007406E7" w:rsidP="007406E7">
      <w:pPr>
        <w:jc w:val="both"/>
        <w:rPr>
          <w:color w:val="000000"/>
          <w:sz w:val="24"/>
          <w:lang w:val="lt-LT"/>
        </w:rPr>
      </w:pPr>
      <w:r>
        <w:rPr>
          <w:sz w:val="24"/>
        </w:rPr>
        <w:tab/>
      </w:r>
      <w:r>
        <w:rPr>
          <w:sz w:val="24"/>
          <w:szCs w:val="24"/>
        </w:rPr>
        <w:t xml:space="preserve">Vadovaudamasi Lietuvos Respublikos vietos savivaldos įstatymo 16 straipsnio 4 dalimi,         18 straipsnio 1 dalimi </w:t>
      </w:r>
      <w:r>
        <w:rPr>
          <w:color w:val="000000"/>
          <w:sz w:val="24"/>
          <w:lang w:val="lt-LT"/>
        </w:rPr>
        <w:t xml:space="preserve">ir Lietuvos Respublikos valstybės ir savivaldybių įstaigų darbuotojų </w:t>
      </w:r>
      <w:r w:rsidR="00A7484F">
        <w:rPr>
          <w:color w:val="000000"/>
          <w:sz w:val="24"/>
          <w:lang w:val="lt-LT"/>
        </w:rPr>
        <w:t xml:space="preserve">             </w:t>
      </w:r>
      <w:r>
        <w:rPr>
          <w:color w:val="000000"/>
          <w:sz w:val="24"/>
          <w:lang w:val="lt-LT"/>
        </w:rPr>
        <w:t>darbo apmokėjimo</w:t>
      </w:r>
      <w:r w:rsidR="00A63E10">
        <w:rPr>
          <w:color w:val="000000"/>
          <w:sz w:val="24"/>
          <w:lang w:val="lt-LT"/>
        </w:rPr>
        <w:t xml:space="preserve"> </w:t>
      </w:r>
      <w:r w:rsidR="00FC0F8F">
        <w:rPr>
          <w:color w:val="000000"/>
          <w:sz w:val="24"/>
          <w:lang w:val="lt-LT"/>
        </w:rPr>
        <w:t xml:space="preserve">ir komisijų narių atlygio už darbą </w:t>
      </w:r>
      <w:r w:rsidR="0084721B">
        <w:rPr>
          <w:color w:val="000000"/>
          <w:sz w:val="24"/>
          <w:lang w:val="lt-LT"/>
        </w:rPr>
        <w:t>įstatymo NR. XIII-198 1, 5, 7, 9, 10, 11, 12, 16 straipsnių ir 1, 2, 3, 4, 5 priedų pakeitimo įstatymu</w:t>
      </w:r>
      <w:r w:rsidR="0084721B">
        <w:rPr>
          <w:sz w:val="24"/>
          <w:szCs w:val="24"/>
        </w:rPr>
        <w:t xml:space="preserve">, Savivaldybės taryba                                                              </w:t>
      </w:r>
      <w:r>
        <w:rPr>
          <w:spacing w:val="40"/>
          <w:sz w:val="24"/>
          <w:szCs w:val="24"/>
        </w:rPr>
        <w:t>n u s p r e n d ž i a:</w:t>
      </w:r>
      <w:r>
        <w:rPr>
          <w:sz w:val="24"/>
          <w:szCs w:val="24"/>
        </w:rPr>
        <w:t xml:space="preserve"> </w:t>
      </w:r>
    </w:p>
    <w:p w:rsidR="0084721B" w:rsidRDefault="007406E7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 xml:space="preserve">1. </w:t>
      </w:r>
      <w:r w:rsidR="0084721B">
        <w:rPr>
          <w:sz w:val="24"/>
          <w:lang w:val="lt-LT"/>
        </w:rPr>
        <w:t>Pakeisti Panevėžio rajono savivaldybės biudžetinių įstaigų vadovų darbo apmokėjimo sistemą, patvirtintą Savivaldybės tarybos 2019 m. gruodžio 31 d. sprendimu Nr. T-280 „Dėl Panevėžio rajono savivaldybės biudžetinių įstaigų vadovų darbo apmokėjimo sistemos patvirtinimo“:</w:t>
      </w:r>
    </w:p>
    <w:p w:rsidR="00E313C9" w:rsidRPr="00E313C9" w:rsidRDefault="00E313C9" w:rsidP="00E313C9">
      <w:pPr>
        <w:jc w:val="both"/>
        <w:rPr>
          <w:sz w:val="24"/>
          <w:szCs w:val="24"/>
        </w:rPr>
      </w:pPr>
      <w:r w:rsidRPr="00E313C9">
        <w:rPr>
          <w:sz w:val="24"/>
          <w:lang w:val="lt-LT"/>
        </w:rPr>
        <w:tab/>
      </w:r>
      <w:r w:rsidRPr="00E313C9">
        <w:rPr>
          <w:sz w:val="24"/>
          <w:szCs w:val="24"/>
          <w:lang w:val="lt-LT"/>
        </w:rPr>
        <w:t>1</w:t>
      </w:r>
      <w:r w:rsidRPr="00E313C9">
        <w:rPr>
          <w:sz w:val="24"/>
          <w:szCs w:val="24"/>
        </w:rPr>
        <w:t>.</w:t>
      </w:r>
      <w:r w:rsidR="00F649F8">
        <w:rPr>
          <w:sz w:val="24"/>
          <w:szCs w:val="24"/>
        </w:rPr>
        <w:t>1.</w:t>
      </w:r>
      <w:r w:rsidR="00627F6E">
        <w:rPr>
          <w:sz w:val="24"/>
          <w:szCs w:val="24"/>
        </w:rPr>
        <w:t xml:space="preserve"> pakeisti 7.3</w:t>
      </w:r>
      <w:r w:rsidRPr="00E313C9">
        <w:rPr>
          <w:sz w:val="24"/>
          <w:szCs w:val="24"/>
        </w:rPr>
        <w:t xml:space="preserve"> papunktį ir jį išdėstyti taip:</w:t>
      </w:r>
    </w:p>
    <w:p w:rsidR="00E313C9" w:rsidRPr="00E313C9" w:rsidRDefault="00E313C9" w:rsidP="000F4094">
      <w:pPr>
        <w:ind w:firstLine="720"/>
        <w:jc w:val="both"/>
        <w:rPr>
          <w:sz w:val="24"/>
          <w:szCs w:val="24"/>
        </w:rPr>
      </w:pPr>
      <w:r w:rsidRPr="00E313C9">
        <w:rPr>
          <w:sz w:val="24"/>
          <w:szCs w:val="24"/>
        </w:rPr>
        <w:t xml:space="preserve">„7.3. </w:t>
      </w:r>
      <w:r>
        <w:rPr>
          <w:sz w:val="24"/>
          <w:szCs w:val="24"/>
        </w:rPr>
        <w:t>mokėjimas už darbą poilsio ir švenčių dienomis, nakties bei višvalandinį darbą, budėjimą;“;</w:t>
      </w:r>
    </w:p>
    <w:p w:rsidR="0084721B" w:rsidRDefault="0084721B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>1.</w:t>
      </w:r>
      <w:r w:rsidR="00E313C9">
        <w:rPr>
          <w:sz w:val="24"/>
          <w:lang w:val="lt-LT"/>
        </w:rPr>
        <w:t>2</w:t>
      </w:r>
      <w:r>
        <w:rPr>
          <w:sz w:val="24"/>
          <w:lang w:val="lt-LT"/>
        </w:rPr>
        <w:t>. pakeisti 8.5 papunktį ir jį išdėstyti taip:</w:t>
      </w:r>
    </w:p>
    <w:p w:rsidR="0084721B" w:rsidRPr="00FC0F8F" w:rsidRDefault="0084721B" w:rsidP="0084721B">
      <w:pPr>
        <w:ind w:firstLine="720"/>
        <w:jc w:val="both"/>
        <w:rPr>
          <w:rFonts w:eastAsiaTheme="minorHAnsi"/>
          <w:bCs/>
          <w:sz w:val="24"/>
          <w:szCs w:val="24"/>
          <w:lang w:val="lt-LT"/>
        </w:rPr>
      </w:pPr>
      <w:r>
        <w:rPr>
          <w:rStyle w:val="Grietas"/>
          <w:rFonts w:eastAsiaTheme="minorHAnsi"/>
          <w:b w:val="0"/>
          <w:sz w:val="24"/>
          <w:szCs w:val="24"/>
          <w:lang w:val="lt-LT"/>
        </w:rPr>
        <w:t>„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 xml:space="preserve">8.5. nustatant pareiginės algos pastoviąją dalį, papildomai įvertinamas 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savivaldybės 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>kultūros ir meno įstaigų aukščiausiojo profesinio meninio lygio kultūros ir meno darbuotojų nacionaliniu ir tarptaut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>iniu mastu įgytas pripažinimas,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Lietuvos Respublikos Vyriausybės ar jos įgaliotos institucijos nustatytas tam tikrų profesijų atstovų trūkumas Lietuvos Respublikos darbo rinkoje, </w:t>
      </w:r>
      <w:r w:rsidRPr="001C493F">
        <w:rPr>
          <w:rStyle w:val="Grietas"/>
          <w:rFonts w:eastAsiaTheme="minorHAnsi"/>
          <w:b w:val="0"/>
          <w:sz w:val="24"/>
          <w:szCs w:val="24"/>
          <w:lang w:val="lt-LT"/>
        </w:rPr>
        <w:t>darbuotojo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</w:t>
      </w:r>
      <w:r w:rsidRPr="000B0BA5">
        <w:rPr>
          <w:rStyle w:val="Grietas"/>
          <w:rFonts w:eastAsiaTheme="minorHAnsi"/>
          <w:b w:val="0"/>
          <w:sz w:val="24"/>
          <w:szCs w:val="24"/>
          <w:lang w:val="lt-LT"/>
        </w:rPr>
        <w:t>aukšta kvalifikacinė kategorija, nustatyta pagal tam tikrai darbuotojų grupei keliamus kvalifikacinius reikalavimus. Šiais atvejais šios Sistemos 1 ir 2 prieduose nustatyti pareiginės algos pastoviosios dalies koeficientai gali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 xml:space="preserve"> būti didinami iki 100 procentų. Socialinių paslaugų srities darbuotojo pareiginės algos pastovioji dalis didinama atsižvelgiant į jo turimą kvalifikacinę kategoriją: už pirmą (žemiausią) kvalifikacinę kategoriją – 15 procentų, už antrą (aukštesnę) – 20 procentų, už treč</w:t>
      </w:r>
      <w:r w:rsidR="00B57210">
        <w:rPr>
          <w:rStyle w:val="Grietas"/>
          <w:rFonts w:eastAsiaTheme="minorHAnsi"/>
          <w:b w:val="0"/>
          <w:sz w:val="24"/>
          <w:szCs w:val="24"/>
          <w:lang w:val="lt-LT"/>
        </w:rPr>
        <w:t>ią (aukščiausią) – 30 procentų</w:t>
      </w:r>
      <w:r w:rsidRPr="001C493F">
        <w:rPr>
          <w:rStyle w:val="Grietas"/>
          <w:rFonts w:eastAsiaTheme="minorHAnsi"/>
          <w:b w:val="0"/>
          <w:sz w:val="24"/>
          <w:szCs w:val="24"/>
          <w:lang w:val="lt-LT"/>
        </w:rPr>
        <w:t>. Socialinių paslaugų srities darbuotojams, neturintiems kvalifikacinės kategorijos, pareiginės algos pastoviosios dalies koeficientai gali būti didinami iki 10 procentų;</w:t>
      </w:r>
      <w:r>
        <w:rPr>
          <w:rStyle w:val="Grietas"/>
          <w:rFonts w:eastAsiaTheme="minorHAnsi"/>
          <w:b w:val="0"/>
          <w:sz w:val="24"/>
          <w:szCs w:val="24"/>
          <w:lang w:val="lt-LT"/>
        </w:rPr>
        <w:t>“;</w:t>
      </w:r>
    </w:p>
    <w:p w:rsidR="007406E7" w:rsidRDefault="0084721B" w:rsidP="0084721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F649F8">
        <w:rPr>
          <w:sz w:val="24"/>
          <w:lang w:val="lt-LT"/>
        </w:rPr>
        <w:t>1.</w:t>
      </w:r>
      <w:r w:rsidR="00E313C9">
        <w:rPr>
          <w:sz w:val="24"/>
          <w:lang w:val="lt-LT"/>
        </w:rPr>
        <w:t>3</w:t>
      </w:r>
      <w:r>
        <w:rPr>
          <w:sz w:val="24"/>
          <w:lang w:val="lt-LT"/>
        </w:rPr>
        <w:t xml:space="preserve">. pakeisti </w:t>
      </w:r>
      <w:r w:rsidR="0039032A">
        <w:rPr>
          <w:sz w:val="24"/>
          <w:lang w:val="lt-LT"/>
        </w:rPr>
        <w:t>9.2</w:t>
      </w:r>
      <w:r>
        <w:rPr>
          <w:sz w:val="24"/>
          <w:lang w:val="lt-LT"/>
        </w:rPr>
        <w:t xml:space="preserve"> papunktį ir jį išdėstyti taip:</w:t>
      </w:r>
    </w:p>
    <w:p w:rsidR="007406E7" w:rsidRDefault="0039032A" w:rsidP="0039032A">
      <w:pPr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„</w:t>
      </w:r>
      <w:r w:rsidRPr="001C493F">
        <w:rPr>
          <w:rFonts w:eastAsiaTheme="minorHAnsi"/>
          <w:sz w:val="24"/>
          <w:szCs w:val="24"/>
          <w:lang w:val="lt-LT" w:eastAsia="en-US" w:bidi="ar-SA"/>
        </w:rPr>
        <w:t>9.2. pareiginės algos kintamoji dalis, atsižvelgiant į praėjusių metų veiklos vertinimą, nustatoma iki kito įstaigos vadovo kasmetinio veikl</w:t>
      </w:r>
      <w:r>
        <w:rPr>
          <w:rFonts w:eastAsiaTheme="minorHAnsi"/>
          <w:sz w:val="24"/>
          <w:szCs w:val="24"/>
          <w:lang w:val="lt-LT" w:eastAsia="en-US" w:bidi="ar-SA"/>
        </w:rPr>
        <w:t>os vertinimo ir gali siekti iki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40 procentų parei</w:t>
      </w:r>
      <w:r>
        <w:rPr>
          <w:rFonts w:eastAsiaTheme="minorHAnsi"/>
          <w:sz w:val="24"/>
          <w:szCs w:val="24"/>
          <w:lang w:val="lt-LT" w:eastAsia="en-US" w:bidi="ar-SA"/>
        </w:rPr>
        <w:t>ginės algos pastoviosios dalies. Jeigu pareiginės algos pastovioji dalis padidinta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pagal </w:t>
      </w:r>
      <w:r>
        <w:rPr>
          <w:rFonts w:eastAsiaTheme="minorHAnsi"/>
          <w:sz w:val="24"/>
          <w:szCs w:val="24"/>
          <w:lang w:val="lt-LT" w:eastAsia="en-US" w:bidi="ar-SA"/>
        </w:rPr>
        <w:t xml:space="preserve">Sistemos </w:t>
      </w:r>
      <w:r w:rsidRPr="001C493F">
        <w:rPr>
          <w:rFonts w:eastAsiaTheme="minorHAnsi"/>
          <w:sz w:val="24"/>
          <w:szCs w:val="24"/>
          <w:lang w:val="lt-LT" w:eastAsia="en-US" w:bidi="ar-SA"/>
        </w:rPr>
        <w:t>8.4 ir 8.5 papunkčius</w:t>
      </w:r>
      <w:r>
        <w:rPr>
          <w:rFonts w:eastAsiaTheme="minorHAnsi"/>
          <w:sz w:val="24"/>
          <w:szCs w:val="24"/>
          <w:lang w:val="lt-LT" w:eastAsia="en-US" w:bidi="ar-SA"/>
        </w:rPr>
        <w:t xml:space="preserve"> bei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1 ir 2 prieduose nurodytus </w:t>
      </w:r>
      <w:r>
        <w:rPr>
          <w:rFonts w:eastAsiaTheme="minorHAnsi"/>
          <w:sz w:val="24"/>
          <w:szCs w:val="24"/>
          <w:lang w:val="lt-LT" w:eastAsia="en-US" w:bidi="ar-SA"/>
        </w:rPr>
        <w:t>koeficientų didinimo kriterijus, kintamoji dalis skaičiuojama nuo padidinto pastoviosios dalies koeficiento</w:t>
      </w:r>
      <w:r w:rsidRPr="001C493F">
        <w:rPr>
          <w:rFonts w:eastAsiaTheme="minorHAnsi"/>
          <w:sz w:val="24"/>
          <w:szCs w:val="24"/>
          <w:lang w:val="lt-LT" w:eastAsia="en-US" w:bidi="ar-SA"/>
        </w:rPr>
        <w:t>;</w:t>
      </w:r>
      <w:r>
        <w:rPr>
          <w:rFonts w:eastAsiaTheme="minorHAnsi"/>
          <w:sz w:val="24"/>
          <w:szCs w:val="24"/>
          <w:lang w:val="lt-LT" w:eastAsia="en-US" w:bidi="ar-SA"/>
        </w:rPr>
        <w:t xml:space="preserve">“; </w:t>
      </w:r>
    </w:p>
    <w:p w:rsidR="0039032A" w:rsidRPr="00B35CF0" w:rsidRDefault="00F649F8" w:rsidP="0039032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E313C9">
        <w:rPr>
          <w:sz w:val="24"/>
          <w:lang w:val="lt-LT"/>
        </w:rPr>
        <w:t>4</w:t>
      </w:r>
      <w:r w:rsidR="0039032A">
        <w:rPr>
          <w:sz w:val="24"/>
          <w:lang w:val="lt-LT"/>
        </w:rPr>
        <w:t>. pakeisti 9.3 papunktį ir jį išdėstyti taip:</w:t>
      </w:r>
    </w:p>
    <w:p w:rsidR="007406E7" w:rsidRDefault="007406E7" w:rsidP="007406E7">
      <w:pPr>
        <w:ind w:right="-35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sz w:val="24"/>
          <w:szCs w:val="24"/>
        </w:rPr>
        <w:tab/>
      </w:r>
      <w:r w:rsidR="0039032A">
        <w:rPr>
          <w:sz w:val="24"/>
          <w:szCs w:val="24"/>
        </w:rPr>
        <w:t>„</w:t>
      </w:r>
      <w:r w:rsidR="0039032A" w:rsidRPr="001C493F">
        <w:rPr>
          <w:rFonts w:eastAsiaTheme="minorHAnsi"/>
          <w:sz w:val="24"/>
          <w:szCs w:val="24"/>
          <w:lang w:val="lt-LT" w:eastAsia="lt-LT" w:bidi="ar-SA"/>
        </w:rPr>
        <w:t>9.3. biudžetinės į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 xml:space="preserve">staigos vadovo pareiginės algos kintamoji dalis gali būti nustatyta priėmimo į darbą metu, </w:t>
      </w:r>
      <w:r w:rsidR="0039032A">
        <w:rPr>
          <w:rFonts w:eastAsiaTheme="minorHAnsi"/>
          <w:sz w:val="24"/>
          <w:szCs w:val="24"/>
          <w:lang w:val="lt-LT" w:eastAsia="en-US" w:bidi="ar-SA"/>
        </w:rPr>
        <w:t>pasibaigus išbandymo terminui</w:t>
      </w:r>
      <w:r w:rsidR="00E858AD">
        <w:rPr>
          <w:rFonts w:eastAsiaTheme="minorHAnsi"/>
          <w:sz w:val="24"/>
          <w:szCs w:val="24"/>
          <w:lang w:val="lt-LT" w:eastAsia="en-US" w:bidi="ar-SA"/>
        </w:rPr>
        <w:t xml:space="preserve">, 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>taip pat įstaigos vadovui grįžus iš vaiko priežiūros atostogų, atsižvelgiant į vadovo profesinę kvalifikaciją ir jam keliamus uždavinius, tač</w:t>
      </w:r>
      <w:r w:rsidR="006E3C79">
        <w:rPr>
          <w:rFonts w:eastAsiaTheme="minorHAnsi"/>
          <w:sz w:val="24"/>
          <w:szCs w:val="24"/>
          <w:lang w:val="lt-LT" w:eastAsia="en-US" w:bidi="ar-SA"/>
        </w:rPr>
        <w:t>iau ji negali būti didesnė kaip</w:t>
      </w:r>
      <w:r w:rsidR="0039032A">
        <w:rPr>
          <w:rFonts w:eastAsiaTheme="minorHAnsi"/>
          <w:sz w:val="24"/>
          <w:szCs w:val="24"/>
          <w:lang w:val="lt-LT" w:eastAsia="en-US" w:bidi="ar-SA"/>
        </w:rPr>
        <w:t xml:space="preserve"> </w:t>
      </w:r>
      <w:r w:rsidR="0039032A" w:rsidRPr="001C493F">
        <w:rPr>
          <w:rFonts w:eastAsiaTheme="minorHAnsi"/>
          <w:sz w:val="24"/>
          <w:szCs w:val="24"/>
          <w:lang w:val="lt-LT" w:eastAsia="en-US" w:bidi="ar-SA"/>
        </w:rPr>
        <w:t>20 procentų pareiginės algos pastoviosios dalies ir negali būti mokama ilgiau kaip iki to darbuotojo kito kasmetinio veiklos vertinimo;</w:t>
      </w:r>
      <w:r w:rsidR="00E858AD">
        <w:rPr>
          <w:rFonts w:eastAsiaTheme="minorHAnsi"/>
          <w:sz w:val="24"/>
          <w:szCs w:val="24"/>
          <w:lang w:val="lt-LT" w:eastAsia="en-US" w:bidi="ar-SA"/>
        </w:rPr>
        <w:t>“;</w:t>
      </w:r>
    </w:p>
    <w:p w:rsidR="00E858AD" w:rsidRPr="00E858AD" w:rsidRDefault="00F649F8" w:rsidP="00E858A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</w:t>
      </w:r>
      <w:r w:rsidR="00E313C9">
        <w:rPr>
          <w:sz w:val="24"/>
          <w:lang w:val="lt-LT"/>
        </w:rPr>
        <w:t>5</w:t>
      </w:r>
      <w:r w:rsidR="00E858AD">
        <w:rPr>
          <w:sz w:val="24"/>
          <w:lang w:val="lt-LT"/>
        </w:rPr>
        <w:t>. pakeisti 10 punktą ir jį išdėstyti taip:</w:t>
      </w:r>
    </w:p>
    <w:p w:rsidR="000F4094" w:rsidRDefault="000F4094" w:rsidP="000F4094">
      <w:pPr>
        <w:suppressAutoHyphens w:val="0"/>
        <w:ind w:firstLine="720"/>
        <w:jc w:val="center"/>
        <w:rPr>
          <w:rFonts w:eastAsia="Calibri"/>
          <w:bCs/>
          <w:sz w:val="24"/>
          <w:szCs w:val="24"/>
          <w:lang w:val="lt-LT" w:eastAsia="en-US" w:bidi="ar-SA"/>
        </w:rPr>
      </w:pPr>
      <w:r>
        <w:rPr>
          <w:rFonts w:eastAsia="Calibri"/>
          <w:bCs/>
          <w:sz w:val="24"/>
          <w:szCs w:val="24"/>
          <w:lang w:val="lt-LT" w:eastAsia="en-US" w:bidi="ar-SA"/>
        </w:rPr>
        <w:lastRenderedPageBreak/>
        <w:t>2</w:t>
      </w:r>
    </w:p>
    <w:p w:rsidR="00E858AD" w:rsidRPr="001C493F" w:rsidRDefault="00E858AD" w:rsidP="00E858AD">
      <w:pPr>
        <w:suppressAutoHyphens w:val="0"/>
        <w:ind w:firstLine="720"/>
        <w:jc w:val="both"/>
        <w:rPr>
          <w:rFonts w:eastAsia="Calibri"/>
          <w:bCs/>
          <w:sz w:val="24"/>
          <w:szCs w:val="24"/>
          <w:lang w:val="lt-LT" w:eastAsia="en-US" w:bidi="ar-SA"/>
        </w:rPr>
      </w:pPr>
      <w:r>
        <w:rPr>
          <w:rFonts w:eastAsia="Calibri"/>
          <w:bCs/>
          <w:sz w:val="24"/>
          <w:szCs w:val="24"/>
          <w:lang w:val="lt-LT" w:eastAsia="en-US" w:bidi="ar-SA"/>
        </w:rPr>
        <w:t>„</w:t>
      </w:r>
      <w:r w:rsidRPr="001C493F">
        <w:rPr>
          <w:rFonts w:eastAsia="Calibri"/>
          <w:bCs/>
          <w:sz w:val="24"/>
          <w:szCs w:val="24"/>
          <w:lang w:val="lt-LT" w:eastAsia="en-US" w:bidi="ar-SA"/>
        </w:rPr>
        <w:t>10. Priemokos: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="Calibri"/>
          <w:bCs/>
          <w:sz w:val="24"/>
          <w:szCs w:val="24"/>
          <w:lang w:val="lt-LT" w:eastAsia="en-US" w:bidi="ar-SA"/>
        </w:rPr>
        <w:tab/>
        <w:t xml:space="preserve">10.1. </w:t>
      </w:r>
      <w:r w:rsidRPr="001C493F">
        <w:rPr>
          <w:rFonts w:eastAsiaTheme="minorHAnsi"/>
          <w:sz w:val="24"/>
          <w:szCs w:val="24"/>
          <w:lang w:val="lt-LT" w:eastAsia="en-US" w:bidi="ar-SA"/>
        </w:rPr>
        <w:t>priemokos biudžetinių įstaigų vadovams gali būti mokamos: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10.1.1</w:t>
      </w:r>
      <w:r>
        <w:rPr>
          <w:rFonts w:eastAsiaTheme="minorHAnsi"/>
          <w:sz w:val="24"/>
          <w:szCs w:val="24"/>
          <w:lang w:val="lt-LT" w:eastAsia="en-US" w:bidi="ar-SA"/>
        </w:rPr>
        <w:t>.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už papildomą darbo krūvį, kai yra padidėjęs darbų mastas atliekant pareigybės aprašyme nustatytas funkcijas, bet neviršijama nustatyta darbo laiko trukmė;</w:t>
      </w:r>
    </w:p>
    <w:p w:rsidR="00E858AD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10.1.2. už pavadavimą, kai raštu pavedama laikinai atlikti kito darbuotojo funkcijas</w:t>
      </w:r>
      <w:r w:rsidR="000F4094">
        <w:rPr>
          <w:rFonts w:eastAsiaTheme="minorHAnsi"/>
          <w:sz w:val="24"/>
          <w:szCs w:val="24"/>
          <w:lang w:val="lt-LT" w:eastAsia="en-US" w:bidi="ar-SA"/>
        </w:rPr>
        <w:t>;</w:t>
      </w:r>
    </w:p>
    <w:p w:rsidR="00E858AD" w:rsidRDefault="00E858AD" w:rsidP="00E858AD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 xml:space="preserve">10.1.3. </w:t>
      </w:r>
      <w:r w:rsidRPr="001C493F">
        <w:rPr>
          <w:rFonts w:eastAsiaTheme="minorHAnsi"/>
          <w:sz w:val="24"/>
          <w:szCs w:val="24"/>
          <w:lang w:val="lt-LT" w:eastAsia="en-US" w:bidi="ar-SA"/>
        </w:rPr>
        <w:t>už papildomų pareigų ar užduočių, nenustatytų pareigybės aprašyme ir suformuluotų raštu, vykdymą;</w:t>
      </w:r>
    </w:p>
    <w:p w:rsidR="00E858AD" w:rsidRPr="001C493F" w:rsidRDefault="00E858AD" w:rsidP="00E858AD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10.1.4. už darbą, esant nukrypimų nuo normalių darbo sąlygų;</w:t>
      </w:r>
    </w:p>
    <w:p w:rsidR="00E858AD" w:rsidRDefault="00E858AD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1C493F">
        <w:rPr>
          <w:rFonts w:eastAsiaTheme="minorHAnsi"/>
          <w:sz w:val="24"/>
          <w:szCs w:val="24"/>
          <w:lang w:val="lt-LT" w:eastAsia="en-US" w:bidi="ar-SA"/>
        </w:rPr>
        <w:tab/>
        <w:t>10.2. priemokos</w:t>
      </w:r>
      <w:r>
        <w:rPr>
          <w:rFonts w:eastAsiaTheme="minorHAnsi"/>
          <w:sz w:val="24"/>
          <w:szCs w:val="24"/>
          <w:lang w:val="lt-LT" w:eastAsia="en-US" w:bidi="ar-SA"/>
        </w:rPr>
        <w:t>, nu</w:t>
      </w:r>
      <w:r w:rsidR="00E313C9">
        <w:rPr>
          <w:rFonts w:eastAsiaTheme="minorHAnsi"/>
          <w:sz w:val="24"/>
          <w:szCs w:val="24"/>
          <w:lang w:val="lt-LT" w:eastAsia="en-US" w:bidi="ar-SA"/>
        </w:rPr>
        <w:t>statytos</w:t>
      </w:r>
      <w:r w:rsidR="000F4094">
        <w:rPr>
          <w:rFonts w:eastAsiaTheme="minorHAnsi"/>
          <w:sz w:val="24"/>
          <w:szCs w:val="24"/>
          <w:lang w:val="lt-LT" w:eastAsia="en-US" w:bidi="ar-SA"/>
        </w:rPr>
        <w:t xml:space="preserve"> 10.1.1–</w:t>
      </w:r>
      <w:r>
        <w:rPr>
          <w:rFonts w:eastAsiaTheme="minorHAnsi"/>
          <w:sz w:val="24"/>
          <w:szCs w:val="24"/>
          <w:lang w:val="lt-LT" w:eastAsia="en-US" w:bidi="ar-SA"/>
        </w:rPr>
        <w:t>10.1.3 papunkčiuose,</w:t>
      </w:r>
      <w:r w:rsidRPr="001C493F">
        <w:rPr>
          <w:rFonts w:eastAsiaTheme="minorHAnsi"/>
          <w:sz w:val="24"/>
          <w:szCs w:val="24"/>
          <w:lang w:val="lt-LT" w:eastAsia="en-US" w:bidi="ar-SA"/>
        </w:rPr>
        <w:t xml:space="preserve"> gali siekti iki 30 procentų pareiginės al</w:t>
      </w:r>
      <w:r>
        <w:rPr>
          <w:rFonts w:eastAsiaTheme="minorHAnsi"/>
          <w:sz w:val="24"/>
          <w:szCs w:val="24"/>
          <w:lang w:val="lt-LT" w:eastAsia="en-US" w:bidi="ar-SA"/>
        </w:rPr>
        <w:t>gos pastoviosios dalies dydžio ir gali būti skiriamos ne ilgiau kaip</w:t>
      </w:r>
      <w:r w:rsidR="000F4094">
        <w:rPr>
          <w:rFonts w:eastAsiaTheme="minorHAnsi"/>
          <w:sz w:val="24"/>
          <w:szCs w:val="24"/>
          <w:lang w:val="lt-LT" w:eastAsia="en-US" w:bidi="ar-SA"/>
        </w:rPr>
        <w:t xml:space="preserve"> iki kalendorinių metų pabaigos, </w:t>
      </w:r>
      <w:r>
        <w:rPr>
          <w:rFonts w:eastAsiaTheme="minorHAnsi"/>
          <w:sz w:val="24"/>
          <w:szCs w:val="24"/>
          <w:lang w:val="lt-LT" w:eastAsia="en-US" w:bidi="ar-SA"/>
        </w:rPr>
        <w:t xml:space="preserve">šių </w:t>
      </w:r>
      <w:r w:rsidRPr="001C493F">
        <w:rPr>
          <w:rFonts w:eastAsiaTheme="minorHAnsi"/>
          <w:sz w:val="24"/>
          <w:szCs w:val="24"/>
          <w:lang w:val="lt-LT" w:eastAsia="en-US" w:bidi="ar-SA"/>
        </w:rPr>
        <w:t>priemokų ir pareiginės algos kintamosios dalies suma negali viršyti 60 procentų nustatytos pareiginės al</w:t>
      </w:r>
      <w:r>
        <w:rPr>
          <w:rFonts w:eastAsiaTheme="minorHAnsi"/>
          <w:sz w:val="24"/>
          <w:szCs w:val="24"/>
          <w:lang w:val="lt-LT" w:eastAsia="en-US" w:bidi="ar-SA"/>
        </w:rPr>
        <w:t>gos pastoviosios dalies dydžio;</w:t>
      </w:r>
    </w:p>
    <w:p w:rsidR="00E858AD" w:rsidRDefault="000F4094" w:rsidP="00E858AD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ab/>
        <w:t>10.3</w:t>
      </w:r>
      <w:r w:rsidR="00E858AD">
        <w:rPr>
          <w:rFonts w:eastAsiaTheme="minorHAnsi"/>
          <w:sz w:val="24"/>
          <w:szCs w:val="24"/>
          <w:lang w:val="lt-LT" w:eastAsia="en-US" w:bidi="ar-SA"/>
        </w:rPr>
        <w:t>. priemoka, nu</w:t>
      </w:r>
      <w:r w:rsidR="00E313C9">
        <w:rPr>
          <w:rFonts w:eastAsiaTheme="minorHAnsi"/>
          <w:sz w:val="24"/>
          <w:szCs w:val="24"/>
          <w:lang w:val="lt-LT" w:eastAsia="en-US" w:bidi="ar-SA"/>
        </w:rPr>
        <w:t>statyta 10.1.4 papunktyje, gali siekti iki 20 procentų pareiginės algos pastoviosios dalies dydžio ir gali būti skiriama iki darbo, esant nukrypimų nuo normalių darbo sąlygų, pabaigos;</w:t>
      </w:r>
    </w:p>
    <w:p w:rsidR="00E313C9" w:rsidRPr="00E16FDA" w:rsidRDefault="000F4094" w:rsidP="00E313C9">
      <w:pPr>
        <w:suppressAutoHyphens w:val="0"/>
        <w:ind w:firstLine="720"/>
        <w:jc w:val="both"/>
        <w:rPr>
          <w:rFonts w:eastAsiaTheme="minorHAnsi"/>
          <w:sz w:val="24"/>
          <w:szCs w:val="24"/>
          <w:lang w:val="lt-LT" w:eastAsia="en-US" w:bidi="ar-SA"/>
        </w:rPr>
      </w:pPr>
      <w:r>
        <w:rPr>
          <w:rFonts w:eastAsiaTheme="minorHAnsi"/>
          <w:sz w:val="24"/>
          <w:szCs w:val="24"/>
          <w:lang w:val="lt-LT" w:eastAsia="en-US" w:bidi="ar-SA"/>
        </w:rPr>
        <w:t>10.4</w:t>
      </w:r>
      <w:r w:rsidR="00E313C9">
        <w:rPr>
          <w:rFonts w:eastAsiaTheme="minorHAnsi"/>
          <w:sz w:val="24"/>
          <w:szCs w:val="24"/>
          <w:lang w:val="lt-LT" w:eastAsia="en-US" w:bidi="ar-SA"/>
        </w:rPr>
        <w:t>. priemoka, nustatyta 10.1.4 papunktyje, neskiriama, jei biudžetinės įstaigos vadovui karantino metu taikomi specialiuose įstatymuose nustatyti darbo apmokėjimo dydžiai;</w:t>
      </w:r>
    </w:p>
    <w:p w:rsidR="00E858AD" w:rsidRPr="001C493F" w:rsidRDefault="00E858AD" w:rsidP="00E858AD">
      <w:pPr>
        <w:suppressAutoHyphens w:val="0"/>
        <w:jc w:val="both"/>
        <w:rPr>
          <w:rFonts w:eastAsiaTheme="minorHAnsi"/>
          <w:bCs/>
          <w:sz w:val="24"/>
          <w:szCs w:val="24"/>
          <w:lang w:val="lt-LT" w:eastAsia="en-US" w:bidi="ar-SA"/>
        </w:rPr>
      </w:pPr>
      <w:r>
        <w:rPr>
          <w:rFonts w:eastAsiaTheme="minorHAnsi"/>
          <w:bCs/>
          <w:sz w:val="24"/>
          <w:szCs w:val="24"/>
          <w:lang w:val="lt-LT" w:eastAsia="en-US" w:bidi="ar-SA"/>
        </w:rPr>
        <w:t xml:space="preserve">            </w:t>
      </w:r>
      <w:r w:rsidR="00E313C9">
        <w:rPr>
          <w:rFonts w:eastAsiaTheme="minorHAnsi"/>
          <w:bCs/>
          <w:sz w:val="24"/>
          <w:szCs w:val="24"/>
          <w:lang w:val="lt-LT" w:eastAsia="en-US" w:bidi="ar-SA"/>
        </w:rPr>
        <w:t>10.</w:t>
      </w:r>
      <w:r w:rsidR="00910D3D">
        <w:rPr>
          <w:rFonts w:eastAsiaTheme="minorHAnsi"/>
          <w:bCs/>
          <w:sz w:val="24"/>
          <w:szCs w:val="24"/>
          <w:lang w:val="lt-LT" w:eastAsia="en-US" w:bidi="ar-SA"/>
        </w:rPr>
        <w:t>5</w:t>
      </w:r>
      <w:bookmarkStart w:id="0" w:name="_GoBack"/>
      <w:bookmarkEnd w:id="0"/>
      <w:r w:rsidRPr="001C493F">
        <w:rPr>
          <w:rFonts w:eastAsiaTheme="minorHAnsi"/>
          <w:bCs/>
          <w:sz w:val="24"/>
          <w:szCs w:val="24"/>
          <w:lang w:val="lt-LT" w:eastAsia="en-US" w:bidi="ar-SA"/>
        </w:rPr>
        <w:t>. konkretų priemokos dydį, nurodant už ką skiriama, nustato Savivaldybės meras.</w:t>
      </w:r>
      <w:r w:rsidR="00E313C9">
        <w:rPr>
          <w:rFonts w:eastAsiaTheme="minorHAnsi"/>
          <w:bCs/>
          <w:sz w:val="24"/>
          <w:szCs w:val="24"/>
          <w:lang w:val="lt-LT" w:eastAsia="en-US" w:bidi="ar-SA"/>
        </w:rPr>
        <w:t>“;</w:t>
      </w:r>
    </w:p>
    <w:p w:rsidR="00E313C9" w:rsidRDefault="00F649F8" w:rsidP="00E313C9">
      <w:pPr>
        <w:ind w:right="-35" w:firstLine="720"/>
        <w:jc w:val="both"/>
        <w:rPr>
          <w:sz w:val="24"/>
          <w:szCs w:val="24"/>
        </w:rPr>
      </w:pPr>
      <w:r>
        <w:rPr>
          <w:sz w:val="24"/>
          <w:szCs w:val="24"/>
        </w:rPr>
        <w:t>1.6</w:t>
      </w:r>
      <w:r w:rsidR="00C701C2">
        <w:rPr>
          <w:sz w:val="24"/>
          <w:szCs w:val="24"/>
        </w:rPr>
        <w:t xml:space="preserve">. pakeisti </w:t>
      </w:r>
      <w:r w:rsidR="00333B55">
        <w:rPr>
          <w:sz w:val="24"/>
          <w:szCs w:val="24"/>
        </w:rPr>
        <w:t xml:space="preserve">Sistemos </w:t>
      </w:r>
      <w:r w:rsidR="00D84E99">
        <w:rPr>
          <w:sz w:val="24"/>
          <w:szCs w:val="24"/>
        </w:rPr>
        <w:t xml:space="preserve">1 priedo lentelę „Biudžetinių įstaigų vadovų, išskyrus mokyklų vadovus, pareiginės algos pastoviosios </w:t>
      </w:r>
      <w:r>
        <w:rPr>
          <w:sz w:val="24"/>
          <w:szCs w:val="24"/>
        </w:rPr>
        <w:t>da</w:t>
      </w:r>
      <w:r w:rsidR="00D84E99">
        <w:rPr>
          <w:sz w:val="24"/>
          <w:szCs w:val="24"/>
        </w:rPr>
        <w:t>lies koeficientai“ ir ją</w:t>
      </w:r>
      <w:r w:rsidR="00C701C2">
        <w:rPr>
          <w:sz w:val="24"/>
          <w:szCs w:val="24"/>
        </w:rPr>
        <w:t xml:space="preserve"> išdėstyti taip: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p w:rsidR="00D84E99" w:rsidRPr="00826703" w:rsidRDefault="00B57210" w:rsidP="00D84E99">
      <w:pPr>
        <w:suppressAutoHyphens w:val="0"/>
        <w:ind w:left="2160" w:firstLine="2160"/>
        <w:jc w:val="both"/>
        <w:rPr>
          <w:rFonts w:eastAsiaTheme="minorHAnsi"/>
          <w:sz w:val="24"/>
          <w:lang w:val="lt-LT" w:eastAsia="en-US" w:bidi="ar-SA"/>
        </w:rPr>
      </w:pPr>
      <w:r>
        <w:rPr>
          <w:rFonts w:eastAsiaTheme="minorHAnsi"/>
          <w:sz w:val="24"/>
          <w:lang w:val="lt-LT" w:eastAsia="en-US" w:bidi="ar-SA"/>
        </w:rPr>
        <w:t>„</w:t>
      </w:r>
      <w:r w:rsidR="00D84E99" w:rsidRPr="00826703">
        <w:rPr>
          <w:rFonts w:eastAsiaTheme="minorHAnsi"/>
          <w:sz w:val="24"/>
          <w:lang w:val="lt-LT" w:eastAsia="en-US" w:bidi="ar-SA"/>
        </w:rPr>
        <w:t>Pan</w:t>
      </w:r>
      <w:r w:rsidR="00D84E99">
        <w:rPr>
          <w:rFonts w:eastAsiaTheme="minorHAnsi"/>
          <w:sz w:val="24"/>
          <w:lang w:val="lt-LT" w:eastAsia="en-US" w:bidi="ar-SA"/>
        </w:rPr>
        <w:t xml:space="preserve">evėžio rajono savivaldybės </w:t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>
        <w:rPr>
          <w:rFonts w:eastAsiaTheme="minorHAnsi"/>
          <w:sz w:val="24"/>
          <w:lang w:val="lt-LT" w:eastAsia="en-US" w:bidi="ar-SA"/>
        </w:rPr>
        <w:tab/>
      </w:r>
      <w:r w:rsidR="00D84E99" w:rsidRPr="00826703">
        <w:rPr>
          <w:rFonts w:eastAsiaTheme="minorHAnsi"/>
          <w:sz w:val="24"/>
          <w:lang w:val="lt-LT" w:eastAsia="en-US" w:bidi="ar-SA"/>
        </w:rPr>
        <w:t>biudžetinių įstaigų vadovų darbo</w:t>
      </w:r>
    </w:p>
    <w:p w:rsidR="00D84E99" w:rsidRPr="00826703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>
        <w:rPr>
          <w:rFonts w:eastAsiaTheme="minorHAnsi"/>
          <w:sz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>apmokėjimo sistemos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</w:r>
      <w:r w:rsidRPr="00826703">
        <w:rPr>
          <w:rFonts w:eastAsiaTheme="minorHAnsi"/>
          <w:sz w:val="24"/>
          <w:szCs w:val="24"/>
          <w:lang w:val="lt-LT" w:eastAsia="en-US" w:bidi="ar-SA"/>
        </w:rPr>
        <w:tab/>
        <w:t xml:space="preserve">                     </w:t>
      </w:r>
      <w:r>
        <w:rPr>
          <w:rFonts w:eastAsiaTheme="minorHAnsi"/>
          <w:sz w:val="24"/>
          <w:szCs w:val="24"/>
          <w:lang w:val="lt-LT" w:eastAsia="en-US" w:bidi="ar-SA"/>
        </w:rPr>
        <w:tab/>
        <w:t xml:space="preserve">            1 </w:t>
      </w:r>
      <w:r w:rsidRPr="00826703">
        <w:rPr>
          <w:rFonts w:eastAsiaTheme="minorHAnsi"/>
          <w:sz w:val="24"/>
          <w:szCs w:val="24"/>
          <w:lang w:val="lt-LT" w:eastAsia="en-US" w:bidi="ar-SA"/>
        </w:rPr>
        <w:t>priedas</w:t>
      </w:r>
    </w:p>
    <w:p w:rsidR="00D84E99" w:rsidRDefault="00D84E99" w:rsidP="00D84E99">
      <w:pPr>
        <w:suppressAutoHyphens w:val="0"/>
        <w:jc w:val="both"/>
        <w:rPr>
          <w:rFonts w:eastAsiaTheme="minorHAnsi"/>
          <w:sz w:val="24"/>
          <w:szCs w:val="24"/>
          <w:lang w:val="lt-LT" w:eastAsia="en-US" w:bidi="ar-SA"/>
        </w:rPr>
      </w:pPr>
    </w:p>
    <w:p w:rsidR="00D84E99" w:rsidRPr="009B1D6A" w:rsidRDefault="00D84E99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BIUDŽETINIŲ ĮSTAIGŲ VADOVŲ, IŠSKYRUS MOKYKLŲ VADOVUS,</w:t>
      </w:r>
    </w:p>
    <w:p w:rsidR="007406E7" w:rsidRPr="00D84E99" w:rsidRDefault="00D84E99" w:rsidP="00D84E99">
      <w:pPr>
        <w:suppressAutoHyphens w:val="0"/>
        <w:jc w:val="center"/>
        <w:rPr>
          <w:rFonts w:eastAsiaTheme="minorHAnsi"/>
          <w:b/>
          <w:sz w:val="24"/>
          <w:lang w:val="lt-LT" w:eastAsia="en-US" w:bidi="ar-SA"/>
        </w:rPr>
      </w:pPr>
      <w:r w:rsidRPr="009B1D6A">
        <w:rPr>
          <w:rFonts w:eastAsiaTheme="minorHAnsi"/>
          <w:b/>
          <w:sz w:val="24"/>
          <w:lang w:val="lt-LT" w:eastAsia="en-US" w:bidi="ar-SA"/>
        </w:rPr>
        <w:t>PAREIGINĖS ALGOS PASTOVIOSIOS DALIES KOEFICIENTAI</w:t>
      </w:r>
    </w:p>
    <w:tbl>
      <w:tblPr>
        <w:tblW w:w="12191" w:type="dxa"/>
        <w:tblInd w:w="-2410" w:type="dxa"/>
        <w:tblLayout w:type="fixed"/>
        <w:tblLook w:val="04A0" w:firstRow="1" w:lastRow="0" w:firstColumn="1" w:lastColumn="0" w:noHBand="0" w:noVBand="1"/>
      </w:tblPr>
      <w:tblGrid>
        <w:gridCol w:w="2646"/>
        <w:gridCol w:w="9545"/>
      </w:tblGrid>
      <w:tr w:rsidR="007406E7" w:rsidTr="00333B55">
        <w:tc>
          <w:tcPr>
            <w:tcW w:w="2646" w:type="dxa"/>
          </w:tcPr>
          <w:p w:rsidR="007406E7" w:rsidRDefault="007406E7" w:rsidP="00D32E4F">
            <w:pPr>
              <w:pStyle w:val="Betarp"/>
            </w:pPr>
          </w:p>
        </w:tc>
        <w:tc>
          <w:tcPr>
            <w:tcW w:w="9545" w:type="dxa"/>
          </w:tcPr>
          <w:p w:rsidR="007406E7" w:rsidRDefault="007406E7" w:rsidP="00333B55">
            <w:pPr>
              <w:ind w:left="2895" w:right="-35" w:hanging="2895"/>
              <w:rPr>
                <w:sz w:val="24"/>
                <w:szCs w:val="24"/>
              </w:rPr>
            </w:pPr>
          </w:p>
        </w:tc>
      </w:tr>
      <w:tr w:rsidR="007406E7" w:rsidRPr="00397F73" w:rsidTr="00333B55">
        <w:trPr>
          <w:trHeight w:val="142"/>
        </w:trPr>
        <w:tc>
          <w:tcPr>
            <w:tcW w:w="2646" w:type="dxa"/>
          </w:tcPr>
          <w:p w:rsidR="007406E7" w:rsidRDefault="007406E7" w:rsidP="00D32E4F">
            <w:pPr>
              <w:ind w:right="-35"/>
              <w:jc w:val="both"/>
              <w:rPr>
                <w:sz w:val="24"/>
                <w:szCs w:val="24"/>
              </w:rPr>
            </w:pPr>
          </w:p>
        </w:tc>
        <w:tc>
          <w:tcPr>
            <w:tcW w:w="9545" w:type="dxa"/>
          </w:tcPr>
          <w:p w:rsidR="00D32E4F" w:rsidRPr="00D84E99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D84E99">
              <w:rPr>
                <w:rFonts w:eastAsiaTheme="minorHAnsi"/>
                <w:sz w:val="24"/>
                <w:lang w:val="lt-LT" w:eastAsia="en-US" w:bidi="ar-SA"/>
              </w:rPr>
              <w:tab/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40"/>
              <w:gridCol w:w="3703"/>
              <w:gridCol w:w="2876"/>
            </w:tblGrid>
            <w:tr w:rsidR="00D32E4F" w:rsidRPr="00826703" w:rsidTr="00397F73">
              <w:trPr>
                <w:trHeight w:val="276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Savivaldybės įstaigos grupė</w:t>
                  </w:r>
                </w:p>
              </w:tc>
              <w:tc>
                <w:tcPr>
                  <w:tcW w:w="1987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Vadovaujamo darbo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patirtis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(metais)</w:t>
                  </w:r>
                </w:p>
              </w:tc>
              <w:tc>
                <w:tcPr>
                  <w:tcW w:w="1543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Pastoviosios dalies koeficientai (pareiginės algos baziniais dydžiais)</w:t>
                  </w:r>
                </w:p>
              </w:tc>
            </w:tr>
            <w:tr w:rsidR="00D32E4F" w:rsidRPr="00826703" w:rsidTr="00397F73">
              <w:trPr>
                <w:trHeight w:val="562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both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</w:tr>
            <w:tr w:rsidR="00D32E4F" w:rsidRPr="00826703" w:rsidTr="00397F73">
              <w:trPr>
                <w:trHeight w:val="34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201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ir daugiau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pareigybių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7,1–14,1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7,2–14,5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7,3–14,8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FF053A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nuo 51 iki </w:t>
                  </w:r>
                </w:p>
                <w:p w:rsidR="00D32E4F" w:rsidRPr="00826703" w:rsidRDefault="009E5100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20</w:t>
                  </w:r>
                  <w:r w:rsidR="00D32E4F"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0 pareigybių</w:t>
                  </w:r>
                  <w:r w:rsidR="00D32E4F"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6,8–13,7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6,9–13,9</w:t>
                  </w:r>
                </w:p>
              </w:tc>
            </w:tr>
            <w:tr w:rsidR="00D32E4F" w:rsidRPr="00826703" w:rsidTr="00397F73">
              <w:trPr>
                <w:trHeight w:val="323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7–14,1</w:t>
                  </w:r>
                </w:p>
              </w:tc>
            </w:tr>
            <w:tr w:rsidR="00D32E4F" w:rsidRPr="00826703" w:rsidTr="00397F73">
              <w:trPr>
                <w:trHeight w:val="271"/>
                <w:jc w:val="center"/>
              </w:trPr>
              <w:tc>
                <w:tcPr>
                  <w:tcW w:w="1470" w:type="pct"/>
                  <w:vMerge w:val="restar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III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grupė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 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(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50 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 xml:space="preserve">ir mažiau </w:t>
                  </w: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pareigybių</w:t>
                  </w: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)</w:t>
                  </w: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Iki 5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6,5–13,3</w:t>
                  </w:r>
                </w:p>
              </w:tc>
            </w:tr>
            <w:tr w:rsidR="00D32E4F" w:rsidRPr="00826703" w:rsidTr="00397F73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nuo daugiau kaip 5 iki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6,6–13,5</w:t>
                  </w:r>
                </w:p>
              </w:tc>
            </w:tr>
            <w:tr w:rsidR="00D32E4F" w:rsidRPr="00826703" w:rsidTr="00397F73">
              <w:trPr>
                <w:trHeight w:val="281"/>
                <w:jc w:val="center"/>
              </w:trPr>
              <w:tc>
                <w:tcPr>
                  <w:tcW w:w="1470" w:type="pct"/>
                  <w:vMerge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987" w:type="pct"/>
                  <w:vAlign w:val="center"/>
                </w:tcPr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 w:rsidRPr="00826703">
                    <w:rPr>
                      <w:rFonts w:eastAsiaTheme="minorHAnsi"/>
                      <w:sz w:val="24"/>
                      <w:lang w:val="lt-LT" w:eastAsia="en-US" w:bidi="ar-SA"/>
                    </w:rPr>
                    <w:t>daugiau kaip 10</w:t>
                  </w:r>
                </w:p>
                <w:p w:rsidR="00D32E4F" w:rsidRPr="00826703" w:rsidRDefault="00D32E4F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</w:p>
              </w:tc>
              <w:tc>
                <w:tcPr>
                  <w:tcW w:w="1543" w:type="pct"/>
                  <w:vAlign w:val="center"/>
                </w:tcPr>
                <w:p w:rsidR="00D32E4F" w:rsidRPr="00A9669B" w:rsidRDefault="00A33285" w:rsidP="00D32E4F">
                  <w:pPr>
                    <w:suppressAutoHyphens w:val="0"/>
                    <w:jc w:val="center"/>
                    <w:rPr>
                      <w:rFonts w:eastAsiaTheme="minorHAnsi"/>
                      <w:sz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lang w:val="lt-LT" w:eastAsia="en-US" w:bidi="ar-SA"/>
                    </w:rPr>
                    <w:t>6,7–13,7</w:t>
                  </w:r>
                  <w:r w:rsidR="00B57210">
                    <w:rPr>
                      <w:rFonts w:eastAsiaTheme="minorHAnsi"/>
                      <w:sz w:val="24"/>
                      <w:lang w:val="lt-LT" w:eastAsia="en-US" w:bidi="ar-SA"/>
                    </w:rPr>
                    <w:t>“</w:t>
                  </w:r>
                </w:p>
              </w:tc>
            </w:tr>
          </w:tbl>
          <w:p w:rsidR="00CE617C" w:rsidRDefault="00CE617C" w:rsidP="00CE617C">
            <w:pPr>
              <w:ind w:right="-35" w:firstLine="720"/>
              <w:jc w:val="center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lastRenderedPageBreak/>
              <w:t>3</w:t>
            </w:r>
          </w:p>
          <w:p w:rsidR="00A33285" w:rsidRDefault="00F649F8" w:rsidP="00A33285">
            <w:pPr>
              <w:ind w:right="-35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  <w:r w:rsidR="00A33285">
              <w:rPr>
                <w:sz w:val="24"/>
                <w:szCs w:val="24"/>
              </w:rPr>
              <w:t>. pakeisti sistemos  2 priedo lentelę „Mokyklų vadovų pareiginės algos pastoviosios dalies koeficientai“ ir ją išdėstyti taip: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  <w:t xml:space="preserve"> </w:t>
            </w:r>
            <w:r w:rsidR="00B57210">
              <w:rPr>
                <w:rFonts w:eastAsiaTheme="minorHAnsi"/>
                <w:sz w:val="24"/>
                <w:lang w:val="lt-LT" w:eastAsia="en-US" w:bidi="ar-SA"/>
              </w:rPr>
              <w:t>„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 xml:space="preserve">Panevėžio rajono savivaldybės 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397F7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="00397F73">
              <w:rPr>
                <w:rFonts w:eastAsiaTheme="minorHAnsi"/>
                <w:sz w:val="24"/>
                <w:lang w:val="lt-LT" w:eastAsia="en-US" w:bidi="ar-SA"/>
              </w:rPr>
              <w:tab/>
              <w:t xml:space="preserve">             </w:t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>biudžetinių įstaigų vadovų darbo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lang w:val="lt-LT" w:eastAsia="en-US" w:bidi="ar-SA"/>
              </w:rPr>
              <w:tab/>
              <w:t xml:space="preserve"> 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apmokėjimo sistemos</w:t>
            </w: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  <w:t xml:space="preserve">                     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ab/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val="lt-LT" w:eastAsia="en-US" w:bidi="ar-SA"/>
              </w:rPr>
              <w:t xml:space="preserve">2 </w:t>
            </w:r>
            <w:r w:rsidRPr="00826703">
              <w:rPr>
                <w:rFonts w:eastAsiaTheme="minorHAnsi"/>
                <w:sz w:val="24"/>
                <w:szCs w:val="24"/>
                <w:lang w:val="lt-LT" w:eastAsia="en-US" w:bidi="ar-SA"/>
              </w:rPr>
              <w:t>priedas</w:t>
            </w:r>
          </w:p>
          <w:p w:rsidR="00D32E4F" w:rsidRPr="00826703" w:rsidRDefault="00D32E4F" w:rsidP="00D32E4F">
            <w:pPr>
              <w:suppressAutoHyphens w:val="0"/>
              <w:jc w:val="both"/>
              <w:rPr>
                <w:rFonts w:eastAsiaTheme="minorHAnsi"/>
                <w:bCs/>
                <w:sz w:val="24"/>
                <w:lang w:val="lt-LT" w:eastAsia="en-US" w:bidi="ar-SA"/>
              </w:rPr>
            </w:pPr>
          </w:p>
          <w:p w:rsidR="00D32E4F" w:rsidRPr="00826703" w:rsidRDefault="00D32E4F" w:rsidP="00D32E4F">
            <w:pPr>
              <w:tabs>
                <w:tab w:val="left" w:pos="567"/>
                <w:tab w:val="left" w:pos="1832"/>
                <w:tab w:val="left" w:pos="4580"/>
                <w:tab w:val="left" w:pos="5496"/>
                <w:tab w:val="left" w:pos="5670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eastAsiaTheme="minorHAnsi"/>
                <w:sz w:val="24"/>
                <w:szCs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spacing w:line="360" w:lineRule="auto"/>
              <w:jc w:val="center"/>
              <w:rPr>
                <w:rFonts w:eastAsiaTheme="minorHAnsi"/>
                <w:b/>
                <w:sz w:val="24"/>
                <w:lang w:val="lt-LT" w:eastAsia="lt-LT" w:bidi="ar-SA"/>
              </w:rPr>
            </w:pP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 xml:space="preserve"> MOKYKLŲ VADOVŲ PAREIGINĖS ALGOS 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>PASTOVIOSIOS</w:t>
            </w: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 xml:space="preserve"> DALI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>E</w:t>
            </w:r>
            <w:r w:rsidRPr="00826703">
              <w:rPr>
                <w:rFonts w:eastAsiaTheme="minorHAnsi"/>
                <w:b/>
                <w:sz w:val="24"/>
                <w:lang w:val="lt-LT" w:eastAsia="lt-LT" w:bidi="ar-SA"/>
              </w:rPr>
              <w:t>S</w:t>
            </w:r>
            <w:r>
              <w:rPr>
                <w:rFonts w:eastAsiaTheme="minorHAnsi"/>
                <w:b/>
                <w:sz w:val="24"/>
                <w:lang w:val="lt-LT" w:eastAsia="lt-LT" w:bidi="ar-SA"/>
              </w:rPr>
              <w:t xml:space="preserve"> KOEFICIENTAI</w:t>
            </w:r>
          </w:p>
          <w:p w:rsidR="00E16FDA" w:rsidRPr="00826703" w:rsidRDefault="00E16FDA" w:rsidP="00D32E4F">
            <w:pPr>
              <w:suppressAutoHyphens w:val="0"/>
              <w:spacing w:line="360" w:lineRule="auto"/>
              <w:jc w:val="center"/>
              <w:rPr>
                <w:rFonts w:eastAsiaTheme="minorHAnsi"/>
                <w:sz w:val="24"/>
                <w:lang w:val="lt-LT" w:eastAsia="lt-LT" w:bidi="ar-SA"/>
              </w:rPr>
            </w:pPr>
          </w:p>
          <w:tbl>
            <w:tblPr>
              <w:tblW w:w="941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269"/>
              <w:gridCol w:w="2404"/>
              <w:gridCol w:w="2410"/>
              <w:gridCol w:w="2330"/>
            </w:tblGrid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  <w:t xml:space="preserve">Mokinių skaičius </w:t>
                  </w:r>
                </w:p>
              </w:tc>
              <w:tc>
                <w:tcPr>
                  <w:tcW w:w="71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Pastoviosios dalies koeficientai (pareiginės algos baziniais dydžiais)</w:t>
                  </w:r>
                </w:p>
              </w:tc>
            </w:tr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</w:p>
              </w:tc>
              <w:tc>
                <w:tcPr>
                  <w:tcW w:w="714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Pedagoginio darbo stažas (metais)</w:t>
                  </w:r>
                </w:p>
              </w:tc>
            </w:tr>
            <w:tr w:rsidR="00397F73" w:rsidRPr="00E87D3B" w:rsidTr="00E217C6">
              <w:trPr>
                <w:trHeight w:val="185"/>
              </w:trPr>
              <w:tc>
                <w:tcPr>
                  <w:tcW w:w="226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bCs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I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ki 10 metų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N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uo daugiau kaip </w:t>
                  </w:r>
                </w:p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10 iki 15</w:t>
                  </w: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 metų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D</w:t>
                  </w: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augiau kaip 15</w:t>
                  </w: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 xml:space="preserve"> metų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 w:rsidRPr="00E87D3B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iki 200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10,71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11,1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11,37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 w:rsidRPr="00E87D3B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201–</w:t>
                  </w: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400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11,7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11,81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9E5100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401–</w:t>
                  </w:r>
                  <w:r w:rsidR="00397F73"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600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11,74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3C43B5" w:rsidRDefault="00AA53B9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</w:t>
                  </w:r>
                  <w:r w:rsidR="00397F73" w:rsidRPr="003C43B5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82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3C43B5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3C43B5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11,85</w:t>
                  </w:r>
                </w:p>
              </w:tc>
            </w:tr>
            <w:tr w:rsidR="00397F73" w:rsidRPr="00E87D3B" w:rsidTr="00E217C6">
              <w:trPr>
                <w:trHeight w:val="60"/>
              </w:trPr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397F73" w:rsidRPr="00E87D3B" w:rsidRDefault="00397F73" w:rsidP="00397F73">
                  <w:pPr>
                    <w:widowControl w:val="0"/>
                    <w:textAlignment w:val="baseline"/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  <w:lang w:val="lt-LT" w:eastAsia="lt-LT" w:bidi="ar-SA"/>
                    </w:rPr>
                    <w:t>601–1000</w:t>
                  </w: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12,62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:rsidR="00397F73" w:rsidRPr="00E87D3B" w:rsidRDefault="00397F73" w:rsidP="00397F73">
                  <w:pPr>
                    <w:widowControl w:val="0"/>
                    <w:jc w:val="center"/>
                    <w:textAlignment w:val="baseline"/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</w:pPr>
                  <w:r w:rsidRPr="00E87D3B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12,65</w:t>
                  </w:r>
                  <w:r w:rsidR="00B57210">
                    <w:rPr>
                      <w:rFonts w:eastAsiaTheme="minorHAnsi"/>
                      <w:sz w:val="24"/>
                      <w:szCs w:val="24"/>
                      <w:lang w:val="lt-LT" w:eastAsia="en-US" w:bidi="ar-SA"/>
                    </w:rPr>
                    <w:t>“</w:t>
                  </w:r>
                </w:p>
              </w:tc>
            </w:tr>
          </w:tbl>
          <w:p w:rsidR="00D32E4F" w:rsidRPr="00826703" w:rsidRDefault="00D32E4F" w:rsidP="00D32E4F">
            <w:pPr>
              <w:widowControl w:val="0"/>
              <w:suppressAutoHyphens w:val="0"/>
              <w:overflowPunct w:val="0"/>
              <w:spacing w:line="240" w:lineRule="atLeast"/>
              <w:jc w:val="both"/>
              <w:textAlignment w:val="baseline"/>
              <w:rPr>
                <w:rFonts w:eastAsiaTheme="minorHAnsi"/>
                <w:color w:val="000000"/>
                <w:sz w:val="24"/>
                <w:szCs w:val="24"/>
                <w:lang w:val="lt-LT" w:eastAsia="lt-LT" w:bidi="ar-SA"/>
              </w:rPr>
            </w:pPr>
          </w:p>
          <w:p w:rsidR="00D32E4F" w:rsidRPr="00E87D3B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szCs w:val="24"/>
                <w:lang w:val="lt-LT" w:eastAsia="en-US" w:bidi="ar-SA"/>
              </w:rPr>
            </w:pPr>
            <w:r w:rsidRPr="00E87D3B">
              <w:rPr>
                <w:rFonts w:eastAsiaTheme="minorHAnsi"/>
                <w:sz w:val="24"/>
                <w:lang w:val="lt-LT" w:eastAsia="lt-LT" w:bidi="ar-SA"/>
              </w:rPr>
              <w:tab/>
            </w:r>
            <w:r w:rsidR="00AA72AB">
              <w:rPr>
                <w:rFonts w:eastAsiaTheme="minorHAnsi"/>
                <w:sz w:val="24"/>
                <w:lang w:val="lt-LT" w:eastAsia="lt-LT" w:bidi="ar-SA"/>
              </w:rPr>
              <w:t xml:space="preserve"> 2.   Sprendimo 1.2 papunktis įsigalioja 2021 m. liepos 1 d.</w:t>
            </w:r>
          </w:p>
          <w:p w:rsidR="00D32E4F" w:rsidRPr="003C43B5" w:rsidRDefault="00333B55" w:rsidP="00D84E99">
            <w:pPr>
              <w:suppressAutoHyphens w:val="0"/>
              <w:jc w:val="both"/>
              <w:rPr>
                <w:rFonts w:eastAsia="SimSun"/>
                <w:b/>
                <w:szCs w:val="24"/>
                <w:lang w:eastAsia="zh-CN"/>
              </w:rPr>
            </w:pPr>
            <w:r>
              <w:rPr>
                <w:rFonts w:eastAsiaTheme="minorHAnsi"/>
                <w:sz w:val="24"/>
                <w:lang w:val="lt-LT" w:eastAsia="lt-LT" w:bidi="ar-SA"/>
              </w:rPr>
              <w:t xml:space="preserve">             </w:t>
            </w:r>
            <w:r w:rsidR="00AA72AB">
              <w:rPr>
                <w:rFonts w:eastAsiaTheme="minorHAnsi"/>
                <w:sz w:val="24"/>
                <w:lang w:val="lt-LT" w:eastAsia="lt-LT" w:bidi="ar-SA"/>
              </w:rPr>
              <w:t>3</w:t>
            </w:r>
            <w:r w:rsidR="00F649F8">
              <w:rPr>
                <w:rFonts w:eastAsiaTheme="minorHAnsi"/>
                <w:sz w:val="24"/>
                <w:lang w:val="lt-LT" w:eastAsia="lt-LT" w:bidi="ar-SA"/>
              </w:rPr>
              <w:t xml:space="preserve">. </w:t>
            </w:r>
            <w:r>
              <w:rPr>
                <w:rFonts w:eastAsiaTheme="minorHAnsi"/>
                <w:sz w:val="24"/>
                <w:lang w:val="lt-LT" w:eastAsia="lt-LT" w:bidi="ar-SA"/>
              </w:rPr>
              <w:t>Nustatyti, kad šiuo sprendimu patvirtinti pareiginės algos pastoviosios dalies koeficientai taikomi</w:t>
            </w:r>
            <w:r w:rsidR="00451C1F">
              <w:rPr>
                <w:rFonts w:eastAsiaTheme="minorHAnsi"/>
                <w:sz w:val="24"/>
                <w:lang w:val="lt-LT" w:eastAsia="lt-LT" w:bidi="ar-SA"/>
              </w:rPr>
              <w:t>, apskaičiuojant darbo užmokestį nuo 2021 m. sausio 1 d.</w:t>
            </w:r>
            <w:r w:rsidR="00D32E4F" w:rsidRPr="00E87D3B">
              <w:rPr>
                <w:rFonts w:eastAsiaTheme="minorHAnsi"/>
                <w:sz w:val="24"/>
                <w:lang w:val="lt-LT" w:eastAsia="lt-LT" w:bidi="ar-SA"/>
              </w:rPr>
              <w:tab/>
            </w:r>
          </w:p>
          <w:p w:rsidR="00D32E4F" w:rsidRPr="003C43B5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  <w:r w:rsidRPr="00734795">
              <w:rPr>
                <w:rFonts w:eastAsiaTheme="minorHAnsi"/>
                <w:b/>
                <w:sz w:val="24"/>
                <w:lang w:val="lt-LT" w:eastAsia="lt-LT" w:bidi="ar-SA"/>
              </w:rPr>
              <w:tab/>
            </w: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F649F8" w:rsidRPr="00627F6E" w:rsidRDefault="00627F6E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  <w:r>
              <w:rPr>
                <w:rFonts w:eastAsiaTheme="minorHAnsi"/>
                <w:sz w:val="24"/>
                <w:lang w:val="lt-LT" w:eastAsia="lt-LT" w:bidi="ar-SA"/>
              </w:rPr>
              <w:t>Savivaldybės meras                                                                           Povilas Žagunis</w:t>
            </w:r>
          </w:p>
          <w:p w:rsidR="00F649F8" w:rsidRDefault="00F649F8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F649F8" w:rsidRPr="00734795" w:rsidRDefault="00F649F8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Pr="00734795" w:rsidRDefault="00D32E4F" w:rsidP="00D32E4F">
            <w:pPr>
              <w:suppressAutoHyphens w:val="0"/>
              <w:jc w:val="both"/>
              <w:rPr>
                <w:rFonts w:eastAsiaTheme="minorHAnsi"/>
                <w:b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lt-LT" w:bidi="ar-SA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  <w:p w:rsidR="00D32E4F" w:rsidRDefault="00D32E4F" w:rsidP="00E87D3B">
            <w:pPr>
              <w:ind w:left="2895" w:right="-35" w:hanging="2895"/>
              <w:jc w:val="center"/>
              <w:rPr>
                <w:sz w:val="24"/>
                <w:szCs w:val="24"/>
              </w:rPr>
            </w:pPr>
          </w:p>
        </w:tc>
      </w:tr>
      <w:tr w:rsidR="002F3A6E" w:rsidRPr="00397F73" w:rsidTr="00333B55">
        <w:trPr>
          <w:trHeight w:val="142"/>
        </w:trPr>
        <w:tc>
          <w:tcPr>
            <w:tcW w:w="2646" w:type="dxa"/>
          </w:tcPr>
          <w:p w:rsidR="002F3A6E" w:rsidRDefault="00AA72AB" w:rsidP="00D32E4F">
            <w:pPr>
              <w:ind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9545" w:type="dxa"/>
          </w:tcPr>
          <w:p w:rsidR="002F3A6E" w:rsidRDefault="002F3A6E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  <w:tr w:rsidR="00333B55" w:rsidRPr="00397F73" w:rsidTr="00333B55">
        <w:trPr>
          <w:trHeight w:val="142"/>
        </w:trPr>
        <w:tc>
          <w:tcPr>
            <w:tcW w:w="2646" w:type="dxa"/>
          </w:tcPr>
          <w:p w:rsidR="00333B55" w:rsidRDefault="00333B55" w:rsidP="00D32E4F">
            <w:pPr>
              <w:ind w:right="-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9545" w:type="dxa"/>
          </w:tcPr>
          <w:p w:rsidR="00333B55" w:rsidRDefault="00333B55" w:rsidP="00D32E4F">
            <w:pPr>
              <w:suppressAutoHyphens w:val="0"/>
              <w:jc w:val="both"/>
              <w:rPr>
                <w:rFonts w:eastAsiaTheme="minorHAnsi"/>
                <w:sz w:val="24"/>
                <w:lang w:val="lt-LT" w:eastAsia="en-US" w:bidi="ar-SA"/>
              </w:rPr>
            </w:pPr>
          </w:p>
        </w:tc>
      </w:tr>
    </w:tbl>
    <w:p w:rsidR="00B07407" w:rsidRPr="00627F6E" w:rsidRDefault="00B07407" w:rsidP="00627F6E">
      <w:pPr>
        <w:suppressAutoHyphens w:val="0"/>
        <w:jc w:val="both"/>
        <w:rPr>
          <w:rFonts w:eastAsiaTheme="minorHAnsi"/>
          <w:sz w:val="24"/>
          <w:lang w:val="lt-LT" w:eastAsia="en-US" w:bidi="ar-SA"/>
        </w:rPr>
      </w:pPr>
    </w:p>
    <w:sectPr w:rsidR="00B07407" w:rsidRPr="00627F6E" w:rsidSect="00397F7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F4" w:rsidRDefault="000C34F4" w:rsidP="00502FBE">
      <w:r>
        <w:separator/>
      </w:r>
    </w:p>
  </w:endnote>
  <w:endnote w:type="continuationSeparator" w:id="0">
    <w:p w:rsidR="000C34F4" w:rsidRDefault="000C34F4" w:rsidP="005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F4" w:rsidRDefault="000C34F4" w:rsidP="00502FBE">
      <w:r>
        <w:separator/>
      </w:r>
    </w:p>
  </w:footnote>
  <w:footnote w:type="continuationSeparator" w:id="0">
    <w:p w:rsidR="000C34F4" w:rsidRDefault="000C34F4" w:rsidP="0050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812A9"/>
    <w:multiLevelType w:val="hybridMultilevel"/>
    <w:tmpl w:val="19925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C0082"/>
    <w:multiLevelType w:val="hybridMultilevel"/>
    <w:tmpl w:val="D9088840"/>
    <w:lvl w:ilvl="0" w:tplc="C9A0843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97F8E"/>
    <w:multiLevelType w:val="hybridMultilevel"/>
    <w:tmpl w:val="9EC44E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7D4E"/>
    <w:multiLevelType w:val="hybridMultilevel"/>
    <w:tmpl w:val="38A20238"/>
    <w:lvl w:ilvl="0" w:tplc="D6FE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D16636"/>
    <w:multiLevelType w:val="hybridMultilevel"/>
    <w:tmpl w:val="C1A8C3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6EEE"/>
    <w:rsid w:val="00027E7A"/>
    <w:rsid w:val="00034946"/>
    <w:rsid w:val="000458E5"/>
    <w:rsid w:val="00046112"/>
    <w:rsid w:val="000474EA"/>
    <w:rsid w:val="00055558"/>
    <w:rsid w:val="00057F88"/>
    <w:rsid w:val="0006345D"/>
    <w:rsid w:val="00066F8D"/>
    <w:rsid w:val="0007096E"/>
    <w:rsid w:val="00071E0C"/>
    <w:rsid w:val="0008242D"/>
    <w:rsid w:val="00090F20"/>
    <w:rsid w:val="00094E8D"/>
    <w:rsid w:val="000A19FA"/>
    <w:rsid w:val="000A22A2"/>
    <w:rsid w:val="000A74AF"/>
    <w:rsid w:val="000C3191"/>
    <w:rsid w:val="000C34F4"/>
    <w:rsid w:val="000C44C3"/>
    <w:rsid w:val="000E720F"/>
    <w:rsid w:val="000F4094"/>
    <w:rsid w:val="00105690"/>
    <w:rsid w:val="00107A6D"/>
    <w:rsid w:val="0012493C"/>
    <w:rsid w:val="00126DB8"/>
    <w:rsid w:val="001275BC"/>
    <w:rsid w:val="00132656"/>
    <w:rsid w:val="00133229"/>
    <w:rsid w:val="001338A6"/>
    <w:rsid w:val="00133FAA"/>
    <w:rsid w:val="00145B7F"/>
    <w:rsid w:val="00163996"/>
    <w:rsid w:val="00164463"/>
    <w:rsid w:val="00173629"/>
    <w:rsid w:val="001750BA"/>
    <w:rsid w:val="00182A61"/>
    <w:rsid w:val="00186569"/>
    <w:rsid w:val="001950A2"/>
    <w:rsid w:val="00197CE9"/>
    <w:rsid w:val="001C2743"/>
    <w:rsid w:val="001C493F"/>
    <w:rsid w:val="001D4822"/>
    <w:rsid w:val="001D6E4D"/>
    <w:rsid w:val="001E1E08"/>
    <w:rsid w:val="001E63ED"/>
    <w:rsid w:val="001F5504"/>
    <w:rsid w:val="002035BF"/>
    <w:rsid w:val="002113CC"/>
    <w:rsid w:val="00212EA1"/>
    <w:rsid w:val="00216C6A"/>
    <w:rsid w:val="0022512F"/>
    <w:rsid w:val="00241D89"/>
    <w:rsid w:val="0024576E"/>
    <w:rsid w:val="002464DA"/>
    <w:rsid w:val="00247D7A"/>
    <w:rsid w:val="0025723B"/>
    <w:rsid w:val="0025748B"/>
    <w:rsid w:val="00260A83"/>
    <w:rsid w:val="00270D47"/>
    <w:rsid w:val="002823AE"/>
    <w:rsid w:val="00286361"/>
    <w:rsid w:val="00296A34"/>
    <w:rsid w:val="002B0351"/>
    <w:rsid w:val="002B2D8C"/>
    <w:rsid w:val="002B2FFE"/>
    <w:rsid w:val="002C1C11"/>
    <w:rsid w:val="002C2326"/>
    <w:rsid w:val="002C3A1E"/>
    <w:rsid w:val="002D6359"/>
    <w:rsid w:val="002D6B4E"/>
    <w:rsid w:val="002F16E0"/>
    <w:rsid w:val="002F3A6E"/>
    <w:rsid w:val="00310515"/>
    <w:rsid w:val="00314863"/>
    <w:rsid w:val="00322D8D"/>
    <w:rsid w:val="00324105"/>
    <w:rsid w:val="00324185"/>
    <w:rsid w:val="00333B55"/>
    <w:rsid w:val="0033626B"/>
    <w:rsid w:val="00342D6D"/>
    <w:rsid w:val="003526EA"/>
    <w:rsid w:val="00353853"/>
    <w:rsid w:val="003547EE"/>
    <w:rsid w:val="00365AA8"/>
    <w:rsid w:val="0036614E"/>
    <w:rsid w:val="003758E7"/>
    <w:rsid w:val="003774D3"/>
    <w:rsid w:val="0039032A"/>
    <w:rsid w:val="003913F2"/>
    <w:rsid w:val="00397F73"/>
    <w:rsid w:val="003A79BB"/>
    <w:rsid w:val="003B2355"/>
    <w:rsid w:val="003B374A"/>
    <w:rsid w:val="003B70A7"/>
    <w:rsid w:val="003C43B5"/>
    <w:rsid w:val="003E3108"/>
    <w:rsid w:val="003E6ACE"/>
    <w:rsid w:val="003E7AB0"/>
    <w:rsid w:val="003F392F"/>
    <w:rsid w:val="003F46A9"/>
    <w:rsid w:val="004038DF"/>
    <w:rsid w:val="0040667F"/>
    <w:rsid w:val="00414423"/>
    <w:rsid w:val="004156C0"/>
    <w:rsid w:val="00416AE4"/>
    <w:rsid w:val="00425BC1"/>
    <w:rsid w:val="00442FED"/>
    <w:rsid w:val="00444689"/>
    <w:rsid w:val="004469AE"/>
    <w:rsid w:val="00447FB5"/>
    <w:rsid w:val="00451C1F"/>
    <w:rsid w:val="00452015"/>
    <w:rsid w:val="00462F79"/>
    <w:rsid w:val="004666B8"/>
    <w:rsid w:val="00470F95"/>
    <w:rsid w:val="00475C80"/>
    <w:rsid w:val="0048117A"/>
    <w:rsid w:val="00492773"/>
    <w:rsid w:val="004A0E54"/>
    <w:rsid w:val="004A22D5"/>
    <w:rsid w:val="004B0509"/>
    <w:rsid w:val="004C695C"/>
    <w:rsid w:val="004D1C37"/>
    <w:rsid w:val="004E3CBD"/>
    <w:rsid w:val="004E5B02"/>
    <w:rsid w:val="004F46B2"/>
    <w:rsid w:val="004F69F6"/>
    <w:rsid w:val="00501768"/>
    <w:rsid w:val="00502FBE"/>
    <w:rsid w:val="0051045D"/>
    <w:rsid w:val="00520BA8"/>
    <w:rsid w:val="00533A7C"/>
    <w:rsid w:val="0053782D"/>
    <w:rsid w:val="005457F8"/>
    <w:rsid w:val="005464E1"/>
    <w:rsid w:val="00562A43"/>
    <w:rsid w:val="00577A29"/>
    <w:rsid w:val="005800DB"/>
    <w:rsid w:val="005853C4"/>
    <w:rsid w:val="005B23B9"/>
    <w:rsid w:val="005B452C"/>
    <w:rsid w:val="005C171A"/>
    <w:rsid w:val="005E3F16"/>
    <w:rsid w:val="005F0609"/>
    <w:rsid w:val="005F5E04"/>
    <w:rsid w:val="00604037"/>
    <w:rsid w:val="00607067"/>
    <w:rsid w:val="0061682A"/>
    <w:rsid w:val="00625F5F"/>
    <w:rsid w:val="006272A3"/>
    <w:rsid w:val="00627F6E"/>
    <w:rsid w:val="00632C6F"/>
    <w:rsid w:val="00643893"/>
    <w:rsid w:val="00650EB3"/>
    <w:rsid w:val="006573E7"/>
    <w:rsid w:val="0066066D"/>
    <w:rsid w:val="00666ACC"/>
    <w:rsid w:val="006737E7"/>
    <w:rsid w:val="00676500"/>
    <w:rsid w:val="00694CA6"/>
    <w:rsid w:val="00696C7E"/>
    <w:rsid w:val="006A2DDF"/>
    <w:rsid w:val="006B4B9C"/>
    <w:rsid w:val="006B574F"/>
    <w:rsid w:val="006B7870"/>
    <w:rsid w:val="006C543C"/>
    <w:rsid w:val="006D05C1"/>
    <w:rsid w:val="006E3C79"/>
    <w:rsid w:val="006E4AAD"/>
    <w:rsid w:val="006F1EE4"/>
    <w:rsid w:val="00702B48"/>
    <w:rsid w:val="00707854"/>
    <w:rsid w:val="00711BAE"/>
    <w:rsid w:val="00717495"/>
    <w:rsid w:val="00723F4B"/>
    <w:rsid w:val="0073058F"/>
    <w:rsid w:val="00734795"/>
    <w:rsid w:val="007406E7"/>
    <w:rsid w:val="0075141B"/>
    <w:rsid w:val="00755615"/>
    <w:rsid w:val="00762835"/>
    <w:rsid w:val="007729B7"/>
    <w:rsid w:val="007764D4"/>
    <w:rsid w:val="007842A0"/>
    <w:rsid w:val="00794F81"/>
    <w:rsid w:val="007A4967"/>
    <w:rsid w:val="007B4699"/>
    <w:rsid w:val="007B6765"/>
    <w:rsid w:val="007C1D97"/>
    <w:rsid w:val="007C37D9"/>
    <w:rsid w:val="007C7A29"/>
    <w:rsid w:val="007D3250"/>
    <w:rsid w:val="007F27CE"/>
    <w:rsid w:val="007F42B1"/>
    <w:rsid w:val="00801311"/>
    <w:rsid w:val="00801332"/>
    <w:rsid w:val="008142EE"/>
    <w:rsid w:val="00815B74"/>
    <w:rsid w:val="00823008"/>
    <w:rsid w:val="00825ACD"/>
    <w:rsid w:val="00826703"/>
    <w:rsid w:val="00832911"/>
    <w:rsid w:val="00842DE6"/>
    <w:rsid w:val="0084721B"/>
    <w:rsid w:val="00847D31"/>
    <w:rsid w:val="008710EE"/>
    <w:rsid w:val="008A2309"/>
    <w:rsid w:val="008B09AC"/>
    <w:rsid w:val="008C4466"/>
    <w:rsid w:val="008C5E72"/>
    <w:rsid w:val="008D6F69"/>
    <w:rsid w:val="008E0314"/>
    <w:rsid w:val="008E2068"/>
    <w:rsid w:val="008E58C1"/>
    <w:rsid w:val="008F4158"/>
    <w:rsid w:val="008F5353"/>
    <w:rsid w:val="00902E0F"/>
    <w:rsid w:val="00907BE4"/>
    <w:rsid w:val="00910D3D"/>
    <w:rsid w:val="00912BC6"/>
    <w:rsid w:val="009148A1"/>
    <w:rsid w:val="00915AAC"/>
    <w:rsid w:val="00922476"/>
    <w:rsid w:val="0092325B"/>
    <w:rsid w:val="009269F4"/>
    <w:rsid w:val="009314DB"/>
    <w:rsid w:val="00934A78"/>
    <w:rsid w:val="00954544"/>
    <w:rsid w:val="009627CF"/>
    <w:rsid w:val="00963782"/>
    <w:rsid w:val="0097103C"/>
    <w:rsid w:val="00974EFB"/>
    <w:rsid w:val="0097526B"/>
    <w:rsid w:val="00984261"/>
    <w:rsid w:val="009B05E9"/>
    <w:rsid w:val="009B1D6A"/>
    <w:rsid w:val="009C0A86"/>
    <w:rsid w:val="009D329F"/>
    <w:rsid w:val="009E5100"/>
    <w:rsid w:val="009E6E47"/>
    <w:rsid w:val="009E7588"/>
    <w:rsid w:val="009F2555"/>
    <w:rsid w:val="009F2F4C"/>
    <w:rsid w:val="009F73BC"/>
    <w:rsid w:val="00A230B9"/>
    <w:rsid w:val="00A31E33"/>
    <w:rsid w:val="00A33285"/>
    <w:rsid w:val="00A36A41"/>
    <w:rsid w:val="00A40E5A"/>
    <w:rsid w:val="00A428D6"/>
    <w:rsid w:val="00A45370"/>
    <w:rsid w:val="00A463FF"/>
    <w:rsid w:val="00A51B17"/>
    <w:rsid w:val="00A6134B"/>
    <w:rsid w:val="00A62C53"/>
    <w:rsid w:val="00A63E10"/>
    <w:rsid w:val="00A66166"/>
    <w:rsid w:val="00A7083B"/>
    <w:rsid w:val="00A7484F"/>
    <w:rsid w:val="00A74DDE"/>
    <w:rsid w:val="00A74FB9"/>
    <w:rsid w:val="00A8785B"/>
    <w:rsid w:val="00A91E8D"/>
    <w:rsid w:val="00A938B4"/>
    <w:rsid w:val="00A9669B"/>
    <w:rsid w:val="00AA53B9"/>
    <w:rsid w:val="00AA72AB"/>
    <w:rsid w:val="00AC32A1"/>
    <w:rsid w:val="00AF34D2"/>
    <w:rsid w:val="00AF3BDE"/>
    <w:rsid w:val="00B00360"/>
    <w:rsid w:val="00B07407"/>
    <w:rsid w:val="00B14BE3"/>
    <w:rsid w:val="00B23E6C"/>
    <w:rsid w:val="00B33F38"/>
    <w:rsid w:val="00B35CF0"/>
    <w:rsid w:val="00B42DFC"/>
    <w:rsid w:val="00B57210"/>
    <w:rsid w:val="00B60FAD"/>
    <w:rsid w:val="00B716FB"/>
    <w:rsid w:val="00B73680"/>
    <w:rsid w:val="00B826A2"/>
    <w:rsid w:val="00BA110A"/>
    <w:rsid w:val="00BA1200"/>
    <w:rsid w:val="00BA2CBD"/>
    <w:rsid w:val="00BA47B7"/>
    <w:rsid w:val="00BB1E23"/>
    <w:rsid w:val="00BB2879"/>
    <w:rsid w:val="00BB35B3"/>
    <w:rsid w:val="00BB631A"/>
    <w:rsid w:val="00BB77F5"/>
    <w:rsid w:val="00BC378F"/>
    <w:rsid w:val="00BC46BD"/>
    <w:rsid w:val="00BC46E0"/>
    <w:rsid w:val="00BC49A5"/>
    <w:rsid w:val="00BD4D43"/>
    <w:rsid w:val="00BD4ECB"/>
    <w:rsid w:val="00BD676E"/>
    <w:rsid w:val="00BE2EDF"/>
    <w:rsid w:val="00BE75CA"/>
    <w:rsid w:val="00C025C9"/>
    <w:rsid w:val="00C13849"/>
    <w:rsid w:val="00C16C3F"/>
    <w:rsid w:val="00C24ADB"/>
    <w:rsid w:val="00C274F6"/>
    <w:rsid w:val="00C31B58"/>
    <w:rsid w:val="00C400F5"/>
    <w:rsid w:val="00C443F6"/>
    <w:rsid w:val="00C50C16"/>
    <w:rsid w:val="00C546E2"/>
    <w:rsid w:val="00C57B82"/>
    <w:rsid w:val="00C626E5"/>
    <w:rsid w:val="00C701C2"/>
    <w:rsid w:val="00C7117D"/>
    <w:rsid w:val="00C72940"/>
    <w:rsid w:val="00C77333"/>
    <w:rsid w:val="00C83668"/>
    <w:rsid w:val="00C85260"/>
    <w:rsid w:val="00C86886"/>
    <w:rsid w:val="00C94752"/>
    <w:rsid w:val="00CA29EC"/>
    <w:rsid w:val="00CC2249"/>
    <w:rsid w:val="00CD0E08"/>
    <w:rsid w:val="00CD218A"/>
    <w:rsid w:val="00CD3A4D"/>
    <w:rsid w:val="00CD5CB9"/>
    <w:rsid w:val="00CE617C"/>
    <w:rsid w:val="00CE7BD6"/>
    <w:rsid w:val="00CF2A49"/>
    <w:rsid w:val="00CF30AB"/>
    <w:rsid w:val="00CF7049"/>
    <w:rsid w:val="00D04DF0"/>
    <w:rsid w:val="00D10958"/>
    <w:rsid w:val="00D22F15"/>
    <w:rsid w:val="00D32E4F"/>
    <w:rsid w:val="00D36D72"/>
    <w:rsid w:val="00D36DA4"/>
    <w:rsid w:val="00D60665"/>
    <w:rsid w:val="00D70076"/>
    <w:rsid w:val="00D7729A"/>
    <w:rsid w:val="00D83C2F"/>
    <w:rsid w:val="00D84E99"/>
    <w:rsid w:val="00D972F5"/>
    <w:rsid w:val="00DA69D7"/>
    <w:rsid w:val="00DA7142"/>
    <w:rsid w:val="00DB2A4A"/>
    <w:rsid w:val="00DC1A0F"/>
    <w:rsid w:val="00DC401F"/>
    <w:rsid w:val="00DC7D7F"/>
    <w:rsid w:val="00DE5F16"/>
    <w:rsid w:val="00DF077C"/>
    <w:rsid w:val="00E020E0"/>
    <w:rsid w:val="00E02872"/>
    <w:rsid w:val="00E10A13"/>
    <w:rsid w:val="00E16FDA"/>
    <w:rsid w:val="00E16FE5"/>
    <w:rsid w:val="00E17C80"/>
    <w:rsid w:val="00E20513"/>
    <w:rsid w:val="00E217C6"/>
    <w:rsid w:val="00E313C9"/>
    <w:rsid w:val="00E335B6"/>
    <w:rsid w:val="00E34D86"/>
    <w:rsid w:val="00E411C6"/>
    <w:rsid w:val="00E4183E"/>
    <w:rsid w:val="00E50C24"/>
    <w:rsid w:val="00E5404A"/>
    <w:rsid w:val="00E60E66"/>
    <w:rsid w:val="00E61686"/>
    <w:rsid w:val="00E61FDD"/>
    <w:rsid w:val="00E73048"/>
    <w:rsid w:val="00E7604E"/>
    <w:rsid w:val="00E858AD"/>
    <w:rsid w:val="00E85D80"/>
    <w:rsid w:val="00E87D3B"/>
    <w:rsid w:val="00E9303E"/>
    <w:rsid w:val="00E95902"/>
    <w:rsid w:val="00EA797F"/>
    <w:rsid w:val="00EC1B96"/>
    <w:rsid w:val="00ED1AD2"/>
    <w:rsid w:val="00EE0D05"/>
    <w:rsid w:val="00EE16A8"/>
    <w:rsid w:val="00EE1F48"/>
    <w:rsid w:val="00EE40BF"/>
    <w:rsid w:val="00EE439B"/>
    <w:rsid w:val="00EF2FC9"/>
    <w:rsid w:val="00EF6C47"/>
    <w:rsid w:val="00EF7D24"/>
    <w:rsid w:val="00F1070E"/>
    <w:rsid w:val="00F11D8E"/>
    <w:rsid w:val="00F51F78"/>
    <w:rsid w:val="00F649F8"/>
    <w:rsid w:val="00F664B7"/>
    <w:rsid w:val="00F73737"/>
    <w:rsid w:val="00F75F28"/>
    <w:rsid w:val="00F80659"/>
    <w:rsid w:val="00F854E5"/>
    <w:rsid w:val="00F94443"/>
    <w:rsid w:val="00F96803"/>
    <w:rsid w:val="00F97255"/>
    <w:rsid w:val="00FA13C9"/>
    <w:rsid w:val="00FA21B2"/>
    <w:rsid w:val="00FA2990"/>
    <w:rsid w:val="00FB12AD"/>
    <w:rsid w:val="00FB5304"/>
    <w:rsid w:val="00FC0F8F"/>
    <w:rsid w:val="00FD0425"/>
    <w:rsid w:val="00FD5F99"/>
    <w:rsid w:val="00FD6D5C"/>
    <w:rsid w:val="00FE3B5C"/>
    <w:rsid w:val="00FE5D34"/>
    <w:rsid w:val="00FE7F45"/>
    <w:rsid w:val="00FF053A"/>
    <w:rsid w:val="00FF0F72"/>
    <w:rsid w:val="00FF1A62"/>
    <w:rsid w:val="00FF3244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2B5BB-9085-4934-BA35-54B39AD4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B09AC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02FBE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502FBE"/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rsid w:val="008B09AC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09AC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8B09AC"/>
    <w:rPr>
      <w:rFonts w:cs="Mangal"/>
      <w:szCs w:val="18"/>
      <w:lang w:val="en-US" w:eastAsia="hi-IN" w:bidi="hi-IN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8B0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/>
      <w:sz w:val="22"/>
      <w:szCs w:val="22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uiPriority w:val="99"/>
    <w:rsid w:val="008B09AC"/>
    <w:rPr>
      <w:rFonts w:ascii="Courier New" w:hAnsi="Courier New"/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8B09AC"/>
    <w:pPr>
      <w:shd w:val="clear" w:color="auto" w:fill="FFFFFF"/>
      <w:suppressAutoHyphens w:val="0"/>
      <w:spacing w:before="511"/>
      <w:ind w:left="526"/>
      <w:jc w:val="center"/>
    </w:pPr>
    <w:rPr>
      <w:rFonts w:ascii="TimesLT" w:hAnsi="TimesLT"/>
      <w:sz w:val="24"/>
      <w:lang w:val="lt-LT" w:eastAsia="en-US" w:bidi="ar-SA"/>
    </w:rPr>
  </w:style>
  <w:style w:type="character" w:customStyle="1" w:styleId="PavadinimasDiagrama">
    <w:name w:val="Pavadinimas Diagrama"/>
    <w:link w:val="Pavadinimas"/>
    <w:uiPriority w:val="99"/>
    <w:rsid w:val="008B09AC"/>
    <w:rPr>
      <w:rFonts w:ascii="TimesLT" w:hAnsi="TimesLT"/>
      <w:sz w:val="24"/>
      <w:shd w:val="clear" w:color="auto" w:fill="FFFFFF"/>
      <w:lang w:eastAsia="en-US"/>
    </w:rPr>
  </w:style>
  <w:style w:type="paragraph" w:customStyle="1" w:styleId="Patvirtinta">
    <w:name w:val="Patvirtinta"/>
    <w:uiPriority w:val="99"/>
    <w:rsid w:val="008B09A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formatted">
    <w:name w:val="Preformatted"/>
    <w:basedOn w:val="prastasis"/>
    <w:uiPriority w:val="99"/>
    <w:rsid w:val="008B09A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autoSpaceDE w:val="0"/>
      <w:autoSpaceDN w:val="0"/>
    </w:pPr>
    <w:rPr>
      <w:rFonts w:ascii="Courier New" w:hAnsi="Courier New" w:cs="Courier New"/>
      <w:lang w:val="lt-LT" w:eastAsia="lt-LT" w:bidi="ar-SA"/>
    </w:rPr>
  </w:style>
  <w:style w:type="numbering" w:customStyle="1" w:styleId="Sraonra1">
    <w:name w:val="Sąrašo nėra1"/>
    <w:next w:val="Sraonra"/>
    <w:uiPriority w:val="99"/>
    <w:semiHidden/>
    <w:unhideWhenUsed/>
    <w:rsid w:val="00826703"/>
  </w:style>
  <w:style w:type="paragraph" w:styleId="Sraopastraipa">
    <w:name w:val="List Paragraph"/>
    <w:basedOn w:val="prastasis"/>
    <w:uiPriority w:val="34"/>
    <w:qFormat/>
    <w:rsid w:val="00826703"/>
    <w:pPr>
      <w:suppressAutoHyphens w:val="0"/>
      <w:ind w:left="720"/>
      <w:contextualSpacing/>
    </w:pPr>
    <w:rPr>
      <w:rFonts w:eastAsiaTheme="minorHAnsi"/>
      <w:b/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semiHidden/>
    <w:unhideWhenUsed/>
    <w:rsid w:val="00E7604E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E7604E"/>
    <w:rPr>
      <w:color w:val="0000FF"/>
      <w:u w:val="single"/>
    </w:rPr>
  </w:style>
  <w:style w:type="character" w:styleId="Grietas">
    <w:name w:val="Strong"/>
    <w:qFormat/>
    <w:rsid w:val="009314D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rsid w:val="007406E7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7B25-411A-4CCF-93F4-72755FEE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4263</Words>
  <Characters>2431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5</cp:revision>
  <cp:lastPrinted>2021-01-21T13:38:00Z</cp:lastPrinted>
  <dcterms:created xsi:type="dcterms:W3CDTF">2021-01-21T06:44:00Z</dcterms:created>
  <dcterms:modified xsi:type="dcterms:W3CDTF">2021-01-21T13:38:00Z</dcterms:modified>
</cp:coreProperties>
</file>