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2733844"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7D499A6E"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Pr="00665D2B">
        <w:rPr>
          <w:rFonts w:ascii="Times New Roman" w:hAnsi="Times New Roman"/>
          <w:b/>
          <w:szCs w:val="24"/>
        </w:rPr>
        <w:t xml:space="preserve">PANEVĖŽIO RAJONO </w:t>
      </w:r>
      <w:r w:rsidR="005A788F">
        <w:rPr>
          <w:rFonts w:ascii="Times New Roman" w:hAnsi="Times New Roman"/>
          <w:b/>
          <w:szCs w:val="24"/>
        </w:rPr>
        <w:t xml:space="preserve">SAVIVALDYBĖS TARYBOS 2020 M. GRUODŽIO 3 D. SPRENDIMO NR. T-261 „DĖL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4A606831"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5A788F">
        <w:rPr>
          <w:rFonts w:ascii="Times New Roman" w:hAnsi="Times New Roman"/>
          <w:szCs w:val="24"/>
          <w:lang w:val="en-GB"/>
        </w:rPr>
        <w:t>1</w:t>
      </w:r>
      <w:r w:rsidRPr="00665D2B">
        <w:rPr>
          <w:rFonts w:ascii="Times New Roman" w:hAnsi="Times New Roman"/>
          <w:szCs w:val="24"/>
          <w:lang w:val="en-GB"/>
        </w:rPr>
        <w:t xml:space="preserve"> m. </w:t>
      </w:r>
      <w:proofErr w:type="spellStart"/>
      <w:r w:rsidR="005A788F">
        <w:rPr>
          <w:rFonts w:ascii="Times New Roman" w:hAnsi="Times New Roman"/>
          <w:szCs w:val="24"/>
          <w:lang w:val="en-GB"/>
        </w:rPr>
        <w:t>sausio</w:t>
      </w:r>
      <w:proofErr w:type="spellEnd"/>
      <w:r w:rsidR="005A788F">
        <w:rPr>
          <w:rFonts w:ascii="Times New Roman" w:hAnsi="Times New Roman"/>
          <w:szCs w:val="24"/>
          <w:lang w:val="en-GB"/>
        </w:rPr>
        <w:t xml:space="preserve"> 21</w:t>
      </w:r>
      <w:r w:rsidRPr="00665D2B">
        <w:rPr>
          <w:rFonts w:ascii="Times New Roman" w:hAnsi="Times New Roman"/>
          <w:szCs w:val="24"/>
          <w:lang w:val="en-GB"/>
        </w:rPr>
        <w:t xml:space="preserve"> d. Nr. T-</w:t>
      </w:r>
      <w:r w:rsidR="00E12ECA">
        <w:rPr>
          <w:rFonts w:ascii="Times New Roman" w:hAnsi="Times New Roman"/>
          <w:szCs w:val="24"/>
          <w:lang w:val="en-GB"/>
        </w:rPr>
        <w:t>4</w:t>
      </w:r>
    </w:p>
    <w:p w14:paraId="12BB854C" w14:textId="77777777" w:rsidR="00665D2B" w:rsidRPr="00665D2B" w:rsidRDefault="00665D2B" w:rsidP="00665D2B">
      <w:pPr>
        <w:jc w:val="center"/>
        <w:rPr>
          <w:rFonts w:ascii="Times New Roman" w:hAnsi="Times New Roman"/>
          <w:szCs w:val="24"/>
          <w:lang w:val="en-GB"/>
        </w:rPr>
      </w:pPr>
      <w:proofErr w:type="spellStart"/>
      <w:r w:rsidRPr="00665D2B">
        <w:rPr>
          <w:rFonts w:ascii="Times New Roman" w:hAnsi="Times New Roman"/>
          <w:szCs w:val="24"/>
          <w:lang w:val="en-GB"/>
        </w:rPr>
        <w:t>Panevėžys</w:t>
      </w:r>
      <w:proofErr w:type="spellEnd"/>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7AFDFF05"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20</w:t>
      </w:r>
      <w:r w:rsidR="005A788F" w:rsidRPr="005A788F">
        <w:rPr>
          <w:rFonts w:ascii="Times New Roman" w:hAnsi="Times New Roman"/>
        </w:rPr>
        <w:t xml:space="preserve"> m. </w:t>
      </w:r>
      <w:r w:rsidR="005A788F">
        <w:rPr>
          <w:rFonts w:ascii="Times New Roman" w:hAnsi="Times New Roman"/>
        </w:rPr>
        <w:t>gruodžio 3</w:t>
      </w:r>
      <w:r w:rsidR="005A788F" w:rsidRPr="005A788F">
        <w:rPr>
          <w:rFonts w:ascii="Times New Roman" w:hAnsi="Times New Roman"/>
        </w:rPr>
        <w:t xml:space="preserve"> d. sprendimu Nr. T-</w:t>
      </w:r>
      <w:r w:rsidR="005A788F">
        <w:rPr>
          <w:rFonts w:ascii="Times New Roman" w:hAnsi="Times New Roman"/>
        </w:rPr>
        <w:t>261 „Dėl Panevėžio rajono socialinių paslaugų centro nuostatų patvirtinimo“</w:t>
      </w:r>
      <w:r w:rsidR="005A788F" w:rsidRPr="005A788F">
        <w:rPr>
          <w:rFonts w:ascii="Times New Roman" w:hAnsi="Times New Roman"/>
        </w:rPr>
        <w:t xml:space="preserve"> 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0C821BED" w:rsidR="00665D2B" w:rsidRPr="00665D2B" w:rsidRDefault="00C40228" w:rsidP="00665D2B">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meras</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proofErr w:type="spellStart"/>
      <w:r>
        <w:rPr>
          <w:rFonts w:ascii="Times New Roman" w:hAnsi="Times New Roman"/>
          <w:szCs w:val="24"/>
          <w:lang w:val="en-GB"/>
        </w:rPr>
        <w:t>Povilas</w:t>
      </w:r>
      <w:proofErr w:type="spellEnd"/>
      <w:r>
        <w:rPr>
          <w:rFonts w:ascii="Times New Roman" w:hAnsi="Times New Roman"/>
          <w:szCs w:val="24"/>
          <w:lang w:val="en-GB"/>
        </w:rPr>
        <w:t xml:space="preserve"> </w:t>
      </w:r>
      <w:proofErr w:type="spellStart"/>
      <w:r>
        <w:rPr>
          <w:rFonts w:ascii="Times New Roman" w:hAnsi="Times New Roman"/>
          <w:szCs w:val="24"/>
          <w:lang w:val="en-GB"/>
        </w:rPr>
        <w:t>Žagunis</w:t>
      </w:r>
      <w:proofErr w:type="spellEnd"/>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2130EDE2" w14:textId="6D22A960" w:rsidR="005A788F" w:rsidRDefault="005A788F" w:rsidP="00665D2B">
      <w:pPr>
        <w:pStyle w:val="Pagrindinistekstas"/>
        <w:jc w:val="both"/>
        <w:rPr>
          <w:b w:val="0"/>
          <w:bCs w:val="0"/>
          <w:sz w:val="24"/>
          <w:szCs w:val="24"/>
        </w:rPr>
      </w:pPr>
    </w:p>
    <w:p w14:paraId="65C8C381" w14:textId="7676146F" w:rsidR="005A788F" w:rsidRDefault="005A788F" w:rsidP="00665D2B">
      <w:pPr>
        <w:pStyle w:val="Pagrindinistekstas"/>
        <w:jc w:val="both"/>
        <w:rPr>
          <w:b w:val="0"/>
          <w:bCs w:val="0"/>
          <w:sz w:val="24"/>
          <w:szCs w:val="24"/>
        </w:rPr>
      </w:pPr>
    </w:p>
    <w:p w14:paraId="2AFACF27" w14:textId="72E9C323" w:rsidR="00C40228" w:rsidRDefault="00C40228" w:rsidP="00665D2B">
      <w:pPr>
        <w:pStyle w:val="Pagrindinistekstas"/>
        <w:jc w:val="both"/>
        <w:rPr>
          <w:b w:val="0"/>
          <w:bCs w:val="0"/>
          <w:sz w:val="24"/>
          <w:szCs w:val="24"/>
        </w:rPr>
      </w:pPr>
    </w:p>
    <w:p w14:paraId="0CF009DB" w14:textId="6FB6DF03" w:rsidR="00C40228" w:rsidRDefault="00C40228" w:rsidP="00665D2B">
      <w:pPr>
        <w:pStyle w:val="Pagrindinistekstas"/>
        <w:jc w:val="both"/>
        <w:rPr>
          <w:b w:val="0"/>
          <w:bCs w:val="0"/>
          <w:sz w:val="24"/>
          <w:szCs w:val="24"/>
        </w:rPr>
      </w:pPr>
    </w:p>
    <w:p w14:paraId="559668BB" w14:textId="77777777" w:rsidR="00C40228" w:rsidRDefault="00C40228"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14DAC542" w14:textId="77777777" w:rsidR="00665D2B" w:rsidRPr="00665D2B" w:rsidRDefault="00665D2B"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5C1D01B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2020 m. gruodžio 3 d. sprendimu Nr. T-</w:t>
      </w:r>
      <w:r w:rsidR="005A788F">
        <w:rPr>
          <w:rFonts w:ascii="Times New Roman" w:hAnsi="Times New Roman"/>
          <w:szCs w:val="24"/>
        </w:rPr>
        <w:t>261</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1E3D430F" w:rsidR="005A788F" w:rsidRPr="00665D2B" w:rsidRDefault="005A788F" w:rsidP="005A788F">
      <w:pPr>
        <w:ind w:left="5040"/>
        <w:jc w:val="both"/>
        <w:rPr>
          <w:rFonts w:ascii="Times New Roman" w:hAnsi="Times New Roman"/>
          <w:szCs w:val="24"/>
        </w:rPr>
      </w:pPr>
      <w:r>
        <w:rPr>
          <w:rFonts w:ascii="Times New Roman" w:hAnsi="Times New Roman"/>
          <w:szCs w:val="24"/>
        </w:rPr>
        <w:t>2021 m. sausio 21 d. sprendimo Nr. T-</w:t>
      </w:r>
      <w:r w:rsidR="00E12ECA">
        <w:rPr>
          <w:rFonts w:ascii="Times New Roman" w:hAnsi="Times New Roman"/>
          <w:szCs w:val="24"/>
        </w:rPr>
        <w:t>4</w:t>
      </w:r>
      <w:r>
        <w:rPr>
          <w:rFonts w:ascii="Times New Roman" w:hAnsi="Times New Roman"/>
          <w:szCs w:val="24"/>
        </w:rPr>
        <w:t xml:space="preserve">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Nuostatai tvirtinami, keičiami ir pildomi Panevėžio rajono savivaldybės tarybos.</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12. Centras turi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 neįgijusiam arba praradusiam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lastRenderedPageBreak/>
        <w:t>14.2. sudaryti sąlygas asmeniui (šeimai) ugdyti ar stiprinti gebėjimus ir galimybes savarankiškai spręsti savo socialines problemas, palaikyti socialinius ryšius su visuomene, padėti įveikti socialinę atskirtį;</w:t>
      </w:r>
    </w:p>
    <w:p w14:paraId="45378F0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 </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vaiko tėvams bei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15.2. teikti pasiūlymus savivaldybės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 vykdyti atvejo vadybos funkcijas, vertinti šeimos pagalbos poreikius;</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17.10. teikti laikino </w:t>
      </w:r>
      <w:proofErr w:type="spellStart"/>
      <w:r w:rsidRPr="00665D2B">
        <w:rPr>
          <w:rFonts w:ascii="Times New Roman" w:hAnsi="Times New Roman"/>
          <w:szCs w:val="24"/>
        </w:rPr>
        <w:t>apnakvindinimo</w:t>
      </w:r>
      <w:proofErr w:type="spellEnd"/>
      <w:r w:rsidRPr="00665D2B">
        <w:rPr>
          <w:rFonts w:ascii="Times New Roman" w:hAnsi="Times New Roman"/>
          <w:szCs w:val="24"/>
        </w:rPr>
        <w:t xml:space="preserve">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vaikui artimas šeimos aplinkai 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77777777"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artimaisiais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21.5. teisės aktų nustatyta tvarka priima į darbą ir atleidžia iš darbo Centro darbuotojus, nustato tarnybinius atlyginimus, juos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21.7. teikia Savivaldybės tarybai tvirtinti didžiausią leistiną darbuotojų skaičių, metinę veiklos ataskaitą, teikiamų paslaugų įkainius, socialinės globos kainą ir kitas normas, nustatytas teisės aktuose Centro veiklos vykdymui;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21.13. atsako už buhalterinės apskaitos organizavimą, ataskaitų rengimą ir pateikimą laiku savivaldybės administracijai ir kitoms institucijoms, pagal teisės aktų nustatytus reikalavimus;</w:t>
      </w:r>
    </w:p>
    <w:p w14:paraId="52DC0A6E" w14:textId="36169DB9"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 xml:space="preserve">21.14. Centro direktoriui sergant, išvykus į komandiruotę, atostogų metu ar 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 ir poskyriai:</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25.1.3.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2B431E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 ir poskyriai:</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1292894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 Vadoklių nestacionarių socialinių paslaugų namai:</w:t>
      </w:r>
    </w:p>
    <w:p w14:paraId="1AA924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25.3.1. Paramos šeimai tarnyba;</w:t>
      </w:r>
    </w:p>
    <w:p w14:paraId="65DF128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25.3.2. Vaikų dienos centras;</w:t>
      </w:r>
    </w:p>
    <w:p w14:paraId="39D6C49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25.3.3. Krizių centras motinoms ir vaikams;</w:t>
      </w:r>
    </w:p>
    <w:p w14:paraId="7F4164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 Pagalbos šeimai skyrius ir poskyriai:</w:t>
      </w:r>
    </w:p>
    <w:p w14:paraId="0AC0DA3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25.4.1. Atvejo vadyba;</w:t>
      </w:r>
    </w:p>
    <w:p w14:paraId="237FD92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25.4.2. Daugiafunkcis centras;</w:t>
      </w:r>
    </w:p>
    <w:p w14:paraId="7AB9917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25.4.3. Spec. transporto organizavimas;</w:t>
      </w:r>
    </w:p>
    <w:p w14:paraId="3C0E71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25.4.4. Aprūpinimas techninės pagalbos priemonėmis;</w:t>
      </w:r>
    </w:p>
    <w:p w14:paraId="11198B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 Vaiko ir šeimos gerovės skyrius ir poskyriai:</w:t>
      </w:r>
    </w:p>
    <w:p w14:paraId="1C15A60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25.5.1. Piniavos bendruomeniniai vaikų globos namai;</w:t>
      </w:r>
    </w:p>
    <w:p w14:paraId="058FDB0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25.5.2. Vaivadų bendruomeniniai vaikų globos namai;</w:t>
      </w:r>
    </w:p>
    <w:p w14:paraId="7AD245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25.5.3. Globos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27.4. tikrinti asmens (šeimos) buities ir gyvenimo sąlygas bei kitas aplinkybes ir papildomai apklausti asmenis (šeimas), kurie 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43. Centro reorganizavimo ir likvidavimo atveju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421EAA2" w14:textId="2D3D0418" w:rsidR="00665D2B" w:rsidRPr="00665D2B" w:rsidRDefault="00665D2B" w:rsidP="00C40228">
      <w:pPr>
        <w:rPr>
          <w:rFonts w:ascii="Times New Roman" w:hAnsi="Times New Roman"/>
          <w:szCs w:val="24"/>
        </w:rPr>
      </w:pPr>
    </w:p>
    <w:sectPr w:rsidR="00665D2B" w:rsidRPr="00665D2B" w:rsidSect="002D4D1A">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23CD4" w14:textId="77777777" w:rsidR="00296E70" w:rsidRDefault="00296E70">
      <w:r>
        <w:separator/>
      </w:r>
    </w:p>
  </w:endnote>
  <w:endnote w:type="continuationSeparator" w:id="0">
    <w:p w14:paraId="4D4A50CC" w14:textId="77777777" w:rsidR="00296E70" w:rsidRDefault="0029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CA349" w14:textId="77777777" w:rsidR="00296E70" w:rsidRDefault="00296E70">
      <w:r>
        <w:separator/>
      </w:r>
    </w:p>
  </w:footnote>
  <w:footnote w:type="continuationSeparator" w:id="0">
    <w:p w14:paraId="5DED0FE3" w14:textId="77777777" w:rsidR="00296E70" w:rsidRDefault="0029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296E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1077C5"/>
    <w:rsid w:val="00141CB1"/>
    <w:rsid w:val="00163973"/>
    <w:rsid w:val="001644F0"/>
    <w:rsid w:val="00173CAD"/>
    <w:rsid w:val="001B070A"/>
    <w:rsid w:val="001B688F"/>
    <w:rsid w:val="001D08FD"/>
    <w:rsid w:val="001E612B"/>
    <w:rsid w:val="001F776B"/>
    <w:rsid w:val="00203CD2"/>
    <w:rsid w:val="00247B22"/>
    <w:rsid w:val="00296E70"/>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E306D"/>
    <w:rsid w:val="00405760"/>
    <w:rsid w:val="00420F0B"/>
    <w:rsid w:val="00446D96"/>
    <w:rsid w:val="004542CD"/>
    <w:rsid w:val="004C2180"/>
    <w:rsid w:val="004C2BCC"/>
    <w:rsid w:val="004F4A6D"/>
    <w:rsid w:val="00506E58"/>
    <w:rsid w:val="00525C33"/>
    <w:rsid w:val="00527718"/>
    <w:rsid w:val="005A1B33"/>
    <w:rsid w:val="005A788F"/>
    <w:rsid w:val="005B64DA"/>
    <w:rsid w:val="005D5155"/>
    <w:rsid w:val="005F1611"/>
    <w:rsid w:val="00622164"/>
    <w:rsid w:val="00622D40"/>
    <w:rsid w:val="006301D4"/>
    <w:rsid w:val="00645986"/>
    <w:rsid w:val="0065060D"/>
    <w:rsid w:val="00665D2B"/>
    <w:rsid w:val="00680FA0"/>
    <w:rsid w:val="006A6495"/>
    <w:rsid w:val="00710DED"/>
    <w:rsid w:val="0071170E"/>
    <w:rsid w:val="0072433D"/>
    <w:rsid w:val="00727D92"/>
    <w:rsid w:val="007307A2"/>
    <w:rsid w:val="00741E0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F1277"/>
    <w:rsid w:val="009139E9"/>
    <w:rsid w:val="00931FBA"/>
    <w:rsid w:val="00937735"/>
    <w:rsid w:val="009A7E79"/>
    <w:rsid w:val="009B0CE4"/>
    <w:rsid w:val="009C1AD6"/>
    <w:rsid w:val="009D7B41"/>
    <w:rsid w:val="00A23D83"/>
    <w:rsid w:val="00AA1ED2"/>
    <w:rsid w:val="00AC7C19"/>
    <w:rsid w:val="00AD43AB"/>
    <w:rsid w:val="00AE2979"/>
    <w:rsid w:val="00AF4389"/>
    <w:rsid w:val="00AF58F6"/>
    <w:rsid w:val="00B031E3"/>
    <w:rsid w:val="00B61DE0"/>
    <w:rsid w:val="00B63F24"/>
    <w:rsid w:val="00B66D00"/>
    <w:rsid w:val="00B77CA6"/>
    <w:rsid w:val="00B81A0D"/>
    <w:rsid w:val="00BA5BCD"/>
    <w:rsid w:val="00BF2B6E"/>
    <w:rsid w:val="00C01A7E"/>
    <w:rsid w:val="00C1382B"/>
    <w:rsid w:val="00C34DC7"/>
    <w:rsid w:val="00C40228"/>
    <w:rsid w:val="00C82D8A"/>
    <w:rsid w:val="00C94E09"/>
    <w:rsid w:val="00CA2B78"/>
    <w:rsid w:val="00CB3CF0"/>
    <w:rsid w:val="00CB5C0C"/>
    <w:rsid w:val="00CF2AE7"/>
    <w:rsid w:val="00D05149"/>
    <w:rsid w:val="00D612C9"/>
    <w:rsid w:val="00D71774"/>
    <w:rsid w:val="00D80469"/>
    <w:rsid w:val="00DB3D01"/>
    <w:rsid w:val="00DB581C"/>
    <w:rsid w:val="00DF4145"/>
    <w:rsid w:val="00DF50AC"/>
    <w:rsid w:val="00E12ECA"/>
    <w:rsid w:val="00E40A1C"/>
    <w:rsid w:val="00E4354F"/>
    <w:rsid w:val="00E53D06"/>
    <w:rsid w:val="00E86190"/>
    <w:rsid w:val="00E97F76"/>
    <w:rsid w:val="00EA5FEB"/>
    <w:rsid w:val="00ED4CD2"/>
    <w:rsid w:val="00EE11EF"/>
    <w:rsid w:val="00EF1F85"/>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13025</Words>
  <Characters>7425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2021-01-21T09:31:00Z</cp:lastPrinted>
  <dcterms:created xsi:type="dcterms:W3CDTF">2021-01-20T10:25:00Z</dcterms:created>
  <dcterms:modified xsi:type="dcterms:W3CDTF">2021-01-21T09:31:00Z</dcterms:modified>
</cp:coreProperties>
</file>