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B1A" w:rsidRPr="005E1B1A" w:rsidRDefault="005E1B1A" w:rsidP="005E1B1A">
      <w:pPr>
        <w:suppressAutoHyphens/>
        <w:autoSpaceDN w:val="0"/>
        <w:ind w:left="3888" w:firstLine="1296"/>
        <w:jc w:val="both"/>
        <w:rPr>
          <w:rFonts w:eastAsia="Calibri"/>
          <w:bCs/>
          <w:color w:val="000000"/>
          <w:kern w:val="3"/>
          <w:lang w:val="en-GB" w:eastAsia="zh-CN"/>
        </w:rPr>
      </w:pPr>
      <w:r w:rsidRPr="005E1B1A">
        <w:rPr>
          <w:rFonts w:eastAsia="Calibri"/>
          <w:bCs/>
          <w:color w:val="000000"/>
          <w:kern w:val="3"/>
          <w:lang w:val="en-GB" w:eastAsia="zh-CN"/>
        </w:rPr>
        <w:t>PRITARTA</w:t>
      </w:r>
    </w:p>
    <w:p w:rsidR="005E1B1A" w:rsidRPr="005E1B1A" w:rsidRDefault="005E1B1A" w:rsidP="005E1B1A">
      <w:pPr>
        <w:suppressAutoHyphens/>
        <w:autoSpaceDN w:val="0"/>
        <w:ind w:left="3888" w:firstLine="1296"/>
        <w:jc w:val="both"/>
        <w:rPr>
          <w:rFonts w:eastAsia="Calibri"/>
          <w:bCs/>
          <w:color w:val="000000"/>
          <w:kern w:val="3"/>
          <w:lang w:val="en-GB" w:eastAsia="zh-CN"/>
        </w:rPr>
      </w:pPr>
      <w:proofErr w:type="spellStart"/>
      <w:r w:rsidRPr="005E1B1A">
        <w:rPr>
          <w:rFonts w:eastAsia="Calibri"/>
          <w:bCs/>
          <w:color w:val="000000"/>
          <w:kern w:val="3"/>
          <w:lang w:val="en-GB" w:eastAsia="zh-CN"/>
        </w:rPr>
        <w:t>Panevėžio</w:t>
      </w:r>
      <w:proofErr w:type="spellEnd"/>
      <w:r w:rsidRPr="005E1B1A">
        <w:rPr>
          <w:rFonts w:eastAsia="Calibri"/>
          <w:bCs/>
          <w:color w:val="000000"/>
          <w:kern w:val="3"/>
          <w:lang w:val="en-GB" w:eastAsia="zh-CN"/>
        </w:rPr>
        <w:t xml:space="preserve"> </w:t>
      </w:r>
      <w:proofErr w:type="spellStart"/>
      <w:r w:rsidRPr="005E1B1A">
        <w:rPr>
          <w:rFonts w:eastAsia="Calibri"/>
          <w:bCs/>
          <w:color w:val="000000"/>
          <w:kern w:val="3"/>
          <w:lang w:val="en-GB" w:eastAsia="zh-CN"/>
        </w:rPr>
        <w:t>rajono</w:t>
      </w:r>
      <w:proofErr w:type="spellEnd"/>
      <w:r w:rsidRPr="005E1B1A">
        <w:rPr>
          <w:rFonts w:eastAsia="Calibri"/>
          <w:bCs/>
          <w:color w:val="000000"/>
          <w:kern w:val="3"/>
          <w:lang w:val="en-GB" w:eastAsia="zh-CN"/>
        </w:rPr>
        <w:t xml:space="preserve"> </w:t>
      </w:r>
      <w:proofErr w:type="spellStart"/>
      <w:r w:rsidRPr="005E1B1A">
        <w:rPr>
          <w:rFonts w:eastAsia="Calibri"/>
          <w:bCs/>
          <w:color w:val="000000"/>
          <w:kern w:val="3"/>
          <w:lang w:val="en-GB" w:eastAsia="zh-CN"/>
        </w:rPr>
        <w:t>savivaldybės</w:t>
      </w:r>
      <w:proofErr w:type="spellEnd"/>
      <w:r w:rsidRPr="005E1B1A">
        <w:rPr>
          <w:rFonts w:eastAsia="Calibri"/>
          <w:bCs/>
          <w:color w:val="000000"/>
          <w:kern w:val="3"/>
          <w:lang w:val="en-GB" w:eastAsia="zh-CN"/>
        </w:rPr>
        <w:t xml:space="preserve"> </w:t>
      </w:r>
      <w:proofErr w:type="spellStart"/>
      <w:r w:rsidRPr="005E1B1A">
        <w:rPr>
          <w:rFonts w:eastAsia="Calibri"/>
          <w:bCs/>
          <w:color w:val="000000"/>
          <w:kern w:val="3"/>
          <w:lang w:val="en-GB" w:eastAsia="zh-CN"/>
        </w:rPr>
        <w:t>tarybos</w:t>
      </w:r>
      <w:proofErr w:type="spellEnd"/>
    </w:p>
    <w:p w:rsidR="005E1B1A" w:rsidRPr="005E1B1A" w:rsidRDefault="005E1B1A" w:rsidP="005E1B1A">
      <w:pPr>
        <w:suppressAutoHyphens/>
        <w:ind w:left="3888" w:firstLine="1296"/>
        <w:rPr>
          <w:lang w:eastAsia="ar-SA"/>
        </w:rPr>
      </w:pPr>
      <w:r w:rsidRPr="005E1B1A">
        <w:rPr>
          <w:bCs/>
          <w:lang w:eastAsia="ar-SA"/>
        </w:rPr>
        <w:t>20</w:t>
      </w:r>
      <w:r w:rsidR="00FC1721">
        <w:rPr>
          <w:bCs/>
          <w:lang w:eastAsia="ar-SA"/>
        </w:rPr>
        <w:t>20</w:t>
      </w:r>
      <w:r w:rsidRPr="005E1B1A">
        <w:rPr>
          <w:bCs/>
          <w:lang w:eastAsia="ar-SA"/>
        </w:rPr>
        <w:t xml:space="preserve"> m. </w:t>
      </w:r>
      <w:r w:rsidR="00003252">
        <w:rPr>
          <w:bCs/>
          <w:lang w:eastAsia="ar-SA"/>
        </w:rPr>
        <w:t>gegužės 28</w:t>
      </w:r>
      <w:r w:rsidRPr="005E1B1A">
        <w:rPr>
          <w:bCs/>
          <w:lang w:eastAsia="ar-SA"/>
        </w:rPr>
        <w:t xml:space="preserve"> d.</w:t>
      </w:r>
      <w:r w:rsidRPr="005E1B1A">
        <w:rPr>
          <w:lang w:val="pt-PT" w:eastAsia="ar-SA"/>
        </w:rPr>
        <w:t xml:space="preserve"> sprendimu Nr. </w:t>
      </w:r>
      <w:r w:rsidRPr="005E1B1A">
        <w:rPr>
          <w:lang w:eastAsia="ar-SA"/>
        </w:rPr>
        <w:t>T-</w:t>
      </w:r>
      <w:r w:rsidR="0005594E">
        <w:rPr>
          <w:lang w:eastAsia="ar-SA"/>
        </w:rPr>
        <w:t>128</w:t>
      </w:r>
    </w:p>
    <w:p w:rsidR="000B125B" w:rsidRPr="003576D0" w:rsidRDefault="000B125B" w:rsidP="000B125B">
      <w:pPr>
        <w:pStyle w:val="Standard"/>
        <w:jc w:val="both"/>
        <w:rPr>
          <w:bCs/>
          <w:sz w:val="24"/>
          <w:szCs w:val="24"/>
        </w:rPr>
      </w:pPr>
    </w:p>
    <w:p w:rsidR="000B125B" w:rsidRPr="00AA2A30" w:rsidRDefault="000B125B" w:rsidP="000B125B">
      <w:pPr>
        <w:ind w:left="360"/>
        <w:jc w:val="center"/>
        <w:rPr>
          <w:b/>
        </w:rPr>
      </w:pPr>
      <w:r w:rsidRPr="00AA2A30">
        <w:rPr>
          <w:b/>
        </w:rPr>
        <w:t xml:space="preserve">PANEVĖŽIO RAJONO </w:t>
      </w:r>
      <w:r>
        <w:rPr>
          <w:b/>
        </w:rPr>
        <w:t xml:space="preserve">VADOKLIŲ </w:t>
      </w:r>
      <w:r w:rsidRPr="00AA2A30">
        <w:rPr>
          <w:b/>
        </w:rPr>
        <w:t xml:space="preserve">KULTŪROS CENTRO </w:t>
      </w:r>
      <w:r>
        <w:rPr>
          <w:b/>
        </w:rPr>
        <w:t>201</w:t>
      </w:r>
      <w:r w:rsidR="00FC1721">
        <w:rPr>
          <w:b/>
        </w:rPr>
        <w:t>9</w:t>
      </w:r>
      <w:r w:rsidRPr="00AA2A30">
        <w:rPr>
          <w:b/>
        </w:rPr>
        <w:t xml:space="preserve"> METŲ VEIKLOS ATASKAITA</w:t>
      </w:r>
    </w:p>
    <w:p w:rsidR="000B125B" w:rsidRPr="003B2A28" w:rsidRDefault="000B125B" w:rsidP="000B125B">
      <w:pPr>
        <w:ind w:left="360"/>
        <w:jc w:val="center"/>
      </w:pPr>
    </w:p>
    <w:p w:rsidR="000B125B" w:rsidRPr="003B2A28" w:rsidRDefault="000B125B" w:rsidP="000B125B">
      <w:pPr>
        <w:ind w:firstLine="626"/>
        <w:jc w:val="center"/>
      </w:pPr>
      <w:r w:rsidRPr="003B2A28">
        <w:rPr>
          <w:b/>
        </w:rPr>
        <w:t xml:space="preserve">I. PANEVĖŽIO RAJONO SAVIVALDYBĖS AKTYVAUS BENDRUOMENĖS GYVENIMO SKATINIMO PROGRAMOS (Nr. 3) 01 UŽDAVINYS – </w:t>
      </w:r>
      <w:r w:rsidRPr="003B2A28">
        <w:rPr>
          <w:b/>
          <w:caps/>
        </w:rPr>
        <w:t>Sudaryti sąlygas gauti aukštos kokybės kultūrines paslaugas</w:t>
      </w:r>
    </w:p>
    <w:p w:rsidR="009C46C8" w:rsidRDefault="009C46C8" w:rsidP="000B125B">
      <w:pPr>
        <w:ind w:firstLine="626"/>
        <w:jc w:val="both"/>
      </w:pPr>
    </w:p>
    <w:p w:rsidR="009C46C8" w:rsidRPr="0024078C" w:rsidRDefault="009C46C8" w:rsidP="009C46C8">
      <w:pPr>
        <w:ind w:firstLine="626"/>
        <w:jc w:val="both"/>
      </w:pPr>
      <w:r>
        <w:rPr>
          <w:color w:val="000000"/>
        </w:rPr>
        <w:t xml:space="preserve">1.1. </w:t>
      </w:r>
      <w:r w:rsidRPr="00DD7AAF">
        <w:rPr>
          <w:color w:val="000000"/>
        </w:rPr>
        <w:t>Aprašymas</w:t>
      </w:r>
      <w:r>
        <w:rPr>
          <w:color w:val="000000"/>
        </w:rPr>
        <w:t xml:space="preserve"> </w:t>
      </w:r>
      <w:r w:rsidRPr="009446FA">
        <w:rPr>
          <w:color w:val="000000"/>
        </w:rPr>
        <w:t>(</w:t>
      </w:r>
      <w:r>
        <w:t>kultūros centro tikslai, uždaviniai ir funkcijos (pagal nuostatus ir strateginį planą)</w:t>
      </w:r>
      <w:r w:rsidRPr="009446FA">
        <w:t>.</w:t>
      </w:r>
      <w:r>
        <w:t xml:space="preserve"> Didžiausi 2019 m. pasiekimai ir įgyvendinti projektai.</w:t>
      </w:r>
    </w:p>
    <w:p w:rsidR="009C46C8" w:rsidRDefault="009C46C8" w:rsidP="009C46C8">
      <w:pPr>
        <w:ind w:firstLine="626"/>
        <w:jc w:val="both"/>
        <w:rPr>
          <w:color w:val="000000"/>
        </w:rPr>
      </w:pPr>
      <w:r>
        <w:rPr>
          <w:color w:val="000000"/>
        </w:rPr>
        <w:t>1.1.1. Panevėžio rajono Vadoklių kultūros centro paskirtis – apibrėžti šio krašto kultūros plėtros viziją, prioritetus, tikslus ir uždavinius. 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 Sudaryti sąlygas vietos gyventojams realizuoti savo galimybes ir aktyviai veikti per nuolatinį mokymąsi. Kartu su kultūrine veikla veikia neformalusis vaikų ir suaugusiųjų švietimas. Siekiama skatinti kūrybiškumą, lyderystę, sveikatos ir gamtinės aplinkos tausojimą. Vis</w:t>
      </w:r>
      <w:r w:rsidR="00290D4C">
        <w:rPr>
          <w:color w:val="000000"/>
        </w:rPr>
        <w:t>ada norisi užtikrinti glaudesnį bendradarbiavimą</w:t>
      </w:r>
      <w:r>
        <w:rPr>
          <w:color w:val="000000"/>
        </w:rPr>
        <w:t xml:space="preserve"> su kaimo bendruomene. Ieškoma galimybių, kad kultūros centras taptų patrauklia ir šiuolaikiška įstaiga, tenkinanti lankytojų poreikį. </w:t>
      </w:r>
      <w:r w:rsidRPr="00DC132A">
        <w:rPr>
          <w:color w:val="000000"/>
        </w:rPr>
        <w:t>Sudaromos sąlygos remti socialines ir kultūrines iniciatyvas</w:t>
      </w:r>
      <w:r w:rsidR="00290D4C">
        <w:rPr>
          <w:color w:val="000000"/>
        </w:rPr>
        <w:t>,</w:t>
      </w:r>
      <w:r w:rsidRPr="00DC132A">
        <w:rPr>
          <w:color w:val="000000"/>
        </w:rPr>
        <w:t xml:space="preserve">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Remiamo</w:t>
      </w:r>
      <w:r w:rsidR="00290D4C">
        <w:rPr>
          <w:color w:val="000000"/>
        </w:rPr>
        <w:t>s iniciatyvos kultūros vartojimui ir poreikiui ugdyt</w:t>
      </w:r>
      <w:r w:rsidRPr="00DC132A">
        <w:rPr>
          <w:color w:val="000000"/>
        </w:rPr>
        <w:t xml:space="preserve">i. Veikiama vieningai, dalijamasi žiniomis ir patirtimi. Organizuojami tradiciniai ir pagrindiniai renginiai: </w:t>
      </w:r>
      <w:r w:rsidR="0052602D">
        <w:rPr>
          <w:color w:val="000000"/>
        </w:rPr>
        <w:t>a</w:t>
      </w:r>
      <w:r w:rsidRPr="00DC132A">
        <w:rPr>
          <w:color w:val="000000"/>
        </w:rPr>
        <w:t>matų diena</w:t>
      </w:r>
      <w:r w:rsidR="0052602D">
        <w:rPr>
          <w:color w:val="000000"/>
        </w:rPr>
        <w:t xml:space="preserve"> </w:t>
      </w:r>
      <w:r w:rsidR="00290D4C">
        <w:rPr>
          <w:color w:val="000000"/>
        </w:rPr>
        <w:t xml:space="preserve">Jotainių k. „Saulala aukštyn – </w:t>
      </w:r>
      <w:r w:rsidR="0052602D">
        <w:rPr>
          <w:color w:val="000000"/>
        </w:rPr>
        <w:t>darbų daugyn“</w:t>
      </w:r>
      <w:r w:rsidRPr="00DC132A">
        <w:rPr>
          <w:color w:val="000000"/>
        </w:rPr>
        <w:t>, festivali</w:t>
      </w:r>
      <w:r w:rsidR="00290D4C">
        <w:rPr>
          <w:color w:val="000000"/>
        </w:rPr>
        <w:t>s-konkursas „10 balų“, skirtas T</w:t>
      </w:r>
      <w:r w:rsidRPr="00DC132A">
        <w:rPr>
          <w:color w:val="000000"/>
        </w:rPr>
        <w:t>arptautinei vaikų gynimo dienai paminėti, romansų šventė „Ant Juodžio ežero bangų...“,</w:t>
      </w:r>
      <w:r w:rsidR="00290D4C">
        <w:rPr>
          <w:color w:val="000000"/>
        </w:rPr>
        <w:t xml:space="preserve"> Šeštinių renginys Alančių k.</w:t>
      </w:r>
      <w:r w:rsidRPr="00DC132A">
        <w:rPr>
          <w:color w:val="000000"/>
        </w:rPr>
        <w:t>, kra</w:t>
      </w:r>
      <w:r w:rsidR="00290D4C">
        <w:rPr>
          <w:color w:val="000000"/>
        </w:rPr>
        <w:t>štiečių susitikimas Vadoklių mstl.</w:t>
      </w:r>
      <w:r w:rsidRPr="00DC132A">
        <w:rPr>
          <w:color w:val="000000"/>
        </w:rPr>
        <w:t xml:space="preserve"> „Ten, kur Juoda...“ </w:t>
      </w:r>
      <w:r>
        <w:rPr>
          <w:color w:val="000000"/>
        </w:rPr>
        <w:t>ir kt</w:t>
      </w:r>
      <w:r w:rsidRPr="00DC132A">
        <w:rPr>
          <w:color w:val="000000"/>
        </w:rPr>
        <w:t>.</w:t>
      </w:r>
    </w:p>
    <w:p w:rsidR="009C46C8" w:rsidRDefault="009C46C8" w:rsidP="009C46C8">
      <w:pPr>
        <w:ind w:firstLine="626"/>
        <w:jc w:val="both"/>
        <w:rPr>
          <w:color w:val="000000"/>
        </w:rPr>
      </w:pPr>
      <w:r>
        <w:rPr>
          <w:color w:val="000000"/>
        </w:rPr>
        <w:t>Vadoklių kultūros centras, įgyvendindamas veiklos tikslus</w:t>
      </w:r>
      <w:r w:rsidR="00290D4C">
        <w:rPr>
          <w:color w:val="000000"/>
        </w:rPr>
        <w:t>,</w:t>
      </w:r>
      <w:r>
        <w:rPr>
          <w:color w:val="000000"/>
        </w:rPr>
        <w:t xml:space="preserve"> atlieka šias funkcijas: organizuoja meno mėgėjų kolektyvų, būrelių veiklą, rūpinasi suaugusiųjų ir vaikų meno kolektyvų parengimu ir dalyvavimu dainų šventėse, vietiniuose, regioniniuose, šalies renginiuose. Kultūros centro darbuotojai organizuoja pramoginius, laisvalaikio, poilsio, edukacinius ir kitus renginius. Organizuoja valstybinių švenčių, atmintinų datų, kalendorinių švenčių minėjimus. Užtikrina etninės kultūros tęstinumą, mėgėjų meną populiarinančius renginius, tenkina kitus bendruomenės kultūrinius poreikius. Kultūros centras analizuodamas ir prognozuodamas kultūros veiklos perspektyvas rengia ir įgyvendina kultūros srities projektus. Taip pat rengia ir vykdo neformaliojo (vaikų ir suaugusiųjų) švietimo programas. Bendradarbiauja su savivaldybės teritorijoje veikiančiomis meno, mokslo, švietimo, kultūros, jaunimo, religinėmis ir kitomis nevyriausybinėmis organizacijomis. Savo veikloje kultūros centras užtikrina Lietuvos Respublikos t</w:t>
      </w:r>
      <w:r w:rsidR="00290D4C">
        <w:rPr>
          <w:color w:val="000000"/>
        </w:rPr>
        <w:t>eisės aktų įgyvendinimą. Padeda</w:t>
      </w:r>
      <w:r>
        <w:rPr>
          <w:color w:val="000000"/>
        </w:rPr>
        <w:t xml:space="preserve"> organizuoti ir kontroliuoja Jotainių padalinio veiklą.</w:t>
      </w:r>
    </w:p>
    <w:p w:rsidR="002618B8" w:rsidRDefault="009C46C8" w:rsidP="00290D4C">
      <w:pPr>
        <w:ind w:firstLine="626"/>
        <w:jc w:val="both"/>
        <w:rPr>
          <w:color w:val="000000"/>
        </w:rPr>
      </w:pPr>
      <w:r>
        <w:rPr>
          <w:color w:val="000000"/>
        </w:rPr>
        <w:t>201</w:t>
      </w:r>
      <w:r w:rsidR="0052602D">
        <w:rPr>
          <w:color w:val="000000"/>
        </w:rPr>
        <w:t>9</w:t>
      </w:r>
      <w:r>
        <w:rPr>
          <w:color w:val="000000"/>
        </w:rPr>
        <w:t xml:space="preserve"> m. Vadoklių kultūros centre veiklą tęsė Trečiojo amžiaus universiteto </w:t>
      </w:r>
      <w:r w:rsidR="0052602D">
        <w:rPr>
          <w:color w:val="000000"/>
        </w:rPr>
        <w:t>62</w:t>
      </w:r>
      <w:r>
        <w:rPr>
          <w:color w:val="000000"/>
        </w:rPr>
        <w:t xml:space="preserve"> senjorai. </w:t>
      </w:r>
      <w:r w:rsidR="00290D4C">
        <w:rPr>
          <w:color w:val="000000"/>
        </w:rPr>
        <w:t>Jie</w:t>
      </w:r>
      <w:r w:rsidR="00027FD1">
        <w:rPr>
          <w:color w:val="000000"/>
        </w:rPr>
        <w:t xml:space="preserve"> dalyvavo Vilniaus nacionalinio mokymo centro projektuose. Į</w:t>
      </w:r>
      <w:r>
        <w:rPr>
          <w:color w:val="000000"/>
        </w:rPr>
        <w:t>domių žinių suteik</w:t>
      </w:r>
      <w:r w:rsidR="00027FD1">
        <w:rPr>
          <w:color w:val="000000"/>
        </w:rPr>
        <w:t>ė</w:t>
      </w:r>
      <w:r w:rsidR="00290D4C">
        <w:rPr>
          <w:color w:val="000000"/>
        </w:rPr>
        <w:t xml:space="preserve"> centre dirbantys lektoriai: „</w:t>
      </w:r>
      <w:r w:rsidR="00027FD1">
        <w:rPr>
          <w:color w:val="000000"/>
        </w:rPr>
        <w:t>Sveikatingumo sistema pagal Niši: sveikatos ir mitybos sąsajos“</w:t>
      </w:r>
      <w:r>
        <w:rPr>
          <w:color w:val="000000"/>
        </w:rPr>
        <w:t xml:space="preserve"> (lektor</w:t>
      </w:r>
      <w:r w:rsidR="00027FD1">
        <w:rPr>
          <w:color w:val="000000"/>
        </w:rPr>
        <w:t>ė</w:t>
      </w:r>
      <w:r w:rsidR="00290D4C">
        <w:rPr>
          <w:color w:val="000000"/>
        </w:rPr>
        <w:t xml:space="preserve"> </w:t>
      </w:r>
      <w:r w:rsidR="00B07CB6">
        <w:rPr>
          <w:color w:val="000000"/>
        </w:rPr>
        <w:t>gydytoja</w:t>
      </w:r>
      <w:r w:rsidR="00027FD1">
        <w:rPr>
          <w:color w:val="000000"/>
        </w:rPr>
        <w:t xml:space="preserve"> Asta Vincevičienė</w:t>
      </w:r>
      <w:r>
        <w:rPr>
          <w:color w:val="000000"/>
        </w:rPr>
        <w:t>), „</w:t>
      </w:r>
      <w:r w:rsidR="00B07CB6">
        <w:rPr>
          <w:color w:val="000000"/>
        </w:rPr>
        <w:t>Sveika mityba“ (</w:t>
      </w:r>
      <w:r w:rsidR="002618B8">
        <w:rPr>
          <w:color w:val="000000"/>
        </w:rPr>
        <w:t>l</w:t>
      </w:r>
      <w:r w:rsidR="00B07CB6">
        <w:rPr>
          <w:color w:val="000000"/>
        </w:rPr>
        <w:t>e</w:t>
      </w:r>
      <w:r w:rsidR="002618B8">
        <w:rPr>
          <w:color w:val="000000"/>
        </w:rPr>
        <w:t>k</w:t>
      </w:r>
      <w:r w:rsidR="00B07CB6">
        <w:rPr>
          <w:color w:val="000000"/>
        </w:rPr>
        <w:t>torius Algis Frankonis),</w:t>
      </w:r>
      <w:r>
        <w:rPr>
          <w:color w:val="000000"/>
        </w:rPr>
        <w:t xml:space="preserve"> „</w:t>
      </w:r>
      <w:r w:rsidR="00B07CB6">
        <w:rPr>
          <w:color w:val="000000"/>
        </w:rPr>
        <w:t>Motyvacija gyventi svei</w:t>
      </w:r>
      <w:r w:rsidR="00290D4C">
        <w:rPr>
          <w:color w:val="000000"/>
        </w:rPr>
        <w:t xml:space="preserve">kai“ (lektorius </w:t>
      </w:r>
      <w:r w:rsidR="00B07CB6">
        <w:rPr>
          <w:color w:val="000000"/>
        </w:rPr>
        <w:t xml:space="preserve">psichologas </w:t>
      </w:r>
      <w:r w:rsidR="002618B8">
        <w:rPr>
          <w:color w:val="000000"/>
        </w:rPr>
        <w:t>Linas Zaronskis) ir kt.</w:t>
      </w:r>
      <w:r w:rsidR="00290D4C">
        <w:rPr>
          <w:color w:val="000000"/>
        </w:rPr>
        <w:t xml:space="preserve"> Taip pat</w:t>
      </w:r>
      <w:r w:rsidR="002618B8">
        <w:rPr>
          <w:color w:val="000000"/>
        </w:rPr>
        <w:t xml:space="preserve"> dalyvavo sveikatos stiprinimo projekte, kurį organizavo Panevėžio rajono savivaldybės visuomenės sveikatos biuras. Paskaitas senjorams skaitė </w:t>
      </w:r>
      <w:r w:rsidR="00F95AFD">
        <w:rPr>
          <w:color w:val="000000"/>
        </w:rPr>
        <w:t>g</w:t>
      </w:r>
      <w:r w:rsidR="00290D4C">
        <w:rPr>
          <w:color w:val="000000"/>
        </w:rPr>
        <w:t>ydomosios mitybos specialis</w:t>
      </w:r>
      <w:r w:rsidR="002618B8">
        <w:rPr>
          <w:color w:val="000000"/>
        </w:rPr>
        <w:t>tė „Gydanti lėkštė“ įkūrėja Ingrida Kuprevičiūtė, psichologas Nerijus Ogintas ir kt.</w:t>
      </w:r>
      <w:r w:rsidR="00290D4C">
        <w:rPr>
          <w:color w:val="000000"/>
        </w:rPr>
        <w:t xml:space="preserve"> D</w:t>
      </w:r>
      <w:r w:rsidR="006D0978">
        <w:rPr>
          <w:color w:val="000000"/>
        </w:rPr>
        <w:t>alyvavo širdies ir kraujagyslių ligų ir cukrinio diabeto rizikos grupių asmenų sveikatos stiprinimo programoje „Mano širdis –</w:t>
      </w:r>
      <w:r w:rsidR="00290D4C">
        <w:rPr>
          <w:color w:val="000000"/>
        </w:rPr>
        <w:t xml:space="preserve"> </w:t>
      </w:r>
      <w:r w:rsidR="006D0978">
        <w:rPr>
          <w:color w:val="000000"/>
        </w:rPr>
        <w:t>mano sveikata“.</w:t>
      </w:r>
      <w:r w:rsidR="00290D4C">
        <w:rPr>
          <w:color w:val="000000"/>
        </w:rPr>
        <w:t xml:space="preserve"> Į</w:t>
      </w:r>
      <w:r w:rsidR="008F2D6A">
        <w:rPr>
          <w:color w:val="000000"/>
        </w:rPr>
        <w:t>domias ir naud</w:t>
      </w:r>
      <w:r w:rsidR="00F95AFD">
        <w:rPr>
          <w:color w:val="000000"/>
        </w:rPr>
        <w:t>i</w:t>
      </w:r>
      <w:r w:rsidR="008F2D6A">
        <w:rPr>
          <w:color w:val="000000"/>
        </w:rPr>
        <w:t xml:space="preserve">ngas paskaitas vedė gydytojas </w:t>
      </w:r>
      <w:r w:rsidR="008F2D6A">
        <w:rPr>
          <w:color w:val="000000"/>
        </w:rPr>
        <w:lastRenderedPageBreak/>
        <w:t>kardiologas Rokas Šerpytis, kineziterapeutas Olegas Lukminas ir kt.</w:t>
      </w:r>
      <w:r w:rsidR="00CA5DBD">
        <w:rPr>
          <w:color w:val="000000"/>
        </w:rPr>
        <w:t xml:space="preserve"> </w:t>
      </w:r>
      <w:r w:rsidR="00F95AFD">
        <w:rPr>
          <w:color w:val="000000"/>
        </w:rPr>
        <w:t>M</w:t>
      </w:r>
      <w:r w:rsidR="00CA5DBD">
        <w:rPr>
          <w:color w:val="000000"/>
        </w:rPr>
        <w:t>alonu, kad ne vieną paskaitą skyrė ir parapijos klebonas Ričardas Banys.</w:t>
      </w:r>
    </w:p>
    <w:p w:rsidR="009C46C8" w:rsidRDefault="009C46C8" w:rsidP="009C46C8">
      <w:pPr>
        <w:ind w:firstLine="626"/>
        <w:jc w:val="both"/>
      </w:pPr>
      <w:r>
        <w:rPr>
          <w:color w:val="000000"/>
        </w:rPr>
        <w:t xml:space="preserve">1.2. </w:t>
      </w:r>
      <w:r w:rsidRPr="00DD7AAF">
        <w:rPr>
          <w:color w:val="000000"/>
        </w:rPr>
        <w:t xml:space="preserve">Rezultatai </w:t>
      </w:r>
      <w:r w:rsidRPr="009446FA">
        <w:rPr>
          <w:color w:val="000000"/>
        </w:rPr>
        <w:t>(</w:t>
      </w:r>
      <w:r>
        <w:t>kultūros centro problemo</w:t>
      </w:r>
      <w:r w:rsidRPr="009446FA">
        <w:t>s</w:t>
      </w:r>
      <w:r>
        <w:t xml:space="preserve"> 201</w:t>
      </w:r>
      <w:r w:rsidR="00CA5DBD">
        <w:t>9</w:t>
      </w:r>
      <w:r>
        <w:t xml:space="preserve"> m., patirtos finansinės ir kt. nesėkmė</w:t>
      </w:r>
      <w:r w:rsidRPr="009446FA">
        <w:t>s</w:t>
      </w:r>
      <w:r>
        <w:t>)</w:t>
      </w:r>
      <w:r w:rsidRPr="009446FA">
        <w:t>.</w:t>
      </w:r>
    </w:p>
    <w:p w:rsidR="009C46C8" w:rsidRDefault="009C46C8" w:rsidP="009C46C8">
      <w:pPr>
        <w:ind w:firstLine="626"/>
        <w:jc w:val="both"/>
        <w:rPr>
          <w:color w:val="000000"/>
        </w:rPr>
      </w:pPr>
      <w:r>
        <w:rPr>
          <w:color w:val="000000"/>
        </w:rPr>
        <w:t>1.2.1. Vadoklių kultūros centras susiduria su žmonių įsitraukimo į veiklą stoka, nepak</w:t>
      </w:r>
      <w:r w:rsidR="00290D4C">
        <w:rPr>
          <w:color w:val="000000"/>
        </w:rPr>
        <w:t>ankamu finansavimu</w:t>
      </w:r>
      <w:r w:rsidR="00F77483">
        <w:rPr>
          <w:color w:val="000000"/>
        </w:rPr>
        <w:t xml:space="preserve"> kultūrinei veiklai vykdyti</w:t>
      </w:r>
      <w:r>
        <w:rPr>
          <w:color w:val="000000"/>
        </w:rPr>
        <w:t>.</w:t>
      </w:r>
    </w:p>
    <w:p w:rsidR="000B125B" w:rsidRPr="00290D4C" w:rsidRDefault="000B125B" w:rsidP="003576D0">
      <w:pPr>
        <w:jc w:val="both"/>
      </w:pPr>
    </w:p>
    <w:p w:rsidR="000B125B" w:rsidRPr="003B2A28" w:rsidRDefault="000B125B" w:rsidP="000B125B">
      <w:pPr>
        <w:ind w:left="2160"/>
        <w:jc w:val="center"/>
        <w:rPr>
          <w:b/>
        </w:rPr>
      </w:pPr>
      <w:r w:rsidRPr="003B2A28">
        <w:rPr>
          <w:b/>
        </w:rPr>
        <w:t>II. KULTŪROS CENTRO STRUKTŪRA</w:t>
      </w:r>
    </w:p>
    <w:p w:rsidR="00603900" w:rsidRDefault="00603900" w:rsidP="000B125B">
      <w:pPr>
        <w:ind w:left="720"/>
      </w:pPr>
    </w:p>
    <w:p w:rsidR="000B125B" w:rsidRDefault="000B125B" w:rsidP="000B125B">
      <w:pPr>
        <w:ind w:left="720"/>
      </w:pPr>
      <w:r w:rsidRPr="003B2A28">
        <w:t>2.1. Darbuotojai:</w:t>
      </w:r>
    </w:p>
    <w:tbl>
      <w:tblPr>
        <w:tblpPr w:leftFromText="180" w:rightFromText="180" w:vertAnchor="text" w:horzAnchor="margin" w:tblpX="108" w:tblpY="92"/>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739"/>
        <w:gridCol w:w="528"/>
        <w:gridCol w:w="739"/>
        <w:gridCol w:w="528"/>
        <w:gridCol w:w="743"/>
        <w:gridCol w:w="607"/>
        <w:gridCol w:w="796"/>
        <w:gridCol w:w="576"/>
        <w:gridCol w:w="742"/>
        <w:gridCol w:w="530"/>
        <w:gridCol w:w="739"/>
        <w:gridCol w:w="528"/>
        <w:gridCol w:w="683"/>
      </w:tblGrid>
      <w:tr w:rsidR="00603900" w:rsidRPr="00603900" w:rsidTr="00603900">
        <w:trPr>
          <w:trHeight w:val="381"/>
        </w:trPr>
        <w:tc>
          <w:tcPr>
            <w:tcW w:w="591" w:type="pct"/>
            <w:vMerge w:val="restar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p>
        </w:tc>
        <w:tc>
          <w:tcPr>
            <w:tcW w:w="659" w:type="pct"/>
            <w:gridSpan w:val="2"/>
            <w:vMerge w:val="restar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Darbuotojai</w:t>
            </w:r>
          </w:p>
        </w:tc>
        <w:tc>
          <w:tcPr>
            <w:tcW w:w="659" w:type="pct"/>
            <w:gridSpan w:val="2"/>
            <w:vMerge w:val="restar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Pareigybės</w:t>
            </w:r>
          </w:p>
        </w:tc>
        <w:tc>
          <w:tcPr>
            <w:tcW w:w="3091" w:type="pct"/>
            <w:gridSpan w:val="9"/>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 darbuotojų išsilavinimas</w:t>
            </w:r>
          </w:p>
          <w:p w:rsidR="00603900" w:rsidRPr="00603900" w:rsidRDefault="00603900" w:rsidP="00603900">
            <w:pPr>
              <w:suppressAutoHyphens/>
              <w:jc w:val="center"/>
              <w:rPr>
                <w:sz w:val="20"/>
                <w:szCs w:val="20"/>
                <w:lang w:eastAsia="ar-SA"/>
              </w:rPr>
            </w:pPr>
            <w:r w:rsidRPr="00603900">
              <w:rPr>
                <w:sz w:val="20"/>
                <w:szCs w:val="20"/>
                <w:lang w:eastAsia="ar-SA"/>
              </w:rPr>
              <w:t>(pagal turimus diplomus)</w:t>
            </w:r>
          </w:p>
        </w:tc>
      </w:tr>
      <w:tr w:rsidR="00603900" w:rsidRPr="00603900" w:rsidTr="00603900">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3900" w:rsidRPr="00603900" w:rsidRDefault="00603900" w:rsidP="00603900">
            <w:pPr>
              <w:suppressAutoHyphens/>
              <w:rPr>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03900" w:rsidRPr="00603900" w:rsidRDefault="00603900" w:rsidP="00603900">
            <w:pPr>
              <w:suppressAutoHyphens/>
              <w:rPr>
                <w:sz w:val="20"/>
                <w:szCs w:val="20"/>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03900" w:rsidRPr="00603900" w:rsidRDefault="00603900" w:rsidP="00603900">
            <w:pPr>
              <w:suppressAutoHyphens/>
              <w:rPr>
                <w:sz w:val="20"/>
                <w:szCs w:val="20"/>
                <w:lang w:eastAsia="ar-SA"/>
              </w:rPr>
            </w:pPr>
          </w:p>
        </w:tc>
        <w:tc>
          <w:tcPr>
            <w:tcW w:w="702" w:type="pct"/>
            <w:gridSpan w:val="2"/>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Aukštasis universitetinis</w:t>
            </w:r>
          </w:p>
        </w:tc>
        <w:tc>
          <w:tcPr>
            <w:tcW w:w="714" w:type="pct"/>
            <w:gridSpan w:val="2"/>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Aukštasis neuniversiteti-nis</w:t>
            </w:r>
          </w:p>
        </w:tc>
        <w:tc>
          <w:tcPr>
            <w:tcW w:w="662" w:type="pct"/>
            <w:gridSpan w:val="2"/>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Aukštesnysis</w:t>
            </w:r>
          </w:p>
        </w:tc>
        <w:tc>
          <w:tcPr>
            <w:tcW w:w="659" w:type="pct"/>
            <w:gridSpan w:val="2"/>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Specialusis vidurinis</w:t>
            </w:r>
          </w:p>
        </w:tc>
        <w:tc>
          <w:tcPr>
            <w:tcW w:w="35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Vidu-rinis</w:t>
            </w:r>
          </w:p>
        </w:tc>
      </w:tr>
      <w:tr w:rsidR="00603900" w:rsidRPr="00603900" w:rsidTr="00603900">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3900" w:rsidRPr="00603900" w:rsidRDefault="00603900" w:rsidP="00603900">
            <w:pPr>
              <w:suppressAutoHyphens/>
              <w:rPr>
                <w:lang w:eastAsia="ar-SA"/>
              </w:rPr>
            </w:pPr>
          </w:p>
        </w:tc>
        <w:tc>
          <w:tcPr>
            <w:tcW w:w="38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w:t>
            </w:r>
          </w:p>
        </w:tc>
        <w:tc>
          <w:tcPr>
            <w:tcW w:w="27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Kiti</w:t>
            </w:r>
          </w:p>
        </w:tc>
        <w:tc>
          <w:tcPr>
            <w:tcW w:w="38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w:t>
            </w:r>
          </w:p>
        </w:tc>
        <w:tc>
          <w:tcPr>
            <w:tcW w:w="27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Kiti</w:t>
            </w:r>
          </w:p>
        </w:tc>
        <w:tc>
          <w:tcPr>
            <w:tcW w:w="38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w:t>
            </w:r>
          </w:p>
        </w:tc>
        <w:tc>
          <w:tcPr>
            <w:tcW w:w="31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Kiti</w:t>
            </w:r>
          </w:p>
        </w:tc>
        <w:tc>
          <w:tcPr>
            <w:tcW w:w="41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w:t>
            </w:r>
          </w:p>
        </w:tc>
        <w:tc>
          <w:tcPr>
            <w:tcW w:w="300"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Kiti</w:t>
            </w:r>
          </w:p>
        </w:tc>
        <w:tc>
          <w:tcPr>
            <w:tcW w:w="38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w:t>
            </w:r>
          </w:p>
        </w:tc>
        <w:tc>
          <w:tcPr>
            <w:tcW w:w="27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Kiti</w:t>
            </w:r>
          </w:p>
        </w:tc>
        <w:tc>
          <w:tcPr>
            <w:tcW w:w="38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Kultū-ros ir meno</w:t>
            </w:r>
          </w:p>
        </w:tc>
        <w:tc>
          <w:tcPr>
            <w:tcW w:w="27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sz w:val="20"/>
                <w:szCs w:val="20"/>
                <w:lang w:eastAsia="ar-SA"/>
              </w:rPr>
            </w:pPr>
            <w:r w:rsidRPr="00603900">
              <w:rPr>
                <w:sz w:val="20"/>
                <w:szCs w:val="20"/>
                <w:lang w:eastAsia="ar-SA"/>
              </w:rPr>
              <w:t>Kiti</w:t>
            </w:r>
          </w:p>
        </w:tc>
        <w:tc>
          <w:tcPr>
            <w:tcW w:w="35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sz w:val="20"/>
                <w:szCs w:val="20"/>
                <w:lang w:eastAsia="ar-SA"/>
              </w:rPr>
            </w:pPr>
          </w:p>
        </w:tc>
      </w:tr>
      <w:tr w:rsidR="00603900" w:rsidRPr="00603900" w:rsidTr="00603900">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3900" w:rsidRPr="00603900" w:rsidRDefault="00603900" w:rsidP="00603900">
            <w:pPr>
              <w:suppressAutoHyphens/>
              <w:rPr>
                <w:lang w:eastAsia="ar-SA"/>
              </w:rPr>
            </w:pPr>
          </w:p>
        </w:tc>
        <w:tc>
          <w:tcPr>
            <w:tcW w:w="38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1</w:t>
            </w:r>
          </w:p>
        </w:tc>
        <w:tc>
          <w:tcPr>
            <w:tcW w:w="27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2</w:t>
            </w:r>
          </w:p>
        </w:tc>
        <w:tc>
          <w:tcPr>
            <w:tcW w:w="38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3</w:t>
            </w:r>
          </w:p>
        </w:tc>
        <w:tc>
          <w:tcPr>
            <w:tcW w:w="27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4</w:t>
            </w:r>
          </w:p>
        </w:tc>
        <w:tc>
          <w:tcPr>
            <w:tcW w:w="38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5</w:t>
            </w:r>
          </w:p>
        </w:tc>
        <w:tc>
          <w:tcPr>
            <w:tcW w:w="31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6</w:t>
            </w:r>
          </w:p>
        </w:tc>
        <w:tc>
          <w:tcPr>
            <w:tcW w:w="41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7</w:t>
            </w:r>
          </w:p>
        </w:tc>
        <w:tc>
          <w:tcPr>
            <w:tcW w:w="300"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8</w:t>
            </w:r>
          </w:p>
        </w:tc>
        <w:tc>
          <w:tcPr>
            <w:tcW w:w="38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9</w:t>
            </w:r>
          </w:p>
        </w:tc>
        <w:tc>
          <w:tcPr>
            <w:tcW w:w="276"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10</w:t>
            </w:r>
          </w:p>
        </w:tc>
        <w:tc>
          <w:tcPr>
            <w:tcW w:w="384"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11</w:t>
            </w:r>
          </w:p>
        </w:tc>
        <w:tc>
          <w:tcPr>
            <w:tcW w:w="27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12</w:t>
            </w:r>
          </w:p>
        </w:tc>
        <w:tc>
          <w:tcPr>
            <w:tcW w:w="355"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jc w:val="center"/>
              <w:rPr>
                <w:sz w:val="20"/>
                <w:szCs w:val="20"/>
                <w:lang w:eastAsia="ar-SA"/>
              </w:rPr>
            </w:pPr>
            <w:r w:rsidRPr="00603900">
              <w:rPr>
                <w:sz w:val="20"/>
                <w:szCs w:val="20"/>
                <w:lang w:eastAsia="ar-SA"/>
              </w:rPr>
              <w:t>13</w:t>
            </w:r>
          </w:p>
        </w:tc>
      </w:tr>
      <w:tr w:rsidR="00603900" w:rsidRPr="00603900" w:rsidTr="00603900">
        <w:trPr>
          <w:trHeight w:val="697"/>
        </w:trPr>
        <w:tc>
          <w:tcPr>
            <w:tcW w:w="591"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lang w:eastAsia="ar-SA"/>
              </w:rPr>
            </w:pPr>
            <w:r w:rsidRPr="00603900">
              <w:rPr>
                <w:lang w:eastAsia="ar-SA"/>
              </w:rPr>
              <w:t>Vadoklių</w:t>
            </w:r>
          </w:p>
          <w:p w:rsidR="00603900" w:rsidRPr="00603900" w:rsidRDefault="00603900" w:rsidP="00603900">
            <w:pPr>
              <w:suppressAutoHyphens/>
              <w:rPr>
                <w:lang w:eastAsia="ar-SA"/>
              </w:rPr>
            </w:pPr>
            <w:r w:rsidRPr="00603900">
              <w:rPr>
                <w:lang w:eastAsia="ar-SA"/>
              </w:rPr>
              <w:t>kultūros centras</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3</w:t>
            </w: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3</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2,75</w:t>
            </w: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1,5</w:t>
            </w:r>
          </w:p>
        </w:tc>
        <w:tc>
          <w:tcPr>
            <w:tcW w:w="38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w:t>
            </w:r>
          </w:p>
        </w:tc>
        <w:tc>
          <w:tcPr>
            <w:tcW w:w="31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41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1</w:t>
            </w:r>
          </w:p>
        </w:tc>
        <w:tc>
          <w:tcPr>
            <w:tcW w:w="300"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38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27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1</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w:t>
            </w:r>
          </w:p>
        </w:tc>
        <w:tc>
          <w:tcPr>
            <w:tcW w:w="35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r>
      <w:tr w:rsidR="00603900" w:rsidRPr="00603900" w:rsidTr="00603900">
        <w:trPr>
          <w:trHeight w:val="455"/>
        </w:trPr>
        <w:tc>
          <w:tcPr>
            <w:tcW w:w="591"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lang w:eastAsia="ar-SA"/>
              </w:rPr>
            </w:pPr>
            <w:r w:rsidRPr="00603900">
              <w:rPr>
                <w:lang w:eastAsia="ar-SA"/>
              </w:rPr>
              <w:t>Jotainių</w:t>
            </w:r>
          </w:p>
          <w:p w:rsidR="00603900" w:rsidRPr="00603900" w:rsidRDefault="00603900" w:rsidP="00603900">
            <w:pPr>
              <w:suppressAutoHyphens/>
              <w:rPr>
                <w:lang w:eastAsia="ar-SA"/>
              </w:rPr>
            </w:pPr>
            <w:r w:rsidRPr="00603900">
              <w:rPr>
                <w:lang w:eastAsia="ar-SA"/>
              </w:rPr>
              <w:t>padalinys</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3</w:t>
            </w: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1</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2,5</w:t>
            </w: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0,5</w:t>
            </w:r>
          </w:p>
        </w:tc>
        <w:tc>
          <w:tcPr>
            <w:tcW w:w="38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31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41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w:t>
            </w:r>
          </w:p>
        </w:tc>
        <w:tc>
          <w:tcPr>
            <w:tcW w:w="300"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38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27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w:t>
            </w:r>
          </w:p>
        </w:tc>
        <w:tc>
          <w:tcPr>
            <w:tcW w:w="35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r>
      <w:tr w:rsidR="00603900" w:rsidRPr="00603900" w:rsidTr="00603900">
        <w:trPr>
          <w:trHeight w:val="390"/>
        </w:trPr>
        <w:tc>
          <w:tcPr>
            <w:tcW w:w="591" w:type="pct"/>
            <w:tcBorders>
              <w:top w:val="single" w:sz="4" w:space="0" w:color="auto"/>
              <w:left w:val="single" w:sz="4" w:space="0" w:color="auto"/>
              <w:bottom w:val="single" w:sz="4" w:space="0" w:color="auto"/>
              <w:right w:val="single" w:sz="4" w:space="0" w:color="auto"/>
            </w:tcBorders>
            <w:hideMark/>
          </w:tcPr>
          <w:p w:rsidR="00603900" w:rsidRPr="00603900" w:rsidRDefault="00603900" w:rsidP="00603900">
            <w:pPr>
              <w:suppressAutoHyphens/>
              <w:rPr>
                <w:lang w:eastAsia="ar-SA"/>
              </w:rPr>
            </w:pPr>
            <w:r w:rsidRPr="00603900">
              <w:rPr>
                <w:lang w:eastAsia="ar-SA"/>
              </w:rPr>
              <w:t>Iš viso</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6</w:t>
            </w: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4</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5,25</w:t>
            </w: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w:t>
            </w:r>
          </w:p>
        </w:tc>
        <w:tc>
          <w:tcPr>
            <w:tcW w:w="38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2</w:t>
            </w:r>
          </w:p>
        </w:tc>
        <w:tc>
          <w:tcPr>
            <w:tcW w:w="31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41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3</w:t>
            </w:r>
          </w:p>
        </w:tc>
        <w:tc>
          <w:tcPr>
            <w:tcW w:w="300"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38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c>
          <w:tcPr>
            <w:tcW w:w="276"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1</w:t>
            </w:r>
          </w:p>
        </w:tc>
        <w:tc>
          <w:tcPr>
            <w:tcW w:w="384"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p>
        </w:tc>
        <w:tc>
          <w:tcPr>
            <w:tcW w:w="27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4</w:t>
            </w:r>
          </w:p>
        </w:tc>
        <w:tc>
          <w:tcPr>
            <w:tcW w:w="355" w:type="pct"/>
            <w:tcBorders>
              <w:top w:val="single" w:sz="4" w:space="0" w:color="auto"/>
              <w:left w:val="single" w:sz="4" w:space="0" w:color="auto"/>
              <w:bottom w:val="single" w:sz="4" w:space="0" w:color="auto"/>
              <w:right w:val="single" w:sz="4" w:space="0" w:color="auto"/>
            </w:tcBorders>
          </w:tcPr>
          <w:p w:rsidR="00603900" w:rsidRPr="00603900" w:rsidRDefault="00603900" w:rsidP="00603900">
            <w:pPr>
              <w:suppressAutoHyphens/>
              <w:rPr>
                <w:lang w:eastAsia="ar-SA"/>
              </w:rPr>
            </w:pPr>
            <w:r w:rsidRPr="00603900">
              <w:rPr>
                <w:lang w:eastAsia="ar-SA"/>
              </w:rPr>
              <w:t>0</w:t>
            </w:r>
          </w:p>
        </w:tc>
      </w:tr>
    </w:tbl>
    <w:p w:rsidR="000B125B" w:rsidRDefault="000B125B" w:rsidP="000B125B"/>
    <w:p w:rsidR="000B125B" w:rsidRPr="003B2A28" w:rsidRDefault="000B125B" w:rsidP="000B125B">
      <w:pPr>
        <w:ind w:left="720"/>
      </w:pPr>
      <w:r w:rsidRPr="003B2A28">
        <w:t>2.2. Kvalifikacija:</w:t>
      </w:r>
    </w:p>
    <w:tbl>
      <w:tblPr>
        <w:tblpPr w:leftFromText="180" w:rightFromText="180" w:vertAnchor="text" w:horzAnchor="margin" w:tblpXSpec="center" w:tblpY="182"/>
        <w:tblOverlap w:val="neve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5"/>
        <w:gridCol w:w="1560"/>
        <w:gridCol w:w="708"/>
        <w:gridCol w:w="426"/>
        <w:gridCol w:w="425"/>
        <w:gridCol w:w="425"/>
        <w:gridCol w:w="992"/>
        <w:gridCol w:w="993"/>
        <w:gridCol w:w="992"/>
      </w:tblGrid>
      <w:tr w:rsidR="000B125B" w:rsidTr="00025EE0">
        <w:trPr>
          <w:trHeight w:val="415"/>
        </w:trPr>
        <w:tc>
          <w:tcPr>
            <w:tcW w:w="3015" w:type="dxa"/>
            <w:vMerge w:val="restart"/>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Kėlė kvalifikaciją</w:t>
            </w:r>
          </w:p>
          <w:p w:rsidR="000B125B" w:rsidRDefault="000B125B" w:rsidP="00C84CEC">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 xml:space="preserve">Laisvų pareigybių </w:t>
            </w:r>
          </w:p>
          <w:p w:rsidR="000B125B" w:rsidRDefault="000B125B" w:rsidP="00C84CEC">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 xml:space="preserve">Kultūros ir meno specialistų </w:t>
            </w:r>
          </w:p>
          <w:p w:rsidR="000B125B" w:rsidRDefault="000B125B" w:rsidP="00C84CEC">
            <w:pPr>
              <w:rPr>
                <w:sz w:val="16"/>
                <w:szCs w:val="16"/>
              </w:rPr>
            </w:pPr>
            <w:r>
              <w:rPr>
                <w:sz w:val="16"/>
                <w:szCs w:val="16"/>
              </w:rPr>
              <w:t>poreikis</w:t>
            </w:r>
          </w:p>
        </w:tc>
      </w:tr>
      <w:tr w:rsidR="000B125B" w:rsidTr="00025EE0">
        <w:trPr>
          <w:trHeight w:val="420"/>
        </w:trPr>
        <w:tc>
          <w:tcPr>
            <w:tcW w:w="3015"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0B125B" w:rsidRDefault="000B125B" w:rsidP="00C84CEC">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r>
      <w:tr w:rsidR="000B125B" w:rsidTr="00025EE0">
        <w:trPr>
          <w:trHeight w:val="275"/>
        </w:trPr>
        <w:tc>
          <w:tcPr>
            <w:tcW w:w="3015" w:type="dxa"/>
            <w:tcBorders>
              <w:top w:val="single" w:sz="4" w:space="0" w:color="auto"/>
              <w:left w:val="single" w:sz="4" w:space="0" w:color="auto"/>
              <w:bottom w:val="single" w:sz="4" w:space="0" w:color="auto"/>
              <w:right w:val="single" w:sz="4" w:space="0" w:color="auto"/>
            </w:tcBorders>
            <w:hideMark/>
          </w:tcPr>
          <w:p w:rsidR="000B125B" w:rsidRDefault="007873CD" w:rsidP="007873CD">
            <w:r>
              <w:t>Vadoklių</w:t>
            </w:r>
            <w:r w:rsidR="000B125B">
              <w:t xml:space="preserve"> kultūros centras</w:t>
            </w:r>
          </w:p>
        </w:tc>
        <w:tc>
          <w:tcPr>
            <w:tcW w:w="1560"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r>
      <w:tr w:rsidR="000B125B" w:rsidTr="00025EE0">
        <w:trPr>
          <w:trHeight w:val="297"/>
        </w:trPr>
        <w:tc>
          <w:tcPr>
            <w:tcW w:w="3015" w:type="dxa"/>
            <w:tcBorders>
              <w:top w:val="single" w:sz="4" w:space="0" w:color="auto"/>
              <w:left w:val="single" w:sz="4" w:space="0" w:color="auto"/>
              <w:bottom w:val="single" w:sz="4" w:space="0" w:color="auto"/>
              <w:right w:val="single" w:sz="4" w:space="0" w:color="auto"/>
            </w:tcBorders>
            <w:hideMark/>
          </w:tcPr>
          <w:p w:rsidR="000B125B" w:rsidRDefault="007873CD" w:rsidP="007873CD">
            <w:r>
              <w:t>Jotainių</w:t>
            </w:r>
            <w:r w:rsidR="000B125B">
              <w:t xml:space="preserve"> padalinys</w:t>
            </w:r>
          </w:p>
        </w:tc>
        <w:tc>
          <w:tcPr>
            <w:tcW w:w="1560"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r>
      <w:tr w:rsidR="000B125B" w:rsidTr="00025EE0">
        <w:trPr>
          <w:trHeight w:val="403"/>
        </w:trPr>
        <w:tc>
          <w:tcPr>
            <w:tcW w:w="3015" w:type="dxa"/>
            <w:tcBorders>
              <w:top w:val="single" w:sz="4" w:space="0" w:color="auto"/>
              <w:left w:val="single" w:sz="4" w:space="0" w:color="auto"/>
              <w:bottom w:val="single" w:sz="4" w:space="0" w:color="auto"/>
              <w:right w:val="single" w:sz="4" w:space="0" w:color="auto"/>
            </w:tcBorders>
          </w:tcPr>
          <w:p w:rsidR="000B125B" w:rsidRDefault="007873CD" w:rsidP="00C84CEC">
            <w:r>
              <w:t>Iš viso</w:t>
            </w:r>
          </w:p>
        </w:tc>
        <w:tc>
          <w:tcPr>
            <w:tcW w:w="1560"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r>
    </w:tbl>
    <w:p w:rsidR="008907D3" w:rsidRPr="003576D0" w:rsidRDefault="008907D3" w:rsidP="003576D0"/>
    <w:p w:rsidR="000B125B" w:rsidRPr="003B2A28" w:rsidRDefault="000B125B" w:rsidP="000B125B">
      <w:pPr>
        <w:jc w:val="center"/>
        <w:rPr>
          <w:b/>
        </w:rPr>
      </w:pPr>
      <w:r w:rsidRPr="003B2A28">
        <w:rPr>
          <w:b/>
        </w:rPr>
        <w:t>III. VEIKLA</w:t>
      </w:r>
    </w:p>
    <w:p w:rsidR="000B125B" w:rsidRDefault="000B125B" w:rsidP="000B125B">
      <w:pPr>
        <w:ind w:left="216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356"/>
      </w:tblGrid>
      <w:tr w:rsidR="000B125B" w:rsidTr="00EA77A7">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Veiklos</w:t>
            </w:r>
          </w:p>
        </w:tc>
        <w:tc>
          <w:tcPr>
            <w:tcW w:w="1356" w:type="dxa"/>
            <w:tcBorders>
              <w:top w:val="single" w:sz="4" w:space="0" w:color="auto"/>
              <w:left w:val="single" w:sz="4" w:space="0" w:color="auto"/>
              <w:bottom w:val="single" w:sz="4" w:space="0" w:color="auto"/>
              <w:right w:val="single" w:sz="4" w:space="0" w:color="auto"/>
            </w:tcBorders>
            <w:hideMark/>
          </w:tcPr>
          <w:p w:rsidR="000B125B" w:rsidRDefault="000B125B" w:rsidP="00C84CEC">
            <w:r>
              <w:t>Skaičius / priedas</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1.</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Iš viso žiūrovų ir lankytojų</w:t>
            </w:r>
          </w:p>
        </w:tc>
        <w:tc>
          <w:tcPr>
            <w:tcW w:w="1356" w:type="dxa"/>
            <w:tcBorders>
              <w:top w:val="single" w:sz="4" w:space="0" w:color="auto"/>
              <w:left w:val="single" w:sz="4" w:space="0" w:color="auto"/>
              <w:bottom w:val="single" w:sz="4" w:space="0" w:color="auto"/>
              <w:right w:val="single" w:sz="4" w:space="0" w:color="auto"/>
            </w:tcBorders>
          </w:tcPr>
          <w:p w:rsidR="00603900" w:rsidRPr="00B2726D" w:rsidRDefault="00603900" w:rsidP="00823A93">
            <w:r w:rsidRPr="00B2726D">
              <w:t>6 994</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2.</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Parduotų bilietų skaičius</w:t>
            </w:r>
          </w:p>
        </w:tc>
        <w:tc>
          <w:tcPr>
            <w:tcW w:w="1356" w:type="dxa"/>
            <w:tcBorders>
              <w:top w:val="single" w:sz="4" w:space="0" w:color="auto"/>
              <w:left w:val="single" w:sz="4" w:space="0" w:color="auto"/>
              <w:bottom w:val="single" w:sz="4" w:space="0" w:color="auto"/>
              <w:right w:val="single" w:sz="4" w:space="0" w:color="auto"/>
            </w:tcBorders>
          </w:tcPr>
          <w:p w:rsidR="00603900" w:rsidRPr="00B2726D" w:rsidRDefault="00603900" w:rsidP="00823A93">
            <w:r w:rsidRPr="00B2726D">
              <w:t>0</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3.</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Iš viso dalyvių, užimtų kultūros įstaigos veikloje</w:t>
            </w:r>
          </w:p>
        </w:tc>
        <w:tc>
          <w:tcPr>
            <w:tcW w:w="1356" w:type="dxa"/>
            <w:tcBorders>
              <w:top w:val="single" w:sz="4" w:space="0" w:color="auto"/>
              <w:left w:val="single" w:sz="4" w:space="0" w:color="auto"/>
              <w:bottom w:val="single" w:sz="4" w:space="0" w:color="auto"/>
              <w:right w:val="single" w:sz="4" w:space="0" w:color="auto"/>
            </w:tcBorders>
          </w:tcPr>
          <w:p w:rsidR="00603900" w:rsidRPr="00B2726D" w:rsidRDefault="00F95AFD" w:rsidP="00F95AFD">
            <w:r w:rsidRPr="00F95AFD">
              <w:t>1</w:t>
            </w:r>
            <w:r>
              <w:t>0</w:t>
            </w:r>
            <w:r w:rsidRPr="00F95AFD">
              <w:t>5</w:t>
            </w:r>
            <w:r w:rsidR="00603900" w:rsidRPr="00F95AFD">
              <w:t xml:space="preserve"> </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3.1.</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vietos gyventojų, gyvenančių ar dirbančių Panevėžio rajone</w:t>
            </w:r>
          </w:p>
        </w:tc>
        <w:tc>
          <w:tcPr>
            <w:tcW w:w="1356" w:type="dxa"/>
            <w:tcBorders>
              <w:top w:val="single" w:sz="4" w:space="0" w:color="auto"/>
              <w:left w:val="single" w:sz="4" w:space="0" w:color="auto"/>
              <w:bottom w:val="single" w:sz="4" w:space="0" w:color="auto"/>
              <w:right w:val="single" w:sz="4" w:space="0" w:color="auto"/>
            </w:tcBorders>
          </w:tcPr>
          <w:p w:rsidR="00603900" w:rsidRPr="00B2726D" w:rsidRDefault="00603900" w:rsidP="00823A93">
            <w:r w:rsidRPr="00B2726D">
              <w:t>340</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3.2.</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kultūros centro veikloje dalyvaujančių savanorių </w:t>
            </w:r>
          </w:p>
        </w:tc>
        <w:tc>
          <w:tcPr>
            <w:tcW w:w="1356" w:type="dxa"/>
            <w:tcBorders>
              <w:top w:val="single" w:sz="4" w:space="0" w:color="auto"/>
              <w:left w:val="single" w:sz="4" w:space="0" w:color="auto"/>
              <w:bottom w:val="single" w:sz="4" w:space="0" w:color="auto"/>
              <w:right w:val="single" w:sz="4" w:space="0" w:color="auto"/>
            </w:tcBorders>
          </w:tcPr>
          <w:p w:rsidR="00603900" w:rsidRPr="00B2726D" w:rsidRDefault="00603900" w:rsidP="00823A93">
            <w:r w:rsidRPr="00B2726D">
              <w:t>64</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4</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Pateiktų projektų </w:t>
            </w:r>
          </w:p>
        </w:tc>
        <w:tc>
          <w:tcPr>
            <w:tcW w:w="1356" w:type="dxa"/>
            <w:tcBorders>
              <w:top w:val="single" w:sz="4" w:space="0" w:color="auto"/>
              <w:left w:val="single" w:sz="4" w:space="0" w:color="auto"/>
              <w:bottom w:val="single" w:sz="4" w:space="0" w:color="auto"/>
              <w:right w:val="single" w:sz="4" w:space="0" w:color="auto"/>
            </w:tcBorders>
            <w:hideMark/>
          </w:tcPr>
          <w:p w:rsidR="00603900" w:rsidRPr="00B2726D" w:rsidRDefault="00290D4C" w:rsidP="003A2E2F">
            <w:r>
              <w:t>5</w:t>
            </w:r>
            <w:r w:rsidR="00003252">
              <w:t xml:space="preserve"> </w:t>
            </w:r>
            <w:r>
              <w:t>/ p</w:t>
            </w:r>
            <w:r w:rsidR="00603900" w:rsidRPr="00B2726D">
              <w:t>riedas</w:t>
            </w:r>
            <w:r w:rsidR="00630927">
              <w:t xml:space="preserve"> </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5.</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Naujų parengtų programų (koncertinių, edukacinių) ir kitų naujų veiklų </w:t>
            </w:r>
          </w:p>
        </w:tc>
        <w:tc>
          <w:tcPr>
            <w:tcW w:w="1356" w:type="dxa"/>
            <w:tcBorders>
              <w:top w:val="single" w:sz="4" w:space="0" w:color="auto"/>
              <w:left w:val="single" w:sz="4" w:space="0" w:color="auto"/>
              <w:bottom w:val="single" w:sz="4" w:space="0" w:color="auto"/>
              <w:right w:val="single" w:sz="4" w:space="0" w:color="auto"/>
            </w:tcBorders>
            <w:hideMark/>
          </w:tcPr>
          <w:p w:rsidR="00603900" w:rsidRPr="00B2726D" w:rsidRDefault="00064A14" w:rsidP="003A2E2F">
            <w:r>
              <w:t>29</w:t>
            </w:r>
            <w:r w:rsidR="00290D4C">
              <w:t xml:space="preserve"> </w:t>
            </w:r>
            <w:r>
              <w:t>/</w:t>
            </w:r>
            <w:r w:rsidR="00290D4C">
              <w:t xml:space="preserve"> p</w:t>
            </w:r>
            <w:r w:rsidR="00603900" w:rsidRPr="00B2726D">
              <w:t>riedas</w:t>
            </w:r>
            <w:r w:rsidR="00630927">
              <w:t xml:space="preserve"> </w:t>
            </w:r>
          </w:p>
        </w:tc>
      </w:tr>
      <w:tr w:rsidR="00603900" w:rsidTr="00EA77A7">
        <w:tc>
          <w:tcPr>
            <w:tcW w:w="709"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603900" w:rsidRDefault="00603900" w:rsidP="00C84CEC">
            <w:r>
              <w:t>Laimėjimai konkursuose: pagrindinis prizas, I, II, III vietos (rajono, regiono, šalies bei tarptautiniuose), kultūros srities nominacijų laimėjimai</w:t>
            </w:r>
          </w:p>
        </w:tc>
        <w:tc>
          <w:tcPr>
            <w:tcW w:w="1356" w:type="dxa"/>
            <w:tcBorders>
              <w:top w:val="single" w:sz="4" w:space="0" w:color="auto"/>
              <w:left w:val="single" w:sz="4" w:space="0" w:color="auto"/>
              <w:bottom w:val="single" w:sz="4" w:space="0" w:color="auto"/>
              <w:right w:val="single" w:sz="4" w:space="0" w:color="auto"/>
            </w:tcBorders>
            <w:hideMark/>
          </w:tcPr>
          <w:p w:rsidR="00603900" w:rsidRDefault="00FE71E9" w:rsidP="00823A93">
            <w:r>
              <w:t>3</w:t>
            </w:r>
            <w:r w:rsidR="00290D4C">
              <w:t xml:space="preserve"> </w:t>
            </w:r>
            <w:r>
              <w:t>/</w:t>
            </w:r>
            <w:r w:rsidR="00290D4C">
              <w:t xml:space="preserve"> p</w:t>
            </w:r>
            <w:r w:rsidR="00603900" w:rsidRPr="00B2726D">
              <w:t>riedas</w:t>
            </w:r>
          </w:p>
          <w:p w:rsidR="00CF5896" w:rsidRDefault="00CF5896" w:rsidP="00823A93"/>
        </w:tc>
      </w:tr>
    </w:tbl>
    <w:p w:rsidR="000B125B" w:rsidRDefault="000B125B" w:rsidP="000B125B"/>
    <w:p w:rsidR="000B125B" w:rsidRPr="003B2A28" w:rsidRDefault="000B125B" w:rsidP="000B125B">
      <w:pPr>
        <w:tabs>
          <w:tab w:val="left" w:pos="567"/>
        </w:tabs>
        <w:jc w:val="center"/>
      </w:pPr>
      <w:r w:rsidRPr="003B2A28">
        <w:rPr>
          <w:b/>
        </w:rPr>
        <w:t>IV. RENGINIAI</w:t>
      </w:r>
    </w:p>
    <w:p w:rsidR="000B125B" w:rsidRDefault="000B125B" w:rsidP="000B125B">
      <w:pPr>
        <w:ind w:left="216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29"/>
        <w:gridCol w:w="1273"/>
      </w:tblGrid>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lastRenderedPageBreak/>
              <w:t>Eil. Nr.</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Renginių skaičius</w:t>
            </w:r>
          </w:p>
        </w:tc>
      </w:tr>
      <w:tr w:rsidR="00603900" w:rsidTr="00C84CEC">
        <w:tc>
          <w:tcPr>
            <w:tcW w:w="576" w:type="dxa"/>
            <w:tcBorders>
              <w:top w:val="single" w:sz="4" w:space="0" w:color="auto"/>
              <w:left w:val="single" w:sz="4" w:space="0" w:color="auto"/>
              <w:bottom w:val="single" w:sz="4" w:space="0" w:color="auto"/>
              <w:right w:val="single" w:sz="4" w:space="0" w:color="auto"/>
            </w:tcBorders>
          </w:tcPr>
          <w:p w:rsidR="00603900" w:rsidRDefault="00603900" w:rsidP="00C84CEC"/>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Renginiai, iš viso (1 + 2)</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58</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42</w:t>
            </w:r>
          </w:p>
        </w:tc>
      </w:tr>
      <w:tr w:rsidR="00603900" w:rsidTr="00C84CEC">
        <w:tc>
          <w:tcPr>
            <w:tcW w:w="576" w:type="dxa"/>
            <w:tcBorders>
              <w:top w:val="single" w:sz="4" w:space="0" w:color="auto"/>
              <w:left w:val="single" w:sz="4" w:space="0" w:color="auto"/>
              <w:bottom w:val="single" w:sz="4" w:space="0" w:color="auto"/>
              <w:right w:val="single" w:sz="4" w:space="0" w:color="auto"/>
            </w:tcBorders>
          </w:tcPr>
          <w:p w:rsidR="00603900" w:rsidRDefault="00603900" w:rsidP="000B125B">
            <w:pPr>
              <w:numPr>
                <w:ilvl w:val="1"/>
                <w:numId w:val="14"/>
              </w:numPr>
            </w:pP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renginiai lauke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14</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28</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16</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2.1.</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13</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šalyje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2</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2.3.</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1</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3.</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Etniniai renginiai (visi)</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12</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4.</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8</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4.1.</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5</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4.2.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šalies konkursuose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2</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4.3.</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1</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5.</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6</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5.1.</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vizualiojo meno</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t>-</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5.2.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tautodailės</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2</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5.3.</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kitos</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4</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6.</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7</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6.1.</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akademinio žanro</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t>-</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6.2.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7</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7.</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rsidRPr="00C710AD">
              <w:t>37</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7.1.</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edukaciniai</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t>-</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7.2.</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tarpsritiniai</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t>-</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7.3.</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kvalifikacijos kėlimo</w:t>
            </w:r>
          </w:p>
        </w:tc>
        <w:tc>
          <w:tcPr>
            <w:tcW w:w="1275" w:type="dxa"/>
            <w:tcBorders>
              <w:top w:val="single" w:sz="4" w:space="0" w:color="auto"/>
              <w:left w:val="single" w:sz="4" w:space="0" w:color="auto"/>
              <w:bottom w:val="single" w:sz="4" w:space="0" w:color="auto"/>
              <w:right w:val="single" w:sz="4" w:space="0" w:color="auto"/>
            </w:tcBorders>
          </w:tcPr>
          <w:p w:rsidR="00603900" w:rsidRPr="00C710AD" w:rsidRDefault="00603900" w:rsidP="00E3635E">
            <w:r>
              <w:t>-</w:t>
            </w:r>
          </w:p>
        </w:tc>
      </w:tr>
      <w:tr w:rsidR="00603900" w:rsidTr="00C84CEC">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8.</w:t>
            </w:r>
          </w:p>
        </w:tc>
        <w:tc>
          <w:tcPr>
            <w:tcW w:w="7608" w:type="dxa"/>
            <w:tcBorders>
              <w:top w:val="single" w:sz="4" w:space="0" w:color="auto"/>
              <w:left w:val="single" w:sz="4" w:space="0" w:color="auto"/>
              <w:bottom w:val="single" w:sz="4" w:space="0" w:color="auto"/>
              <w:right w:val="single" w:sz="4" w:space="0" w:color="auto"/>
            </w:tcBorders>
            <w:hideMark/>
          </w:tcPr>
          <w:p w:rsidR="00603900" w:rsidRDefault="00603900" w:rsidP="00C84CEC">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603900" w:rsidRDefault="00603900" w:rsidP="00E3635E">
            <w:r w:rsidRPr="00C710AD">
              <w:t>37</w:t>
            </w:r>
          </w:p>
        </w:tc>
      </w:tr>
    </w:tbl>
    <w:p w:rsidR="000B125B" w:rsidRDefault="000B125B" w:rsidP="000B125B">
      <w:pPr>
        <w:jc w:val="both"/>
      </w:pPr>
    </w:p>
    <w:p w:rsidR="000B125B" w:rsidRPr="003B2A28" w:rsidRDefault="000B125B" w:rsidP="000B125B">
      <w:pPr>
        <w:jc w:val="center"/>
        <w:rPr>
          <w:b/>
        </w:rPr>
      </w:pPr>
      <w:r w:rsidRPr="003B2A28">
        <w:rPr>
          <w:b/>
        </w:rPr>
        <w:t>V. MENO KOLEKTYVAI</w:t>
      </w:r>
    </w:p>
    <w:p w:rsidR="000B125B" w:rsidRPr="003576D0" w:rsidRDefault="000B125B" w:rsidP="000B125B">
      <w:pPr>
        <w:ind w:left="144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1"/>
        <w:gridCol w:w="1274"/>
      </w:tblGrid>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Kolektyvų skaičius</w:t>
            </w:r>
          </w:p>
        </w:tc>
      </w:tr>
      <w:tr w:rsidR="00603900" w:rsidTr="00C84CEC">
        <w:tc>
          <w:tcPr>
            <w:tcW w:w="755" w:type="dxa"/>
            <w:tcBorders>
              <w:top w:val="single" w:sz="4" w:space="0" w:color="auto"/>
              <w:left w:val="single" w:sz="4" w:space="0" w:color="auto"/>
              <w:bottom w:val="single" w:sz="4" w:space="0" w:color="auto"/>
              <w:right w:val="single" w:sz="4" w:space="0" w:color="auto"/>
            </w:tcBorders>
          </w:tcPr>
          <w:p w:rsidR="00603900" w:rsidRDefault="00603900" w:rsidP="00C84CEC"/>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17</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1.</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12</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1.1.</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muzikiniai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6</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1.2.</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choreografiniai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3</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1.3.</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teatriniai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1</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1.4.</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etniniai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2</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1.5.</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tautodailės</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t>-</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2.</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5</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3.</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Iš viso Dainų švenčių tradicijos tęstinumo programoje dalyvaujančių kolektyvų skaičius (dalyvavimas dainų švenčių atrankose, šventėse – </w:t>
            </w:r>
            <w:r>
              <w:br/>
              <w:t>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9</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3.1.</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muzikiniai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3</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3.2.</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choreografiniai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1</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3.3.</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teatriniai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t>-</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3.4.</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etniniai</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rsidRPr="00B53F4A">
              <w:t>5</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t>3.5.</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tautodailės</w:t>
            </w:r>
          </w:p>
        </w:tc>
        <w:tc>
          <w:tcPr>
            <w:tcW w:w="1275" w:type="dxa"/>
            <w:tcBorders>
              <w:top w:val="single" w:sz="4" w:space="0" w:color="auto"/>
              <w:left w:val="single" w:sz="4" w:space="0" w:color="auto"/>
              <w:bottom w:val="single" w:sz="4" w:space="0" w:color="auto"/>
              <w:right w:val="single" w:sz="4" w:space="0" w:color="auto"/>
            </w:tcBorders>
          </w:tcPr>
          <w:p w:rsidR="00603900" w:rsidRPr="00B53F4A" w:rsidRDefault="00603900" w:rsidP="00FE4F52">
            <w:r>
              <w:t>-</w:t>
            </w:r>
          </w:p>
        </w:tc>
      </w:tr>
      <w:tr w:rsidR="00603900" w:rsidTr="00C84CEC">
        <w:tc>
          <w:tcPr>
            <w:tcW w:w="755" w:type="dxa"/>
            <w:tcBorders>
              <w:top w:val="single" w:sz="4" w:space="0" w:color="auto"/>
              <w:left w:val="single" w:sz="4" w:space="0" w:color="auto"/>
              <w:bottom w:val="single" w:sz="4" w:space="0" w:color="auto"/>
              <w:right w:val="single" w:sz="4" w:space="0" w:color="auto"/>
            </w:tcBorders>
            <w:hideMark/>
          </w:tcPr>
          <w:p w:rsidR="00603900" w:rsidRDefault="00603900" w:rsidP="00C84CEC">
            <w:r>
              <w:lastRenderedPageBreak/>
              <w:t>3.6.</w:t>
            </w:r>
          </w:p>
        </w:tc>
        <w:tc>
          <w:tcPr>
            <w:tcW w:w="7429" w:type="dxa"/>
            <w:tcBorders>
              <w:top w:val="single" w:sz="4" w:space="0" w:color="auto"/>
              <w:left w:val="single" w:sz="4" w:space="0" w:color="auto"/>
              <w:bottom w:val="single" w:sz="4" w:space="0" w:color="auto"/>
              <w:right w:val="single" w:sz="4" w:space="0" w:color="auto"/>
            </w:tcBorders>
            <w:hideMark/>
          </w:tcPr>
          <w:p w:rsidR="00603900" w:rsidRDefault="00603900" w:rsidP="00C84CEC">
            <w:r>
              <w:t>amatai</w:t>
            </w:r>
          </w:p>
        </w:tc>
        <w:tc>
          <w:tcPr>
            <w:tcW w:w="1275" w:type="dxa"/>
            <w:tcBorders>
              <w:top w:val="single" w:sz="4" w:space="0" w:color="auto"/>
              <w:left w:val="single" w:sz="4" w:space="0" w:color="auto"/>
              <w:bottom w:val="single" w:sz="4" w:space="0" w:color="auto"/>
              <w:right w:val="single" w:sz="4" w:space="0" w:color="auto"/>
            </w:tcBorders>
          </w:tcPr>
          <w:p w:rsidR="00603900" w:rsidRDefault="00603900" w:rsidP="00FE4F52">
            <w:r>
              <w:t>-</w:t>
            </w:r>
          </w:p>
        </w:tc>
      </w:tr>
    </w:tbl>
    <w:p w:rsidR="000B125B" w:rsidRDefault="000B125B" w:rsidP="000B125B">
      <w:pPr>
        <w:jc w:val="both"/>
      </w:pPr>
    </w:p>
    <w:p w:rsidR="000B125B" w:rsidRPr="003B2A28" w:rsidRDefault="000B125B" w:rsidP="000B125B">
      <w:pPr>
        <w:jc w:val="center"/>
        <w:rPr>
          <w:b/>
        </w:rPr>
      </w:pPr>
      <w:r w:rsidRPr="003B2A28">
        <w:rPr>
          <w:b/>
        </w:rPr>
        <w:t>VI. FINANSAVIMO ŠALTINIAI</w:t>
      </w:r>
    </w:p>
    <w:p w:rsidR="000B125B" w:rsidRDefault="000B125B" w:rsidP="000B125B">
      <w:pPr>
        <w:ind w:left="144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7"/>
        <w:gridCol w:w="1265"/>
      </w:tblGrid>
      <w:tr w:rsidR="000B125B" w:rsidTr="00603900">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Gautos lėšos Eur</w:t>
            </w:r>
          </w:p>
        </w:tc>
      </w:tr>
      <w:tr w:rsidR="00603900" w:rsidTr="00603900">
        <w:tc>
          <w:tcPr>
            <w:tcW w:w="576" w:type="dxa"/>
            <w:tcBorders>
              <w:top w:val="single" w:sz="4" w:space="0" w:color="auto"/>
              <w:left w:val="single" w:sz="4" w:space="0" w:color="auto"/>
              <w:bottom w:val="single" w:sz="4" w:space="0" w:color="auto"/>
              <w:right w:val="single" w:sz="4" w:space="0" w:color="auto"/>
            </w:tcBorders>
          </w:tcPr>
          <w:p w:rsidR="00603900" w:rsidRDefault="00603900" w:rsidP="00C84CEC"/>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100</w:t>
            </w:r>
            <w:r>
              <w:t xml:space="preserve"> </w:t>
            </w:r>
            <w:r w:rsidRPr="009B3E96">
              <w:t>7</w:t>
            </w:r>
            <w:r>
              <w:t>70</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94</w:t>
            </w:r>
            <w:r>
              <w:t xml:space="preserve"> </w:t>
            </w:r>
            <w:r w:rsidRPr="009B3E96">
              <w:t>198</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1.1.</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75</w:t>
            </w:r>
            <w:r>
              <w:t xml:space="preserve"> </w:t>
            </w:r>
            <w:r w:rsidRPr="009B3E96">
              <w:t>203</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1.2.</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7</w:t>
            </w:r>
            <w:r>
              <w:t xml:space="preserve"> </w:t>
            </w:r>
            <w:r w:rsidRPr="009B3E96">
              <w:t>49</w:t>
            </w:r>
            <w:r>
              <w:t>3</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1.3.</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2D508F">
            <w:r w:rsidRPr="009B3E96">
              <w:t>0</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1.4.</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lėšos veiklai</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9</w:t>
            </w:r>
            <w:r>
              <w:t xml:space="preserve"> </w:t>
            </w:r>
            <w:r w:rsidRPr="009B3E96">
              <w:t>902</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1.5.</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išlaidos transportui</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1</w:t>
            </w:r>
            <w:r>
              <w:t xml:space="preserve"> </w:t>
            </w:r>
            <w:r w:rsidRPr="009B3E96">
              <w:t>600</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6</w:t>
            </w:r>
            <w:r>
              <w:t xml:space="preserve"> </w:t>
            </w:r>
            <w:r w:rsidRPr="009B3E96">
              <w:t>57</w:t>
            </w:r>
            <w:r w:rsidR="00003252">
              <w:t>2</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2.1.</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603900" w:rsidRPr="009B3E96" w:rsidRDefault="00603900" w:rsidP="002D508F">
            <w:r w:rsidRPr="009B3E96">
              <w:t>0</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2.2.</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1</w:t>
            </w:r>
            <w:r>
              <w:t xml:space="preserve"> </w:t>
            </w:r>
            <w:r w:rsidRPr="009B3E96">
              <w:t>08</w:t>
            </w:r>
            <w:r>
              <w:t>9</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2.3.</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rėmėjų lėšos</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1</w:t>
            </w:r>
            <w:r>
              <w:t xml:space="preserve"> </w:t>
            </w:r>
            <w:r w:rsidRPr="009B3E96">
              <w:t>200</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2.4.</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2 % parama</w:t>
            </w:r>
          </w:p>
        </w:tc>
        <w:tc>
          <w:tcPr>
            <w:tcW w:w="1275" w:type="dxa"/>
            <w:tcBorders>
              <w:top w:val="single" w:sz="4" w:space="0" w:color="auto"/>
              <w:left w:val="single" w:sz="4" w:space="0" w:color="auto"/>
              <w:bottom w:val="single" w:sz="4" w:space="0" w:color="auto"/>
              <w:right w:val="single" w:sz="4" w:space="0" w:color="auto"/>
            </w:tcBorders>
          </w:tcPr>
          <w:p w:rsidR="00603900" w:rsidRPr="009B3E96" w:rsidRDefault="00603900" w:rsidP="00603900">
            <w:r w:rsidRPr="009B3E96">
              <w:t>329</w:t>
            </w:r>
          </w:p>
        </w:tc>
      </w:tr>
      <w:tr w:rsidR="00603900" w:rsidTr="00603900">
        <w:tc>
          <w:tcPr>
            <w:tcW w:w="576" w:type="dxa"/>
            <w:tcBorders>
              <w:top w:val="single" w:sz="4" w:space="0" w:color="auto"/>
              <w:left w:val="single" w:sz="4" w:space="0" w:color="auto"/>
              <w:bottom w:val="single" w:sz="4" w:space="0" w:color="auto"/>
              <w:right w:val="single" w:sz="4" w:space="0" w:color="auto"/>
            </w:tcBorders>
            <w:hideMark/>
          </w:tcPr>
          <w:p w:rsidR="00603900" w:rsidRDefault="00603900" w:rsidP="00C84CEC">
            <w:r>
              <w:t>2.5.</w:t>
            </w:r>
          </w:p>
        </w:tc>
        <w:tc>
          <w:tcPr>
            <w:tcW w:w="7703" w:type="dxa"/>
            <w:tcBorders>
              <w:top w:val="single" w:sz="4" w:space="0" w:color="auto"/>
              <w:left w:val="single" w:sz="4" w:space="0" w:color="auto"/>
              <w:bottom w:val="single" w:sz="4" w:space="0" w:color="auto"/>
              <w:right w:val="single" w:sz="4" w:space="0" w:color="auto"/>
            </w:tcBorders>
            <w:hideMark/>
          </w:tcPr>
          <w:p w:rsidR="00603900" w:rsidRDefault="00603900" w:rsidP="00C84CEC">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603900" w:rsidRDefault="00603900" w:rsidP="00603900">
            <w:r w:rsidRPr="009B3E96">
              <w:t>3</w:t>
            </w:r>
            <w:r>
              <w:t xml:space="preserve"> </w:t>
            </w:r>
            <w:r w:rsidRPr="009B3E96">
              <w:t>954</w:t>
            </w:r>
          </w:p>
        </w:tc>
      </w:tr>
    </w:tbl>
    <w:p w:rsidR="000B125B" w:rsidRDefault="000B125B" w:rsidP="000B125B">
      <w:pPr>
        <w:jc w:val="both"/>
      </w:pPr>
    </w:p>
    <w:p w:rsidR="000B125B" w:rsidRPr="003B2A28" w:rsidRDefault="000B125B" w:rsidP="000B125B">
      <w:pPr>
        <w:jc w:val="center"/>
        <w:rPr>
          <w:b/>
        </w:rPr>
      </w:pPr>
      <w:r w:rsidRPr="003B2A28">
        <w:rPr>
          <w:b/>
        </w:rPr>
        <w:t>VII. MATERIALINIAI IR TECHNINIAI IŠTEKLIAI</w:t>
      </w:r>
    </w:p>
    <w:p w:rsidR="000B125B" w:rsidRPr="003B2A28" w:rsidRDefault="000B125B" w:rsidP="000B125B">
      <w:pPr>
        <w:ind w:firstLine="720"/>
      </w:pPr>
    </w:p>
    <w:p w:rsidR="00603900" w:rsidRPr="00603900" w:rsidRDefault="00290D4C" w:rsidP="00603900">
      <w:pPr>
        <w:pStyle w:val="Standard"/>
        <w:tabs>
          <w:tab w:val="left" w:pos="1338"/>
        </w:tabs>
        <w:rPr>
          <w:kern w:val="0"/>
          <w:sz w:val="24"/>
          <w:szCs w:val="24"/>
          <w:lang w:eastAsia="lt-LT"/>
        </w:rPr>
      </w:pPr>
      <w:r>
        <w:rPr>
          <w:kern w:val="0"/>
          <w:sz w:val="24"/>
          <w:szCs w:val="24"/>
          <w:lang w:eastAsia="lt-LT"/>
        </w:rPr>
        <w:tab/>
      </w:r>
      <w:r w:rsidR="00603900" w:rsidRPr="00603900">
        <w:rPr>
          <w:kern w:val="0"/>
          <w:sz w:val="24"/>
          <w:szCs w:val="24"/>
          <w:lang w:eastAsia="lt-LT"/>
        </w:rPr>
        <w:t xml:space="preserve">7.1. </w:t>
      </w:r>
      <w:r w:rsidR="00603900">
        <w:rPr>
          <w:kern w:val="0"/>
          <w:sz w:val="24"/>
          <w:szCs w:val="24"/>
          <w:lang w:eastAsia="lt-LT"/>
        </w:rPr>
        <w:t>Į</w:t>
      </w:r>
      <w:r w:rsidR="00603900" w:rsidRPr="00603900">
        <w:rPr>
          <w:kern w:val="0"/>
          <w:sz w:val="24"/>
          <w:szCs w:val="24"/>
          <w:lang w:eastAsia="lt-LT"/>
        </w:rPr>
        <w:t>s</w:t>
      </w:r>
      <w:r w:rsidR="00603900">
        <w:rPr>
          <w:kern w:val="0"/>
          <w:sz w:val="24"/>
          <w:szCs w:val="24"/>
          <w:lang w:eastAsia="lt-LT"/>
        </w:rPr>
        <w:t xml:space="preserve">taigos remonto darbų </w:t>
      </w:r>
      <w:r w:rsidR="009B14C9">
        <w:rPr>
          <w:kern w:val="0"/>
          <w:sz w:val="24"/>
          <w:szCs w:val="24"/>
          <w:lang w:eastAsia="lt-LT"/>
        </w:rPr>
        <w:t>ne</w:t>
      </w:r>
      <w:r w:rsidR="00603900">
        <w:rPr>
          <w:kern w:val="0"/>
          <w:sz w:val="24"/>
          <w:szCs w:val="24"/>
          <w:lang w:eastAsia="lt-LT"/>
        </w:rPr>
        <w:t>atlikta</w:t>
      </w:r>
      <w:r w:rsidR="009B14C9">
        <w:rPr>
          <w:kern w:val="0"/>
          <w:sz w:val="24"/>
          <w:szCs w:val="24"/>
          <w:lang w:eastAsia="lt-LT"/>
        </w:rPr>
        <w:t>.</w:t>
      </w:r>
    </w:p>
    <w:p w:rsidR="00603900" w:rsidRPr="00603900" w:rsidRDefault="00290D4C" w:rsidP="00603900">
      <w:pPr>
        <w:pStyle w:val="Standard"/>
        <w:tabs>
          <w:tab w:val="left" w:pos="1338"/>
        </w:tabs>
        <w:rPr>
          <w:kern w:val="0"/>
          <w:sz w:val="24"/>
          <w:szCs w:val="24"/>
          <w:lang w:eastAsia="lt-LT"/>
        </w:rPr>
      </w:pPr>
      <w:r>
        <w:rPr>
          <w:kern w:val="0"/>
          <w:sz w:val="24"/>
          <w:szCs w:val="24"/>
          <w:lang w:eastAsia="lt-LT"/>
        </w:rPr>
        <w:tab/>
      </w:r>
      <w:r w:rsidR="00603900" w:rsidRPr="00603900">
        <w:rPr>
          <w:kern w:val="0"/>
          <w:sz w:val="24"/>
          <w:szCs w:val="24"/>
          <w:lang w:eastAsia="lt-LT"/>
        </w:rPr>
        <w:t xml:space="preserve">7.2. </w:t>
      </w:r>
      <w:r w:rsidR="009B14C9">
        <w:rPr>
          <w:kern w:val="0"/>
          <w:sz w:val="24"/>
          <w:szCs w:val="24"/>
          <w:lang w:eastAsia="lt-LT"/>
        </w:rPr>
        <w:t>T</w:t>
      </w:r>
      <w:r w:rsidR="00603900" w:rsidRPr="00603900">
        <w:rPr>
          <w:kern w:val="0"/>
          <w:sz w:val="24"/>
          <w:szCs w:val="24"/>
          <w:lang w:eastAsia="lt-LT"/>
        </w:rPr>
        <w:t xml:space="preserve">echniniai ištekliai </w:t>
      </w:r>
      <w:r w:rsidR="009B14C9">
        <w:rPr>
          <w:kern w:val="0"/>
          <w:sz w:val="24"/>
          <w:szCs w:val="24"/>
          <w:lang w:eastAsia="lt-LT"/>
        </w:rPr>
        <w:t>neatnaujinti.</w:t>
      </w:r>
    </w:p>
    <w:p w:rsidR="00603900" w:rsidRPr="00603900" w:rsidRDefault="00290D4C" w:rsidP="001C053A">
      <w:pPr>
        <w:pStyle w:val="Standard"/>
        <w:tabs>
          <w:tab w:val="left" w:pos="1338"/>
        </w:tabs>
        <w:jc w:val="both"/>
        <w:rPr>
          <w:kern w:val="0"/>
          <w:sz w:val="24"/>
          <w:szCs w:val="24"/>
          <w:lang w:eastAsia="lt-LT"/>
        </w:rPr>
      </w:pPr>
      <w:r>
        <w:rPr>
          <w:kern w:val="0"/>
          <w:sz w:val="24"/>
          <w:szCs w:val="24"/>
          <w:lang w:eastAsia="lt-LT"/>
        </w:rPr>
        <w:tab/>
      </w:r>
      <w:r w:rsidR="00603900" w:rsidRPr="00603900">
        <w:rPr>
          <w:kern w:val="0"/>
          <w:sz w:val="24"/>
          <w:szCs w:val="24"/>
          <w:lang w:eastAsia="lt-LT"/>
        </w:rPr>
        <w:t xml:space="preserve">7.3. Įsigyti koncertiniai drabužiai </w:t>
      </w:r>
      <w:r w:rsidR="001C053A">
        <w:rPr>
          <w:kern w:val="0"/>
          <w:sz w:val="24"/>
          <w:szCs w:val="24"/>
          <w:lang w:eastAsia="lt-LT"/>
        </w:rPr>
        <w:t>–</w:t>
      </w:r>
      <w:r w:rsidR="00603900" w:rsidRPr="00603900">
        <w:rPr>
          <w:kern w:val="0"/>
          <w:sz w:val="24"/>
          <w:szCs w:val="24"/>
          <w:lang w:eastAsia="lt-LT"/>
        </w:rPr>
        <w:t xml:space="preserve"> </w:t>
      </w:r>
      <w:r w:rsidR="001C053A">
        <w:rPr>
          <w:kern w:val="0"/>
          <w:sz w:val="24"/>
          <w:szCs w:val="24"/>
          <w:lang w:eastAsia="lt-LT"/>
        </w:rPr>
        <w:t>4 vnt. m</w:t>
      </w:r>
      <w:r>
        <w:rPr>
          <w:kern w:val="0"/>
          <w:sz w:val="24"/>
          <w:szCs w:val="24"/>
          <w:lang w:eastAsia="lt-LT"/>
        </w:rPr>
        <w:t>ergaičių šokių kolektyvui,</w:t>
      </w:r>
      <w:r w:rsidR="001C053A">
        <w:rPr>
          <w:kern w:val="0"/>
          <w:sz w:val="24"/>
          <w:szCs w:val="24"/>
          <w:lang w:eastAsia="lt-LT"/>
        </w:rPr>
        <w:t xml:space="preserve"> </w:t>
      </w:r>
      <w:r w:rsidR="00603900" w:rsidRPr="00603900">
        <w:rPr>
          <w:kern w:val="0"/>
          <w:sz w:val="24"/>
          <w:szCs w:val="24"/>
          <w:lang w:eastAsia="lt-LT"/>
        </w:rPr>
        <w:t>vertė 400</w:t>
      </w:r>
      <w:r w:rsidR="009B14C9">
        <w:rPr>
          <w:kern w:val="0"/>
          <w:sz w:val="24"/>
          <w:szCs w:val="24"/>
          <w:lang w:eastAsia="lt-LT"/>
        </w:rPr>
        <w:t xml:space="preserve"> </w:t>
      </w:r>
      <w:r>
        <w:rPr>
          <w:kern w:val="0"/>
          <w:sz w:val="24"/>
          <w:szCs w:val="24"/>
          <w:lang w:eastAsia="lt-LT"/>
        </w:rPr>
        <w:t>Eur</w:t>
      </w:r>
      <w:r w:rsidR="009B14C9">
        <w:rPr>
          <w:kern w:val="0"/>
          <w:sz w:val="24"/>
          <w:szCs w:val="24"/>
          <w:lang w:eastAsia="lt-LT"/>
        </w:rPr>
        <w:t>,</w:t>
      </w:r>
      <w:r w:rsidR="00603900" w:rsidRPr="00603900">
        <w:rPr>
          <w:kern w:val="0"/>
          <w:sz w:val="24"/>
          <w:szCs w:val="24"/>
          <w:lang w:eastAsia="lt-LT"/>
        </w:rPr>
        <w:t xml:space="preserve"> </w:t>
      </w:r>
      <w:r>
        <w:rPr>
          <w:kern w:val="0"/>
          <w:sz w:val="24"/>
          <w:szCs w:val="24"/>
          <w:lang w:eastAsia="lt-LT"/>
        </w:rPr>
        <w:br/>
        <w:t>9 vnt. atskirų dalių</w:t>
      </w:r>
      <w:r w:rsidR="00603900" w:rsidRPr="00603900">
        <w:rPr>
          <w:kern w:val="0"/>
          <w:sz w:val="24"/>
          <w:szCs w:val="24"/>
          <w:lang w:eastAsia="lt-LT"/>
        </w:rPr>
        <w:t xml:space="preserve"> tautin</w:t>
      </w:r>
      <w:r>
        <w:rPr>
          <w:kern w:val="0"/>
          <w:sz w:val="24"/>
          <w:szCs w:val="24"/>
          <w:lang w:eastAsia="lt-LT"/>
        </w:rPr>
        <w:t>iam kostiumui, vertė 622,24 Eur</w:t>
      </w:r>
      <w:r w:rsidR="001C053A">
        <w:rPr>
          <w:kern w:val="0"/>
          <w:sz w:val="24"/>
          <w:szCs w:val="24"/>
          <w:lang w:eastAsia="lt-LT"/>
        </w:rPr>
        <w:t xml:space="preserve"> (pasijonis 1 vnt., sijonas 1 vnt., vaikiški marškiniai 1 vnt., moteriški marškiniai 1 vnt., prijuostė 1 vnt., liemenės 4 vnt.)</w:t>
      </w:r>
      <w:r>
        <w:rPr>
          <w:kern w:val="0"/>
          <w:sz w:val="24"/>
          <w:szCs w:val="24"/>
          <w:lang w:eastAsia="lt-LT"/>
        </w:rPr>
        <w:t>.</w:t>
      </w:r>
    </w:p>
    <w:p w:rsidR="009B14C9" w:rsidRDefault="00290D4C" w:rsidP="001C053A">
      <w:pPr>
        <w:pStyle w:val="Standard"/>
        <w:tabs>
          <w:tab w:val="left" w:pos="1338"/>
        </w:tabs>
        <w:jc w:val="both"/>
        <w:rPr>
          <w:sz w:val="24"/>
          <w:szCs w:val="24"/>
        </w:rPr>
      </w:pPr>
      <w:r>
        <w:rPr>
          <w:kern w:val="0"/>
          <w:sz w:val="24"/>
          <w:szCs w:val="24"/>
          <w:lang w:eastAsia="lt-LT"/>
        </w:rPr>
        <w:tab/>
      </w:r>
      <w:r w:rsidR="00603900" w:rsidRPr="00603900">
        <w:rPr>
          <w:kern w:val="0"/>
          <w:sz w:val="24"/>
          <w:szCs w:val="24"/>
          <w:lang w:eastAsia="lt-LT"/>
        </w:rPr>
        <w:t>7.4. Įsigyti instrumentai 5</w:t>
      </w:r>
      <w:r>
        <w:rPr>
          <w:kern w:val="0"/>
          <w:sz w:val="24"/>
          <w:szCs w:val="24"/>
          <w:lang w:eastAsia="lt-LT"/>
        </w:rPr>
        <w:t xml:space="preserve"> </w:t>
      </w:r>
      <w:r w:rsidR="00603900" w:rsidRPr="00603900">
        <w:rPr>
          <w:kern w:val="0"/>
          <w:sz w:val="24"/>
          <w:szCs w:val="24"/>
          <w:lang w:eastAsia="lt-LT"/>
        </w:rPr>
        <w:t>vnt.</w:t>
      </w:r>
      <w:r w:rsidR="009B14C9">
        <w:rPr>
          <w:kern w:val="0"/>
          <w:sz w:val="24"/>
          <w:szCs w:val="24"/>
          <w:lang w:eastAsia="lt-LT"/>
        </w:rPr>
        <w:t xml:space="preserve"> </w:t>
      </w:r>
      <w:r w:rsidR="001C053A">
        <w:rPr>
          <w:kern w:val="0"/>
          <w:sz w:val="24"/>
          <w:szCs w:val="24"/>
          <w:lang w:eastAsia="lt-LT"/>
        </w:rPr>
        <w:t>(12-stygės kanklės 2 vn</w:t>
      </w:r>
      <w:r>
        <w:rPr>
          <w:kern w:val="0"/>
          <w:sz w:val="24"/>
          <w:szCs w:val="24"/>
          <w:lang w:eastAsia="lt-LT"/>
        </w:rPr>
        <w:t>t., molinės švilpynės 3 vnt.),</w:t>
      </w:r>
      <w:r w:rsidR="00603900" w:rsidRPr="00603900">
        <w:rPr>
          <w:kern w:val="0"/>
          <w:sz w:val="24"/>
          <w:szCs w:val="24"/>
          <w:lang w:eastAsia="lt-LT"/>
        </w:rPr>
        <w:t xml:space="preserve"> vertė 581</w:t>
      </w:r>
      <w:r w:rsidR="00BB30B9">
        <w:rPr>
          <w:kern w:val="0"/>
          <w:sz w:val="24"/>
          <w:szCs w:val="24"/>
          <w:lang w:eastAsia="lt-LT"/>
        </w:rPr>
        <w:t xml:space="preserve"> </w:t>
      </w:r>
      <w:r w:rsidR="00603900" w:rsidRPr="00603900">
        <w:rPr>
          <w:kern w:val="0"/>
          <w:sz w:val="24"/>
          <w:szCs w:val="24"/>
          <w:lang w:eastAsia="lt-LT"/>
        </w:rPr>
        <w:t>Eur.</w:t>
      </w:r>
      <w:r w:rsidR="003576D0">
        <w:rPr>
          <w:sz w:val="24"/>
          <w:szCs w:val="24"/>
        </w:rPr>
        <w:t xml:space="preserve">            </w:t>
      </w:r>
    </w:p>
    <w:p w:rsidR="00290D4C" w:rsidRDefault="00A144FC" w:rsidP="00A144FC">
      <w:pPr>
        <w:pStyle w:val="Standard"/>
        <w:tabs>
          <w:tab w:val="left" w:pos="1338"/>
        </w:tabs>
        <w:jc w:val="center"/>
        <w:rPr>
          <w:sz w:val="24"/>
          <w:szCs w:val="24"/>
        </w:rPr>
      </w:pPr>
      <w:r>
        <w:rPr>
          <w:sz w:val="24"/>
          <w:szCs w:val="24"/>
        </w:rPr>
        <w:t>________________________________</w:t>
      </w:r>
      <w:bookmarkStart w:id="0" w:name="_GoBack"/>
      <w:bookmarkEnd w:id="0"/>
    </w:p>
    <w:sectPr w:rsidR="00290D4C" w:rsidSect="000B125B">
      <w:headerReference w:type="default" r:id="rId8"/>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AA4" w:rsidRDefault="00BA6AA4" w:rsidP="00D72246">
      <w:r>
        <w:separator/>
      </w:r>
    </w:p>
  </w:endnote>
  <w:endnote w:type="continuationSeparator" w:id="0">
    <w:p w:rsidR="00BA6AA4" w:rsidRDefault="00BA6AA4" w:rsidP="00D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AA4" w:rsidRDefault="00BA6AA4" w:rsidP="00D72246">
      <w:r>
        <w:separator/>
      </w:r>
    </w:p>
  </w:footnote>
  <w:footnote w:type="continuationSeparator" w:id="0">
    <w:p w:rsidR="00BA6AA4" w:rsidRDefault="00BA6AA4" w:rsidP="00D72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246" w:rsidRDefault="00D72246">
    <w:pPr>
      <w:pStyle w:val="Header"/>
      <w:jc w:val="center"/>
    </w:pPr>
    <w:r>
      <w:fldChar w:fldCharType="begin"/>
    </w:r>
    <w:r>
      <w:instrText>PAGE   \* MERGEFORMAT</w:instrText>
    </w:r>
    <w:r>
      <w:fldChar w:fldCharType="separate"/>
    </w:r>
    <w:r w:rsidR="00A144FC">
      <w:rPr>
        <w:noProof/>
      </w:rPr>
      <w:t>4</w:t>
    </w:r>
    <w:r>
      <w:fldChar w:fldCharType="end"/>
    </w:r>
  </w:p>
  <w:p w:rsidR="00D72246" w:rsidRDefault="00D722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D0E79"/>
    <w:multiLevelType w:val="hybridMultilevel"/>
    <w:tmpl w:val="AFF86F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B54762D"/>
    <w:multiLevelType w:val="multilevel"/>
    <w:tmpl w:val="A52E7EA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2F756275"/>
    <w:multiLevelType w:val="hybridMultilevel"/>
    <w:tmpl w:val="A8147C0C"/>
    <w:lvl w:ilvl="0" w:tplc="6C9E6918">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4132DB3"/>
    <w:multiLevelType w:val="hybridMultilevel"/>
    <w:tmpl w:val="D83E6050"/>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5623505E"/>
    <w:multiLevelType w:val="hybridMultilevel"/>
    <w:tmpl w:val="EC66A8F2"/>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58C2538E"/>
    <w:multiLevelType w:val="hybridMultilevel"/>
    <w:tmpl w:val="8C787B42"/>
    <w:lvl w:ilvl="0" w:tplc="0EA8913E">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60710805"/>
    <w:multiLevelType w:val="hybridMultilevel"/>
    <w:tmpl w:val="3ECCA120"/>
    <w:lvl w:ilvl="0" w:tplc="0A9A041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6B015E64"/>
    <w:multiLevelType w:val="hybridMultilevel"/>
    <w:tmpl w:val="EE76A73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48F621B"/>
    <w:multiLevelType w:val="hybridMultilevel"/>
    <w:tmpl w:val="420C505A"/>
    <w:lvl w:ilvl="0" w:tplc="219CB988">
      <w:start w:val="2"/>
      <w:numFmt w:val="upperRoman"/>
      <w:lvlText w:val="%1."/>
      <w:lvlJc w:val="left"/>
      <w:pPr>
        <w:ind w:left="2160" w:hanging="72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nsid w:val="7BFF36A9"/>
    <w:multiLevelType w:val="hybridMultilevel"/>
    <w:tmpl w:val="47E0CC84"/>
    <w:lvl w:ilvl="0" w:tplc="25FA6F90">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5"/>
  </w:num>
  <w:num w:numId="5">
    <w:abstractNumId w:val="0"/>
  </w:num>
  <w:num w:numId="6">
    <w:abstractNumId w:val="2"/>
  </w:num>
  <w:num w:numId="7">
    <w:abstractNumId w:val="7"/>
  </w:num>
  <w:num w:numId="8">
    <w:abstractNumId w:val="12"/>
  </w:num>
  <w:num w:numId="9">
    <w:abstractNumId w:val="3"/>
  </w:num>
  <w:num w:numId="10">
    <w:abstractNumId w:val="8"/>
  </w:num>
  <w:num w:numId="11">
    <w:abstractNumId w:val="11"/>
  </w:num>
  <w:num w:numId="12">
    <w:abstractNumId w:val="4"/>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07E9"/>
    <w:rsid w:val="00003252"/>
    <w:rsid w:val="0000785C"/>
    <w:rsid w:val="00016165"/>
    <w:rsid w:val="0002142C"/>
    <w:rsid w:val="00023CA7"/>
    <w:rsid w:val="00025EE0"/>
    <w:rsid w:val="00027FD1"/>
    <w:rsid w:val="000315B4"/>
    <w:rsid w:val="00053EF9"/>
    <w:rsid w:val="0005594E"/>
    <w:rsid w:val="00061399"/>
    <w:rsid w:val="00064A14"/>
    <w:rsid w:val="000728E5"/>
    <w:rsid w:val="00075F4D"/>
    <w:rsid w:val="00082F20"/>
    <w:rsid w:val="000977DB"/>
    <w:rsid w:val="000B125B"/>
    <w:rsid w:val="000B2C98"/>
    <w:rsid w:val="000C1FD9"/>
    <w:rsid w:val="000D32FB"/>
    <w:rsid w:val="001017F2"/>
    <w:rsid w:val="00101B16"/>
    <w:rsid w:val="00102A88"/>
    <w:rsid w:val="0010354E"/>
    <w:rsid w:val="00115FD0"/>
    <w:rsid w:val="001169D2"/>
    <w:rsid w:val="00124C10"/>
    <w:rsid w:val="00125649"/>
    <w:rsid w:val="001461BF"/>
    <w:rsid w:val="001502A1"/>
    <w:rsid w:val="00152A61"/>
    <w:rsid w:val="00166F75"/>
    <w:rsid w:val="00170423"/>
    <w:rsid w:val="00175DD7"/>
    <w:rsid w:val="00182D3D"/>
    <w:rsid w:val="001A46F0"/>
    <w:rsid w:val="001B42DB"/>
    <w:rsid w:val="001C053A"/>
    <w:rsid w:val="001C0650"/>
    <w:rsid w:val="001C2EA1"/>
    <w:rsid w:val="001D64F8"/>
    <w:rsid w:val="001E096F"/>
    <w:rsid w:val="001E0C0E"/>
    <w:rsid w:val="001E7B60"/>
    <w:rsid w:val="001F2854"/>
    <w:rsid w:val="00201875"/>
    <w:rsid w:val="00204550"/>
    <w:rsid w:val="002128A3"/>
    <w:rsid w:val="00213A3A"/>
    <w:rsid w:val="00214528"/>
    <w:rsid w:val="00216DE1"/>
    <w:rsid w:val="00225542"/>
    <w:rsid w:val="0022664D"/>
    <w:rsid w:val="00226F0C"/>
    <w:rsid w:val="0024078C"/>
    <w:rsid w:val="002429F0"/>
    <w:rsid w:val="002440B2"/>
    <w:rsid w:val="002618B8"/>
    <w:rsid w:val="00265FFE"/>
    <w:rsid w:val="002873FD"/>
    <w:rsid w:val="00287508"/>
    <w:rsid w:val="00290D4C"/>
    <w:rsid w:val="00291F92"/>
    <w:rsid w:val="00294ED0"/>
    <w:rsid w:val="00295F0C"/>
    <w:rsid w:val="002B2E5F"/>
    <w:rsid w:val="002B313A"/>
    <w:rsid w:val="002B7E81"/>
    <w:rsid w:val="002C3FC0"/>
    <w:rsid w:val="002D41EA"/>
    <w:rsid w:val="002D7BA8"/>
    <w:rsid w:val="002D7E39"/>
    <w:rsid w:val="002E0C13"/>
    <w:rsid w:val="00300FE6"/>
    <w:rsid w:val="00302950"/>
    <w:rsid w:val="0030295F"/>
    <w:rsid w:val="00313D09"/>
    <w:rsid w:val="003146F2"/>
    <w:rsid w:val="00314C9D"/>
    <w:rsid w:val="003204EC"/>
    <w:rsid w:val="0033021A"/>
    <w:rsid w:val="00331BFB"/>
    <w:rsid w:val="00343BC9"/>
    <w:rsid w:val="00351F20"/>
    <w:rsid w:val="00353719"/>
    <w:rsid w:val="00357084"/>
    <w:rsid w:val="003576D0"/>
    <w:rsid w:val="00383E5B"/>
    <w:rsid w:val="003903F3"/>
    <w:rsid w:val="003A2E2F"/>
    <w:rsid w:val="003A6108"/>
    <w:rsid w:val="003A7406"/>
    <w:rsid w:val="003A7623"/>
    <w:rsid w:val="003B094E"/>
    <w:rsid w:val="003C2E0F"/>
    <w:rsid w:val="003D4D74"/>
    <w:rsid w:val="003E309A"/>
    <w:rsid w:val="003E40BF"/>
    <w:rsid w:val="003E68AD"/>
    <w:rsid w:val="003F5109"/>
    <w:rsid w:val="003F6563"/>
    <w:rsid w:val="00400783"/>
    <w:rsid w:val="0042045A"/>
    <w:rsid w:val="00432E53"/>
    <w:rsid w:val="00442954"/>
    <w:rsid w:val="00460CCD"/>
    <w:rsid w:val="0046707F"/>
    <w:rsid w:val="00467AD8"/>
    <w:rsid w:val="00476246"/>
    <w:rsid w:val="00481DE3"/>
    <w:rsid w:val="00494054"/>
    <w:rsid w:val="00495819"/>
    <w:rsid w:val="004A467B"/>
    <w:rsid w:val="004B100B"/>
    <w:rsid w:val="004C5407"/>
    <w:rsid w:val="004D500A"/>
    <w:rsid w:val="004F128E"/>
    <w:rsid w:val="0050066E"/>
    <w:rsid w:val="00500780"/>
    <w:rsid w:val="00503975"/>
    <w:rsid w:val="00515BA1"/>
    <w:rsid w:val="00517A6A"/>
    <w:rsid w:val="00521DC6"/>
    <w:rsid w:val="0052602D"/>
    <w:rsid w:val="00526E44"/>
    <w:rsid w:val="00533741"/>
    <w:rsid w:val="00536C9E"/>
    <w:rsid w:val="00540E46"/>
    <w:rsid w:val="005444D6"/>
    <w:rsid w:val="00550D5E"/>
    <w:rsid w:val="00552861"/>
    <w:rsid w:val="00574018"/>
    <w:rsid w:val="00582238"/>
    <w:rsid w:val="005822CA"/>
    <w:rsid w:val="005B0844"/>
    <w:rsid w:val="005B15E1"/>
    <w:rsid w:val="005B2998"/>
    <w:rsid w:val="005C34A1"/>
    <w:rsid w:val="005C418F"/>
    <w:rsid w:val="005C50D7"/>
    <w:rsid w:val="005D4AF5"/>
    <w:rsid w:val="005D7DE5"/>
    <w:rsid w:val="005E1B1A"/>
    <w:rsid w:val="005E3EFE"/>
    <w:rsid w:val="00603900"/>
    <w:rsid w:val="006129FF"/>
    <w:rsid w:val="00614DB8"/>
    <w:rsid w:val="006171DD"/>
    <w:rsid w:val="00621073"/>
    <w:rsid w:val="00630927"/>
    <w:rsid w:val="006410A1"/>
    <w:rsid w:val="00647C36"/>
    <w:rsid w:val="00660165"/>
    <w:rsid w:val="0066491A"/>
    <w:rsid w:val="0068368D"/>
    <w:rsid w:val="0069794B"/>
    <w:rsid w:val="006B6308"/>
    <w:rsid w:val="006B63B6"/>
    <w:rsid w:val="006B7E40"/>
    <w:rsid w:val="006C2587"/>
    <w:rsid w:val="006C4CDD"/>
    <w:rsid w:val="006D0978"/>
    <w:rsid w:val="006D1BD5"/>
    <w:rsid w:val="006D7DFC"/>
    <w:rsid w:val="006E2AD3"/>
    <w:rsid w:val="006F0F75"/>
    <w:rsid w:val="00700CF0"/>
    <w:rsid w:val="007061FB"/>
    <w:rsid w:val="00715163"/>
    <w:rsid w:val="007218CF"/>
    <w:rsid w:val="00725112"/>
    <w:rsid w:val="00741A34"/>
    <w:rsid w:val="00747C02"/>
    <w:rsid w:val="0075735C"/>
    <w:rsid w:val="00761EE3"/>
    <w:rsid w:val="00763D0C"/>
    <w:rsid w:val="00781172"/>
    <w:rsid w:val="00785B3B"/>
    <w:rsid w:val="007873CD"/>
    <w:rsid w:val="00790C07"/>
    <w:rsid w:val="007950BD"/>
    <w:rsid w:val="007A4F27"/>
    <w:rsid w:val="007B152D"/>
    <w:rsid w:val="007B16A5"/>
    <w:rsid w:val="007C54BF"/>
    <w:rsid w:val="007F08B4"/>
    <w:rsid w:val="007F1536"/>
    <w:rsid w:val="008058F6"/>
    <w:rsid w:val="008109B1"/>
    <w:rsid w:val="008151C5"/>
    <w:rsid w:val="00815F01"/>
    <w:rsid w:val="00835A05"/>
    <w:rsid w:val="008517EA"/>
    <w:rsid w:val="00851C85"/>
    <w:rsid w:val="00861D11"/>
    <w:rsid w:val="00871501"/>
    <w:rsid w:val="00873026"/>
    <w:rsid w:val="00877D4A"/>
    <w:rsid w:val="008826FD"/>
    <w:rsid w:val="008837D0"/>
    <w:rsid w:val="008907D3"/>
    <w:rsid w:val="00892FD1"/>
    <w:rsid w:val="008975A6"/>
    <w:rsid w:val="00897A80"/>
    <w:rsid w:val="008A4EED"/>
    <w:rsid w:val="008A70CC"/>
    <w:rsid w:val="008B13DF"/>
    <w:rsid w:val="008B30D0"/>
    <w:rsid w:val="008B63EF"/>
    <w:rsid w:val="008E0F44"/>
    <w:rsid w:val="008E4CBA"/>
    <w:rsid w:val="008F2D6A"/>
    <w:rsid w:val="00901A44"/>
    <w:rsid w:val="00902AEF"/>
    <w:rsid w:val="00903844"/>
    <w:rsid w:val="009119C2"/>
    <w:rsid w:val="00913B49"/>
    <w:rsid w:val="00913EC4"/>
    <w:rsid w:val="0092074D"/>
    <w:rsid w:val="00941403"/>
    <w:rsid w:val="009446FA"/>
    <w:rsid w:val="009507C5"/>
    <w:rsid w:val="00957205"/>
    <w:rsid w:val="00961194"/>
    <w:rsid w:val="009715CC"/>
    <w:rsid w:val="00974F97"/>
    <w:rsid w:val="0097549C"/>
    <w:rsid w:val="00976977"/>
    <w:rsid w:val="009939B5"/>
    <w:rsid w:val="00995E5B"/>
    <w:rsid w:val="009A2027"/>
    <w:rsid w:val="009B14C9"/>
    <w:rsid w:val="009C1171"/>
    <w:rsid w:val="009C1EF7"/>
    <w:rsid w:val="009C2B76"/>
    <w:rsid w:val="009C46C8"/>
    <w:rsid w:val="009D3E5A"/>
    <w:rsid w:val="009E1516"/>
    <w:rsid w:val="00A144FC"/>
    <w:rsid w:val="00A24FC7"/>
    <w:rsid w:val="00A26976"/>
    <w:rsid w:val="00A3316A"/>
    <w:rsid w:val="00A348FD"/>
    <w:rsid w:val="00A37049"/>
    <w:rsid w:val="00A43500"/>
    <w:rsid w:val="00A4611F"/>
    <w:rsid w:val="00A51E5E"/>
    <w:rsid w:val="00A53657"/>
    <w:rsid w:val="00A72815"/>
    <w:rsid w:val="00A85405"/>
    <w:rsid w:val="00A909D4"/>
    <w:rsid w:val="00AA45FE"/>
    <w:rsid w:val="00AA5E86"/>
    <w:rsid w:val="00AA6AA1"/>
    <w:rsid w:val="00AC13A1"/>
    <w:rsid w:val="00AD39E5"/>
    <w:rsid w:val="00AD5B65"/>
    <w:rsid w:val="00B02BF7"/>
    <w:rsid w:val="00B03589"/>
    <w:rsid w:val="00B06AB7"/>
    <w:rsid w:val="00B07CB6"/>
    <w:rsid w:val="00B135F0"/>
    <w:rsid w:val="00B1611D"/>
    <w:rsid w:val="00B33E0D"/>
    <w:rsid w:val="00B417D2"/>
    <w:rsid w:val="00B440FA"/>
    <w:rsid w:val="00B46BB0"/>
    <w:rsid w:val="00B470D5"/>
    <w:rsid w:val="00B537DA"/>
    <w:rsid w:val="00B54B01"/>
    <w:rsid w:val="00B613B7"/>
    <w:rsid w:val="00B64D3A"/>
    <w:rsid w:val="00B6603F"/>
    <w:rsid w:val="00B72A0C"/>
    <w:rsid w:val="00B75509"/>
    <w:rsid w:val="00B806A5"/>
    <w:rsid w:val="00B80C81"/>
    <w:rsid w:val="00B81DC1"/>
    <w:rsid w:val="00B8418B"/>
    <w:rsid w:val="00B86E63"/>
    <w:rsid w:val="00B96194"/>
    <w:rsid w:val="00BA2FFC"/>
    <w:rsid w:val="00BA6AA4"/>
    <w:rsid w:val="00BB30B9"/>
    <w:rsid w:val="00BC3101"/>
    <w:rsid w:val="00BC53F4"/>
    <w:rsid w:val="00C11C87"/>
    <w:rsid w:val="00C37C44"/>
    <w:rsid w:val="00C43930"/>
    <w:rsid w:val="00C44DF1"/>
    <w:rsid w:val="00C53994"/>
    <w:rsid w:val="00C64356"/>
    <w:rsid w:val="00C64DFE"/>
    <w:rsid w:val="00C65D95"/>
    <w:rsid w:val="00C6612F"/>
    <w:rsid w:val="00C721B7"/>
    <w:rsid w:val="00C804ED"/>
    <w:rsid w:val="00C8186C"/>
    <w:rsid w:val="00C8629E"/>
    <w:rsid w:val="00C92C0D"/>
    <w:rsid w:val="00C94BC3"/>
    <w:rsid w:val="00C94FF1"/>
    <w:rsid w:val="00CA42B5"/>
    <w:rsid w:val="00CA43FB"/>
    <w:rsid w:val="00CA4467"/>
    <w:rsid w:val="00CA52EE"/>
    <w:rsid w:val="00CA5DBD"/>
    <w:rsid w:val="00CB14F1"/>
    <w:rsid w:val="00CB63B4"/>
    <w:rsid w:val="00CB6D99"/>
    <w:rsid w:val="00CD742D"/>
    <w:rsid w:val="00CE18DE"/>
    <w:rsid w:val="00CE6B35"/>
    <w:rsid w:val="00CF036C"/>
    <w:rsid w:val="00CF1AD6"/>
    <w:rsid w:val="00CF4AC6"/>
    <w:rsid w:val="00CF4E44"/>
    <w:rsid w:val="00CF5896"/>
    <w:rsid w:val="00CF65B8"/>
    <w:rsid w:val="00CF680E"/>
    <w:rsid w:val="00D031C5"/>
    <w:rsid w:val="00D109DC"/>
    <w:rsid w:val="00D20F2C"/>
    <w:rsid w:val="00D2665B"/>
    <w:rsid w:val="00D27053"/>
    <w:rsid w:val="00D3411D"/>
    <w:rsid w:val="00D43ADA"/>
    <w:rsid w:val="00D514BF"/>
    <w:rsid w:val="00D6468D"/>
    <w:rsid w:val="00D65561"/>
    <w:rsid w:val="00D72246"/>
    <w:rsid w:val="00D73ACD"/>
    <w:rsid w:val="00D75865"/>
    <w:rsid w:val="00D771B0"/>
    <w:rsid w:val="00D80CFE"/>
    <w:rsid w:val="00D820B4"/>
    <w:rsid w:val="00D8320A"/>
    <w:rsid w:val="00D852CE"/>
    <w:rsid w:val="00D96F3B"/>
    <w:rsid w:val="00DA285B"/>
    <w:rsid w:val="00DA34BD"/>
    <w:rsid w:val="00DA4FAC"/>
    <w:rsid w:val="00DA738A"/>
    <w:rsid w:val="00DC132A"/>
    <w:rsid w:val="00DC15B8"/>
    <w:rsid w:val="00DD3CCD"/>
    <w:rsid w:val="00DD3D05"/>
    <w:rsid w:val="00DD5C2F"/>
    <w:rsid w:val="00DD7AAF"/>
    <w:rsid w:val="00DE017C"/>
    <w:rsid w:val="00DE01C1"/>
    <w:rsid w:val="00DE3309"/>
    <w:rsid w:val="00DF2857"/>
    <w:rsid w:val="00E014EB"/>
    <w:rsid w:val="00E03BDD"/>
    <w:rsid w:val="00E123C2"/>
    <w:rsid w:val="00E2773A"/>
    <w:rsid w:val="00E33023"/>
    <w:rsid w:val="00E37B57"/>
    <w:rsid w:val="00E4011D"/>
    <w:rsid w:val="00E44DA1"/>
    <w:rsid w:val="00E50D47"/>
    <w:rsid w:val="00E56AA0"/>
    <w:rsid w:val="00E639DD"/>
    <w:rsid w:val="00E72F89"/>
    <w:rsid w:val="00E81C80"/>
    <w:rsid w:val="00E82E5C"/>
    <w:rsid w:val="00E84A03"/>
    <w:rsid w:val="00E86A68"/>
    <w:rsid w:val="00EA0A7D"/>
    <w:rsid w:val="00EA1C1F"/>
    <w:rsid w:val="00EA2C54"/>
    <w:rsid w:val="00EA3075"/>
    <w:rsid w:val="00EA4361"/>
    <w:rsid w:val="00EA4527"/>
    <w:rsid w:val="00EA77A7"/>
    <w:rsid w:val="00EC56E3"/>
    <w:rsid w:val="00EF087E"/>
    <w:rsid w:val="00EF2393"/>
    <w:rsid w:val="00F01C36"/>
    <w:rsid w:val="00F21134"/>
    <w:rsid w:val="00F23A5B"/>
    <w:rsid w:val="00F455F7"/>
    <w:rsid w:val="00F54C69"/>
    <w:rsid w:val="00F54E7C"/>
    <w:rsid w:val="00F6711F"/>
    <w:rsid w:val="00F77483"/>
    <w:rsid w:val="00F83C12"/>
    <w:rsid w:val="00F85E0D"/>
    <w:rsid w:val="00F9125F"/>
    <w:rsid w:val="00F913AA"/>
    <w:rsid w:val="00F94567"/>
    <w:rsid w:val="00F95AFD"/>
    <w:rsid w:val="00F96E19"/>
    <w:rsid w:val="00FA5E35"/>
    <w:rsid w:val="00FA624C"/>
    <w:rsid w:val="00FC1721"/>
    <w:rsid w:val="00FC2350"/>
    <w:rsid w:val="00FC7C4E"/>
    <w:rsid w:val="00FD247F"/>
    <w:rsid w:val="00FD3B14"/>
    <w:rsid w:val="00FD5141"/>
    <w:rsid w:val="00FE3F0B"/>
    <w:rsid w:val="00FE71E9"/>
    <w:rsid w:val="00FF5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C10AB9-9268-45E8-93F4-93EFAE90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A7406"/>
    <w:pPr>
      <w:suppressAutoHyphens/>
      <w:autoSpaceDN w:val="0"/>
      <w:textAlignment w:val="baseline"/>
    </w:pPr>
    <w:rPr>
      <w:kern w:val="3"/>
      <w:lang w:eastAsia="zh-CN"/>
    </w:rPr>
  </w:style>
  <w:style w:type="paragraph" w:customStyle="1" w:styleId="CharCharCharCharCharCharCharCharCharCharCharCharDiagramaDiagramaDiagramaDiagrama">
    <w:name w:val="Char Char Char Char Char Char Char Char Char Char Char Char Diagrama Diagrama Diagrama Diagrama"/>
    <w:basedOn w:val="Normal"/>
    <w:rsid w:val="005D7DE5"/>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400783"/>
    <w:pPr>
      <w:widowControl w:val="0"/>
      <w:suppressLineNumbers/>
      <w:tabs>
        <w:tab w:val="center" w:pos="4819"/>
        <w:tab w:val="right" w:pos="9638"/>
      </w:tabs>
      <w:suppressAutoHyphens/>
      <w:spacing w:before="100" w:after="100"/>
    </w:pPr>
    <w:rPr>
      <w:rFonts w:eastAsia="SimSun" w:cs="Mangal"/>
      <w:kern w:val="1"/>
      <w:lang w:eastAsia="hi-IN" w:bidi="hi-IN"/>
    </w:rPr>
  </w:style>
  <w:style w:type="character" w:customStyle="1" w:styleId="HeaderChar">
    <w:name w:val="Header Char"/>
    <w:link w:val="Header"/>
    <w:uiPriority w:val="99"/>
    <w:rsid w:val="00400783"/>
    <w:rPr>
      <w:rFonts w:eastAsia="SimSun" w:cs="Mangal"/>
      <w:kern w:val="1"/>
      <w:sz w:val="24"/>
      <w:szCs w:val="24"/>
      <w:lang w:eastAsia="hi-IN" w:bidi="hi-IN"/>
    </w:rPr>
  </w:style>
  <w:style w:type="paragraph" w:styleId="BalloonText">
    <w:name w:val="Balloon Text"/>
    <w:basedOn w:val="Normal"/>
    <w:link w:val="BalloonTextChar"/>
    <w:rsid w:val="00F23A5B"/>
    <w:rPr>
      <w:rFonts w:ascii="Segoe UI" w:hAnsi="Segoe UI" w:cs="Segoe UI"/>
      <w:sz w:val="18"/>
      <w:szCs w:val="18"/>
    </w:rPr>
  </w:style>
  <w:style w:type="character" w:customStyle="1" w:styleId="BalloonTextChar">
    <w:name w:val="Balloon Text Char"/>
    <w:link w:val="BalloonText"/>
    <w:rsid w:val="00F23A5B"/>
    <w:rPr>
      <w:rFonts w:ascii="Segoe UI" w:hAnsi="Segoe UI" w:cs="Segoe UI"/>
      <w:sz w:val="18"/>
      <w:szCs w:val="18"/>
    </w:rPr>
  </w:style>
  <w:style w:type="character" w:customStyle="1" w:styleId="Numatytasispastraiposriftas1">
    <w:name w:val="Numatytasis pastraipos šriftas1"/>
    <w:rsid w:val="00DD7AAF"/>
  </w:style>
  <w:style w:type="paragraph" w:styleId="Footer">
    <w:name w:val="footer"/>
    <w:basedOn w:val="Normal"/>
    <w:link w:val="FooterChar"/>
    <w:rsid w:val="00D72246"/>
    <w:pPr>
      <w:tabs>
        <w:tab w:val="center" w:pos="4819"/>
        <w:tab w:val="right" w:pos="9638"/>
      </w:tabs>
    </w:pPr>
  </w:style>
  <w:style w:type="character" w:customStyle="1" w:styleId="FooterChar">
    <w:name w:val="Footer Char"/>
    <w:link w:val="Footer"/>
    <w:rsid w:val="00D72246"/>
    <w:rPr>
      <w:sz w:val="24"/>
      <w:szCs w:val="24"/>
    </w:rPr>
  </w:style>
  <w:style w:type="paragraph" w:styleId="ListParagraph">
    <w:name w:val="List Paragraph"/>
    <w:basedOn w:val="Normal"/>
    <w:uiPriority w:val="34"/>
    <w:qFormat/>
    <w:rsid w:val="00E82E5C"/>
    <w:pPr>
      <w:ind w:left="720"/>
      <w:contextualSpacing/>
    </w:pPr>
  </w:style>
  <w:style w:type="paragraph" w:styleId="NormalWeb">
    <w:name w:val="Normal (Web)"/>
    <w:basedOn w:val="Normal"/>
    <w:uiPriority w:val="99"/>
    <w:unhideWhenUsed/>
    <w:rsid w:val="00873026"/>
    <w:pPr>
      <w:spacing w:before="100" w:beforeAutospacing="1" w:after="100" w:afterAutospacing="1"/>
    </w:pPr>
  </w:style>
  <w:style w:type="paragraph" w:customStyle="1" w:styleId="Betarp1">
    <w:name w:val="Be tarpų1"/>
    <w:rsid w:val="000B125B"/>
    <w:pPr>
      <w:widowControl w:val="0"/>
      <w:suppressAutoHyphens/>
    </w:pPr>
    <w:rPr>
      <w:rFonts w:ascii="Calibri" w:eastAsia="SimSun" w:hAnsi="Calibri" w:cs="Tahoma"/>
      <w:kern w:val="2"/>
      <w:sz w:val="22"/>
      <w:szCs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59">
      <w:bodyDiv w:val="1"/>
      <w:marLeft w:val="0"/>
      <w:marRight w:val="0"/>
      <w:marTop w:val="0"/>
      <w:marBottom w:val="0"/>
      <w:divBdr>
        <w:top w:val="none" w:sz="0" w:space="0" w:color="auto"/>
        <w:left w:val="none" w:sz="0" w:space="0" w:color="auto"/>
        <w:bottom w:val="none" w:sz="0" w:space="0" w:color="auto"/>
        <w:right w:val="none" w:sz="0" w:space="0" w:color="auto"/>
      </w:divBdr>
    </w:div>
    <w:div w:id="817838891">
      <w:bodyDiv w:val="1"/>
      <w:marLeft w:val="0"/>
      <w:marRight w:val="0"/>
      <w:marTop w:val="0"/>
      <w:marBottom w:val="0"/>
      <w:divBdr>
        <w:top w:val="none" w:sz="0" w:space="0" w:color="auto"/>
        <w:left w:val="none" w:sz="0" w:space="0" w:color="auto"/>
        <w:bottom w:val="none" w:sz="0" w:space="0" w:color="auto"/>
        <w:right w:val="none" w:sz="0" w:space="0" w:color="auto"/>
      </w:divBdr>
    </w:div>
    <w:div w:id="1023554159">
      <w:bodyDiv w:val="1"/>
      <w:marLeft w:val="0"/>
      <w:marRight w:val="0"/>
      <w:marTop w:val="0"/>
      <w:marBottom w:val="0"/>
      <w:divBdr>
        <w:top w:val="none" w:sz="0" w:space="0" w:color="auto"/>
        <w:left w:val="none" w:sz="0" w:space="0" w:color="auto"/>
        <w:bottom w:val="none" w:sz="0" w:space="0" w:color="auto"/>
        <w:right w:val="none" w:sz="0" w:space="0" w:color="auto"/>
      </w:divBdr>
    </w:div>
    <w:div w:id="1794597468">
      <w:bodyDiv w:val="1"/>
      <w:marLeft w:val="0"/>
      <w:marRight w:val="0"/>
      <w:marTop w:val="0"/>
      <w:marBottom w:val="0"/>
      <w:divBdr>
        <w:top w:val="none" w:sz="0" w:space="0" w:color="auto"/>
        <w:left w:val="none" w:sz="0" w:space="0" w:color="auto"/>
        <w:bottom w:val="none" w:sz="0" w:space="0" w:color="auto"/>
        <w:right w:val="none" w:sz="0" w:space="0" w:color="auto"/>
      </w:divBdr>
    </w:div>
    <w:div w:id="19151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CD1A9-79C7-4F6D-BB49-FF6E72C4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1317</Words>
  <Characters>7510</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ĮSTAIGOS LĖŠOS</vt:lpstr>
      <vt:lpstr>ĮSTAIGOS LĖŠOS</vt:lpstr>
    </vt:vector>
  </TitlesOfParts>
  <Company>Panevėžio savivaldybės administracija</Company>
  <LinksUpToDate>false</LinksUpToDate>
  <CharactersWithSpaces>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ĮSTAIGOS LĖŠOS</dc:title>
  <dc:creator>All users</dc:creator>
  <cp:lastModifiedBy>Inesa</cp:lastModifiedBy>
  <cp:revision>7</cp:revision>
  <cp:lastPrinted>2017-12-08T10:28:00Z</cp:lastPrinted>
  <dcterms:created xsi:type="dcterms:W3CDTF">2020-04-24T07:01:00Z</dcterms:created>
  <dcterms:modified xsi:type="dcterms:W3CDTF">2020-05-28T10:55:00Z</dcterms:modified>
</cp:coreProperties>
</file>