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F2FBC" w14:textId="77777777" w:rsidR="00CC16B9" w:rsidRDefault="00CC16B9" w:rsidP="00CC16B9">
      <w:pPr>
        <w:jc w:val="center"/>
      </w:pPr>
      <w:r>
        <w:rPr>
          <w:noProof/>
          <w:lang w:eastAsia="lt-LT"/>
        </w:rPr>
        <w:drawing>
          <wp:inline distT="0" distB="0" distL="0" distR="0" wp14:anchorId="240D76F2" wp14:editId="3398DF82">
            <wp:extent cx="5429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796EBCE" w14:textId="3CD2FF21" w:rsidR="00CC16B9" w:rsidRDefault="00CC16B9" w:rsidP="00CC16B9">
      <w:pPr>
        <w:pStyle w:val="Header"/>
        <w:jc w:val="center"/>
      </w:pPr>
      <w:r>
        <w:rPr>
          <w:b/>
        </w:rPr>
        <w:tab/>
      </w:r>
    </w:p>
    <w:p w14:paraId="53E113A1" w14:textId="77777777" w:rsidR="00CC16B9" w:rsidRDefault="00CC16B9" w:rsidP="00CC16B9">
      <w:pPr>
        <w:pStyle w:val="Header"/>
        <w:jc w:val="center"/>
        <w:rPr>
          <w:b/>
          <w:sz w:val="28"/>
        </w:rPr>
      </w:pPr>
      <w:r>
        <w:rPr>
          <w:b/>
          <w:sz w:val="28"/>
        </w:rPr>
        <w:t xml:space="preserve">PANEVĖŽIO RAJONO SAVIVALDYBĖS TARYBA </w:t>
      </w:r>
    </w:p>
    <w:p w14:paraId="7CBAE080" w14:textId="77777777" w:rsidR="00CC16B9" w:rsidRPr="000B5779" w:rsidRDefault="00CC16B9" w:rsidP="00CC16B9">
      <w:pPr>
        <w:pStyle w:val="Header"/>
        <w:jc w:val="center"/>
        <w:rPr>
          <w:sz w:val="28"/>
        </w:rPr>
      </w:pPr>
    </w:p>
    <w:p w14:paraId="2843869D" w14:textId="77777777" w:rsidR="00CC16B9" w:rsidRDefault="00CC16B9" w:rsidP="00CC16B9">
      <w:pPr>
        <w:pStyle w:val="Header"/>
        <w:jc w:val="center"/>
      </w:pPr>
      <w:r>
        <w:rPr>
          <w:b/>
          <w:sz w:val="28"/>
        </w:rPr>
        <w:t>SPRENDIMAS</w:t>
      </w:r>
    </w:p>
    <w:p w14:paraId="418FEF1B" w14:textId="77777777" w:rsidR="00CC16B9" w:rsidRPr="00B10992" w:rsidRDefault="00CC16B9" w:rsidP="00CC16B9">
      <w:pPr>
        <w:pStyle w:val="Title"/>
        <w:rPr>
          <w:color w:val="000000"/>
        </w:rPr>
      </w:pPr>
      <w:r w:rsidRPr="00B10992">
        <w:rPr>
          <w:color w:val="000000"/>
        </w:rPr>
        <w:t>DĖL PANEVĖŽIO RAJONO SAVIVALDYBĖS NEFORMALIOJO VAIKŲ ŠVIETIMO TEIKĖJŲ VEIKLOS IŠORINIO VERTIN</w:t>
      </w:r>
      <w:r>
        <w:rPr>
          <w:color w:val="000000"/>
        </w:rPr>
        <w:t>IMO TVARKOS APRAŠO PATVIRTINIMO</w:t>
      </w:r>
    </w:p>
    <w:p w14:paraId="49D4AFE1" w14:textId="77777777" w:rsidR="00CC16B9" w:rsidRPr="00166743" w:rsidRDefault="00CC16B9" w:rsidP="00CC16B9">
      <w:pPr>
        <w:pStyle w:val="Title"/>
        <w:rPr>
          <w:b w:val="0"/>
          <w:color w:val="000000"/>
        </w:rPr>
      </w:pPr>
    </w:p>
    <w:p w14:paraId="75D7B000" w14:textId="77777777" w:rsidR="00CC16B9" w:rsidRDefault="00CC16B9" w:rsidP="00166743"/>
    <w:p w14:paraId="6E87DF1E" w14:textId="792138A7" w:rsidR="00CC16B9" w:rsidRDefault="00D15E5D" w:rsidP="00CC16B9">
      <w:pPr>
        <w:jc w:val="center"/>
      </w:pPr>
      <w:r>
        <w:t>2020</w:t>
      </w:r>
      <w:r w:rsidR="00F214A9">
        <w:t xml:space="preserve"> m. liepos 2 d. Nr. T-167</w:t>
      </w:r>
    </w:p>
    <w:p w14:paraId="6D876A1F" w14:textId="77777777" w:rsidR="00CC16B9" w:rsidRDefault="00CC16B9" w:rsidP="00CC16B9">
      <w:pPr>
        <w:jc w:val="center"/>
      </w:pPr>
      <w:r>
        <w:t>Panevėžys</w:t>
      </w:r>
    </w:p>
    <w:p w14:paraId="7EFF1A93" w14:textId="77777777" w:rsidR="00CC16B9" w:rsidRDefault="00CC16B9" w:rsidP="00CC16B9">
      <w:pPr>
        <w:jc w:val="center"/>
      </w:pPr>
    </w:p>
    <w:p w14:paraId="1BAB6839" w14:textId="77777777" w:rsidR="00CC16B9" w:rsidRDefault="00CC16B9" w:rsidP="00CC16B9">
      <w:pPr>
        <w:jc w:val="both"/>
      </w:pPr>
    </w:p>
    <w:p w14:paraId="19CA1F10" w14:textId="4AC74E51" w:rsidR="00CC16B9" w:rsidRPr="002E331C" w:rsidRDefault="00CC16B9" w:rsidP="00166743">
      <w:pPr>
        <w:ind w:firstLine="709"/>
        <w:jc w:val="both"/>
        <w:rPr>
          <w:lang w:eastAsia="lt-LT"/>
        </w:rPr>
      </w:pPr>
      <w:r w:rsidRPr="002E331C">
        <w:rPr>
          <w:lang w:eastAsia="lt-LT"/>
        </w:rPr>
        <w:t>Vadovaudamasi Lietuvos Respublikos vietos savivaldos įstatymo 6 straipsnio 8 punktu,</w:t>
      </w:r>
      <w:proofErr w:type="gramStart"/>
      <w:r w:rsidRPr="002E331C">
        <w:rPr>
          <w:lang w:eastAsia="lt-LT"/>
        </w:rPr>
        <w:t xml:space="preserve"> </w:t>
      </w:r>
      <w:r w:rsidR="00166743">
        <w:rPr>
          <w:lang w:eastAsia="lt-LT"/>
        </w:rPr>
        <w:t xml:space="preserve">    </w:t>
      </w:r>
      <w:proofErr w:type="gramEnd"/>
      <w:r w:rsidRPr="002E331C">
        <w:rPr>
          <w:lang w:eastAsia="lt-LT"/>
        </w:rPr>
        <w:t>18 straipsnio 1 dalimi, Lietuvos Respublikos švietimo įstatymo 37 straipsnio 6 dalimi ir Lietuvos Respublikos šv</w:t>
      </w:r>
      <w:r w:rsidR="008419E4">
        <w:rPr>
          <w:lang w:eastAsia="lt-LT"/>
        </w:rPr>
        <w:t>ietimo,</w:t>
      </w:r>
      <w:r w:rsidRPr="002E331C">
        <w:rPr>
          <w:lang w:eastAsia="lt-LT"/>
        </w:rPr>
        <w:t xml:space="preserve"> mokslo</w:t>
      </w:r>
      <w:r w:rsidR="008419E4">
        <w:rPr>
          <w:lang w:eastAsia="lt-LT"/>
        </w:rPr>
        <w:t xml:space="preserve"> ir sporto</w:t>
      </w:r>
      <w:r w:rsidRPr="002E331C">
        <w:rPr>
          <w:lang w:eastAsia="lt-LT"/>
        </w:rPr>
        <w:t xml:space="preserve"> ministro 2019 m. kovo 28 d. įsakymo Nr. V-342 „Dėl Neformaliojo vaikų švietimo ir jo teikėjų veiklos kokybės užtikrinimo metodikos </w:t>
      </w:r>
      <w:r w:rsidRPr="00B77082">
        <w:rPr>
          <w:lang w:eastAsia="lt-LT"/>
        </w:rPr>
        <w:t xml:space="preserve">patvirtinimo“ </w:t>
      </w:r>
      <w:r w:rsidR="00166743">
        <w:rPr>
          <w:lang w:eastAsia="lt-LT"/>
        </w:rPr>
        <w:t xml:space="preserve">      </w:t>
      </w:r>
      <w:r w:rsidRPr="00B77082">
        <w:rPr>
          <w:lang w:eastAsia="lt-LT"/>
        </w:rPr>
        <w:t>3 punktu, Panevėžio</w:t>
      </w:r>
      <w:r>
        <w:rPr>
          <w:lang w:eastAsia="lt-LT"/>
        </w:rPr>
        <w:t xml:space="preserve"> rajono savivaldybės taryba</w:t>
      </w:r>
      <w:r w:rsidRPr="002E331C">
        <w:rPr>
          <w:lang w:eastAsia="lt-LT"/>
        </w:rPr>
        <w:t xml:space="preserve"> n u s p r e n d ž i a:</w:t>
      </w:r>
    </w:p>
    <w:p w14:paraId="7A165FCF" w14:textId="77777777" w:rsidR="00CC16B9" w:rsidRPr="002E331C" w:rsidRDefault="00CC16B9" w:rsidP="00CC16B9">
      <w:pPr>
        <w:ind w:firstLine="709"/>
        <w:jc w:val="both"/>
        <w:rPr>
          <w:lang w:eastAsia="lt-LT"/>
        </w:rPr>
      </w:pPr>
      <w:r>
        <w:rPr>
          <w:lang w:eastAsia="lt-LT"/>
        </w:rPr>
        <w:t>1. Patvirtinti Panevėžio</w:t>
      </w:r>
      <w:r w:rsidRPr="002E331C">
        <w:rPr>
          <w:lang w:eastAsia="lt-LT"/>
        </w:rPr>
        <w:t xml:space="preserve"> rajono savivaldybės neformaliojo</w:t>
      </w:r>
      <w:r>
        <w:rPr>
          <w:lang w:eastAsia="lt-LT"/>
        </w:rPr>
        <w:t xml:space="preserve"> vaikų švietimo teikėjų</w:t>
      </w:r>
      <w:r w:rsidRPr="002E331C">
        <w:rPr>
          <w:lang w:eastAsia="lt-LT"/>
        </w:rPr>
        <w:t xml:space="preserve"> v</w:t>
      </w:r>
      <w:r>
        <w:rPr>
          <w:lang w:eastAsia="lt-LT"/>
        </w:rPr>
        <w:t>eiklos išorinio vertinimo tvarkos aprašą</w:t>
      </w:r>
      <w:r w:rsidRPr="002E331C">
        <w:rPr>
          <w:lang w:eastAsia="lt-LT"/>
        </w:rPr>
        <w:t xml:space="preserve"> (pridedama). </w:t>
      </w:r>
    </w:p>
    <w:p w14:paraId="47666E7A" w14:textId="77777777" w:rsidR="00CC16B9" w:rsidRPr="002E331C" w:rsidRDefault="00CC16B9" w:rsidP="00CC16B9">
      <w:pPr>
        <w:ind w:firstLine="709"/>
        <w:jc w:val="both"/>
        <w:rPr>
          <w:lang w:eastAsia="lt-LT"/>
        </w:rPr>
      </w:pPr>
      <w:r w:rsidRPr="002E331C">
        <w:rPr>
          <w:lang w:eastAsia="lt-LT"/>
        </w:rPr>
        <w:t>2. Prip</w:t>
      </w:r>
      <w:r>
        <w:rPr>
          <w:lang w:eastAsia="lt-LT"/>
        </w:rPr>
        <w:t>ažinti netekusiu galios Panevėžio</w:t>
      </w:r>
      <w:r w:rsidRPr="002E331C">
        <w:rPr>
          <w:lang w:eastAsia="lt-LT"/>
        </w:rPr>
        <w:t xml:space="preserve"> rajono </w:t>
      </w:r>
      <w:proofErr w:type="gramStart"/>
      <w:r w:rsidRPr="002E331C">
        <w:rPr>
          <w:lang w:eastAsia="lt-LT"/>
        </w:rPr>
        <w:t>saviva</w:t>
      </w:r>
      <w:r>
        <w:rPr>
          <w:lang w:eastAsia="lt-LT"/>
        </w:rPr>
        <w:t>ldybės tarybos</w:t>
      </w:r>
      <w:proofErr w:type="gramEnd"/>
      <w:r>
        <w:rPr>
          <w:lang w:eastAsia="lt-LT"/>
        </w:rPr>
        <w:t xml:space="preserve"> 2013 m. spalio 17 d. </w:t>
      </w:r>
      <w:r w:rsidRPr="00A1773D">
        <w:rPr>
          <w:lang w:eastAsia="lt-LT"/>
        </w:rPr>
        <w:t>sprendimą N</w:t>
      </w:r>
      <w:r>
        <w:rPr>
          <w:lang w:eastAsia="lt-LT"/>
        </w:rPr>
        <w:t>r. T-179</w:t>
      </w:r>
      <w:r w:rsidRPr="00A1773D">
        <w:rPr>
          <w:color w:val="0000FF"/>
          <w:lang w:eastAsia="lt-LT"/>
        </w:rPr>
        <w:t xml:space="preserve"> </w:t>
      </w:r>
      <w:r>
        <w:rPr>
          <w:lang w:eastAsia="lt-LT"/>
        </w:rPr>
        <w:t>„Dėl Panevėžio</w:t>
      </w:r>
      <w:r w:rsidRPr="002E331C">
        <w:rPr>
          <w:lang w:eastAsia="lt-LT"/>
        </w:rPr>
        <w:t xml:space="preserve"> rajono savivaldybės neformaliojo švietimo mokyklų veiklos i</w:t>
      </w:r>
      <w:r>
        <w:rPr>
          <w:lang w:eastAsia="lt-LT"/>
        </w:rPr>
        <w:t xml:space="preserve">šorinio vertinimo tvarkos </w:t>
      </w:r>
      <w:r w:rsidRPr="002E331C">
        <w:rPr>
          <w:lang w:eastAsia="lt-LT"/>
        </w:rPr>
        <w:t>tvirtinimo“.</w:t>
      </w:r>
    </w:p>
    <w:p w14:paraId="3FA915E9" w14:textId="77777777" w:rsidR="00CC16B9" w:rsidRDefault="00CC16B9" w:rsidP="00CC16B9">
      <w:pPr>
        <w:ind w:firstLine="709"/>
        <w:jc w:val="both"/>
        <w:rPr>
          <w:lang w:eastAsia="lt-LT"/>
        </w:rPr>
      </w:pPr>
      <w:r w:rsidRPr="002E331C">
        <w:rPr>
          <w:lang w:eastAsia="lt-LT"/>
        </w:rPr>
        <w:t>Šis sprendimas skelbiamas Teisės aktų registre.</w:t>
      </w:r>
    </w:p>
    <w:p w14:paraId="6596DB38" w14:textId="77777777" w:rsidR="006F4D8A" w:rsidRDefault="006F4D8A" w:rsidP="00CC16B9">
      <w:pPr>
        <w:ind w:firstLine="709"/>
        <w:jc w:val="both"/>
        <w:rPr>
          <w:lang w:eastAsia="lt-LT"/>
        </w:rPr>
      </w:pPr>
    </w:p>
    <w:p w14:paraId="1E1989F4" w14:textId="77777777" w:rsidR="007F2E94" w:rsidRDefault="007F2E94" w:rsidP="00CC16B9">
      <w:pPr>
        <w:ind w:firstLine="709"/>
        <w:jc w:val="both"/>
        <w:rPr>
          <w:lang w:eastAsia="lt-LT"/>
        </w:rPr>
      </w:pPr>
    </w:p>
    <w:p w14:paraId="54CE298F" w14:textId="041D3D93" w:rsidR="007F2E94" w:rsidRPr="002E331C" w:rsidRDefault="007F2E94" w:rsidP="00CC16B9">
      <w:pPr>
        <w:ind w:firstLine="709"/>
        <w:jc w:val="both"/>
        <w:rPr>
          <w:lang w:eastAsia="lt-LT"/>
        </w:rPr>
      </w:pPr>
      <w:r>
        <w:rPr>
          <w:lang w:eastAsia="lt-LT"/>
        </w:rPr>
        <w:t>Savivaldybės meras</w:t>
      </w:r>
      <w:proofErr w:type="gramStart"/>
      <w:r>
        <w:rPr>
          <w:lang w:eastAsia="lt-LT"/>
        </w:rPr>
        <w:t xml:space="preserve">                                                                                    </w:t>
      </w:r>
      <w:proofErr w:type="gramEnd"/>
      <w:r>
        <w:rPr>
          <w:lang w:eastAsia="lt-LT"/>
        </w:rPr>
        <w:t xml:space="preserve">Povilas </w:t>
      </w:r>
      <w:proofErr w:type="spellStart"/>
      <w:r>
        <w:rPr>
          <w:lang w:eastAsia="lt-LT"/>
        </w:rPr>
        <w:t>Žagunis</w:t>
      </w:r>
      <w:proofErr w:type="spellEnd"/>
    </w:p>
    <w:p w14:paraId="54BA7272" w14:textId="77777777" w:rsidR="00CC16B9" w:rsidRDefault="00CC16B9" w:rsidP="00CC16B9">
      <w:pPr>
        <w:jc w:val="both"/>
      </w:pPr>
    </w:p>
    <w:p w14:paraId="0FC56159" w14:textId="77777777" w:rsidR="00CC16B9" w:rsidRDefault="00CC16B9" w:rsidP="00CC16B9">
      <w:pPr>
        <w:jc w:val="both"/>
      </w:pPr>
    </w:p>
    <w:p w14:paraId="22345652" w14:textId="77777777" w:rsidR="00CC16B9" w:rsidRDefault="00CC16B9" w:rsidP="00CC16B9">
      <w:pPr>
        <w:ind w:firstLine="705"/>
        <w:jc w:val="both"/>
      </w:pPr>
    </w:p>
    <w:p w14:paraId="4CE04A1A" w14:textId="77777777" w:rsidR="00CC16B9" w:rsidRDefault="00CC16B9" w:rsidP="00CC16B9">
      <w:pPr>
        <w:ind w:firstLine="705"/>
        <w:jc w:val="both"/>
      </w:pPr>
    </w:p>
    <w:p w14:paraId="538797C4" w14:textId="77777777" w:rsidR="00CC16B9" w:rsidRDefault="00CC16B9" w:rsidP="00CC16B9">
      <w:pPr>
        <w:ind w:firstLine="705"/>
        <w:jc w:val="both"/>
      </w:pPr>
    </w:p>
    <w:p w14:paraId="13D62F9E" w14:textId="77777777" w:rsidR="00CC16B9" w:rsidRDefault="00CC16B9" w:rsidP="00CC16B9">
      <w:pPr>
        <w:ind w:firstLine="705"/>
        <w:jc w:val="both"/>
      </w:pPr>
    </w:p>
    <w:p w14:paraId="1AED8C14" w14:textId="77777777" w:rsidR="00CC16B9" w:rsidRDefault="00CC16B9" w:rsidP="00CC16B9">
      <w:pPr>
        <w:ind w:firstLine="705"/>
        <w:jc w:val="both"/>
      </w:pPr>
    </w:p>
    <w:p w14:paraId="2623A047" w14:textId="77777777" w:rsidR="00CC16B9" w:rsidRDefault="00CC16B9" w:rsidP="00CC16B9">
      <w:pPr>
        <w:ind w:firstLine="705"/>
        <w:jc w:val="both"/>
      </w:pPr>
    </w:p>
    <w:p w14:paraId="3FC8826F" w14:textId="77777777" w:rsidR="00CC16B9" w:rsidRDefault="00CC16B9" w:rsidP="00CC16B9">
      <w:pPr>
        <w:ind w:firstLine="705"/>
        <w:jc w:val="both"/>
      </w:pPr>
    </w:p>
    <w:p w14:paraId="0A40B079" w14:textId="77777777" w:rsidR="00CC16B9" w:rsidRDefault="00CC16B9" w:rsidP="00CC16B9">
      <w:pPr>
        <w:ind w:firstLine="705"/>
        <w:jc w:val="both"/>
      </w:pPr>
    </w:p>
    <w:p w14:paraId="6EBEC4C2" w14:textId="77777777" w:rsidR="00CC16B9" w:rsidRDefault="00CC16B9" w:rsidP="00CC16B9">
      <w:pPr>
        <w:jc w:val="both"/>
      </w:pPr>
    </w:p>
    <w:p w14:paraId="278F2629" w14:textId="77777777" w:rsidR="00CC16B9" w:rsidRDefault="00CC16B9" w:rsidP="00CC16B9">
      <w:pPr>
        <w:jc w:val="both"/>
      </w:pPr>
    </w:p>
    <w:p w14:paraId="39B7CB16" w14:textId="77777777" w:rsidR="00CC16B9" w:rsidRDefault="00CC16B9" w:rsidP="00CC16B9">
      <w:pPr>
        <w:jc w:val="both"/>
      </w:pPr>
    </w:p>
    <w:p w14:paraId="5AF6DCD0" w14:textId="77777777" w:rsidR="00CC16B9" w:rsidRDefault="00CC16B9" w:rsidP="00CC16B9">
      <w:pPr>
        <w:jc w:val="both"/>
      </w:pPr>
    </w:p>
    <w:p w14:paraId="4B81FEE3" w14:textId="77777777" w:rsidR="00CC16B9" w:rsidRDefault="00CC16B9" w:rsidP="00CC16B9">
      <w:pPr>
        <w:jc w:val="both"/>
      </w:pPr>
    </w:p>
    <w:p w14:paraId="551C36CF" w14:textId="77777777" w:rsidR="00CC16B9" w:rsidRDefault="00CC16B9" w:rsidP="00CC16B9">
      <w:pPr>
        <w:jc w:val="both"/>
      </w:pPr>
    </w:p>
    <w:p w14:paraId="366F9611" w14:textId="77777777" w:rsidR="00CC16B9" w:rsidRDefault="00CC16B9" w:rsidP="00CC16B9"/>
    <w:p w14:paraId="71DCCF1B" w14:textId="77777777" w:rsidR="00CC16B9" w:rsidRDefault="00CC16B9" w:rsidP="00CC16B9"/>
    <w:p w14:paraId="3F024335" w14:textId="77777777" w:rsidR="00CC16B9" w:rsidRDefault="00CC16B9" w:rsidP="00CC16B9"/>
    <w:p w14:paraId="54D92098" w14:textId="77777777" w:rsidR="00CC16B9" w:rsidRDefault="00CC16B9" w:rsidP="00CC16B9"/>
    <w:p w14:paraId="28C446FB" w14:textId="77777777" w:rsidR="00CC16B9" w:rsidRDefault="00CC16B9" w:rsidP="00CC16B9"/>
    <w:p w14:paraId="5B144EFE" w14:textId="77777777" w:rsidR="00166743" w:rsidRDefault="00166743" w:rsidP="00CC16B9"/>
    <w:p w14:paraId="265ADC36" w14:textId="722FD63E" w:rsidR="0031458E" w:rsidRDefault="00BF467F" w:rsidP="0031458E">
      <w:pPr>
        <w:ind w:left="5184"/>
        <w:rPr>
          <w:szCs w:val="24"/>
        </w:rPr>
      </w:pPr>
      <w:r>
        <w:rPr>
          <w:szCs w:val="24"/>
          <w:lang w:eastAsia="lt-LT"/>
        </w:rPr>
        <w:lastRenderedPageBreak/>
        <w:t xml:space="preserve">     </w:t>
      </w:r>
      <w:r w:rsidR="0031458E">
        <w:rPr>
          <w:szCs w:val="24"/>
        </w:rPr>
        <w:t>PATVIRTINTA</w:t>
      </w:r>
      <w:proofErr w:type="gramStart"/>
      <w:r w:rsidR="0031458E">
        <w:rPr>
          <w:szCs w:val="24"/>
        </w:rPr>
        <w:t xml:space="preserve">      </w:t>
      </w:r>
      <w:bookmarkStart w:id="0" w:name="_Hlk42073804"/>
      <w:proofErr w:type="gramEnd"/>
    </w:p>
    <w:p w14:paraId="06BEC9FB" w14:textId="77777777" w:rsidR="0031458E" w:rsidRDefault="0031458E" w:rsidP="0031458E">
      <w:pPr>
        <w:ind w:left="3888" w:firstLine="1296"/>
        <w:rPr>
          <w:szCs w:val="24"/>
        </w:rPr>
      </w:pPr>
      <w:r>
        <w:rPr>
          <w:szCs w:val="24"/>
        </w:rPr>
        <w:t xml:space="preserve">     Panevėžio </w:t>
      </w:r>
      <w:r w:rsidRPr="005270C2">
        <w:rPr>
          <w:szCs w:val="24"/>
        </w:rPr>
        <w:t xml:space="preserve">rajono </w:t>
      </w:r>
      <w:proofErr w:type="gramStart"/>
      <w:r w:rsidRPr="005270C2">
        <w:rPr>
          <w:szCs w:val="24"/>
        </w:rPr>
        <w:t>savivaldybės</w:t>
      </w:r>
      <w:r>
        <w:rPr>
          <w:szCs w:val="24"/>
        </w:rPr>
        <w:t xml:space="preserve"> tarybos</w:t>
      </w:r>
      <w:proofErr w:type="gramEnd"/>
    </w:p>
    <w:p w14:paraId="605744CC" w14:textId="3C764830" w:rsidR="0031458E" w:rsidRDefault="0031458E" w:rsidP="0031458E">
      <w:pPr>
        <w:ind w:left="3888" w:firstLine="1296"/>
        <w:rPr>
          <w:szCs w:val="24"/>
        </w:rPr>
      </w:pPr>
      <w:r>
        <w:rPr>
          <w:szCs w:val="24"/>
        </w:rPr>
        <w:t xml:space="preserve">     2020 m. liepos 2 d. sprendimu Nr. T-</w:t>
      </w:r>
      <w:r w:rsidR="00177CA2">
        <w:rPr>
          <w:szCs w:val="24"/>
        </w:rPr>
        <w:t>167</w:t>
      </w:r>
      <w:bookmarkStart w:id="1" w:name="_GoBack"/>
      <w:bookmarkEnd w:id="1"/>
      <w:r>
        <w:rPr>
          <w:szCs w:val="24"/>
        </w:rPr>
        <w:t xml:space="preserve">              </w:t>
      </w:r>
    </w:p>
    <w:p w14:paraId="0EF7432B" w14:textId="77777777" w:rsidR="0031458E" w:rsidRDefault="0031458E" w:rsidP="0031458E">
      <w:pPr>
        <w:rPr>
          <w:szCs w:val="24"/>
        </w:rPr>
      </w:pPr>
    </w:p>
    <w:p w14:paraId="3ED8822B" w14:textId="77777777" w:rsidR="0031458E" w:rsidRPr="005270C2" w:rsidRDefault="0031458E" w:rsidP="0031458E">
      <w:pPr>
        <w:rPr>
          <w:szCs w:val="24"/>
        </w:rPr>
      </w:pPr>
    </w:p>
    <w:p w14:paraId="13067248" w14:textId="0D7A6018" w:rsidR="0031458E" w:rsidRPr="00580228" w:rsidRDefault="0031458E" w:rsidP="0031458E">
      <w:pPr>
        <w:jc w:val="center"/>
        <w:rPr>
          <w:b/>
          <w:bCs/>
          <w:szCs w:val="24"/>
        </w:rPr>
      </w:pPr>
      <w:r>
        <w:rPr>
          <w:b/>
          <w:bCs/>
          <w:color w:val="000000" w:themeColor="text1"/>
          <w:szCs w:val="24"/>
        </w:rPr>
        <w:t xml:space="preserve">PANEVĖŽIO </w:t>
      </w:r>
      <w:r w:rsidRPr="005270C2">
        <w:rPr>
          <w:b/>
          <w:bCs/>
          <w:color w:val="000000" w:themeColor="text1"/>
          <w:szCs w:val="24"/>
        </w:rPr>
        <w:t xml:space="preserve">RAJONO SAVIVALDYBĖS NEFORMALIOJO VAIKŲ </w:t>
      </w:r>
      <w:r w:rsidRPr="00580228">
        <w:rPr>
          <w:b/>
          <w:bCs/>
          <w:szCs w:val="24"/>
        </w:rPr>
        <w:t>ŠVIETIMO TEI</w:t>
      </w:r>
      <w:r w:rsidR="00BE4260">
        <w:rPr>
          <w:b/>
          <w:bCs/>
          <w:szCs w:val="24"/>
        </w:rPr>
        <w:t>KĖJŲ VEIKLOS IŠORINIO VERTINIMO</w:t>
      </w:r>
      <w:r w:rsidRPr="00580228">
        <w:rPr>
          <w:b/>
          <w:bCs/>
          <w:szCs w:val="24"/>
        </w:rPr>
        <w:t xml:space="preserve"> TVARKOS APRAŠAS</w:t>
      </w:r>
    </w:p>
    <w:p w14:paraId="795AF2A5" w14:textId="77777777" w:rsidR="0031458E" w:rsidRPr="005270C2" w:rsidRDefault="0031458E" w:rsidP="0031458E">
      <w:pPr>
        <w:jc w:val="center"/>
        <w:rPr>
          <w:b/>
          <w:bCs/>
          <w:color w:val="000000" w:themeColor="text1"/>
          <w:szCs w:val="24"/>
        </w:rPr>
      </w:pPr>
    </w:p>
    <w:p w14:paraId="311B9084" w14:textId="77777777" w:rsidR="0031458E" w:rsidRPr="005270C2" w:rsidRDefault="0031458E" w:rsidP="0031458E">
      <w:pPr>
        <w:jc w:val="center"/>
        <w:rPr>
          <w:b/>
          <w:bCs/>
          <w:color w:val="000000" w:themeColor="text1"/>
          <w:szCs w:val="24"/>
        </w:rPr>
      </w:pPr>
      <w:r w:rsidRPr="005270C2">
        <w:rPr>
          <w:b/>
          <w:bCs/>
          <w:color w:val="000000" w:themeColor="text1"/>
          <w:szCs w:val="24"/>
        </w:rPr>
        <w:t>I SKYRIUS</w:t>
      </w:r>
    </w:p>
    <w:p w14:paraId="0983D313" w14:textId="77777777" w:rsidR="0031458E" w:rsidRPr="005270C2" w:rsidRDefault="0031458E" w:rsidP="0031458E">
      <w:pPr>
        <w:jc w:val="center"/>
        <w:rPr>
          <w:b/>
          <w:bCs/>
          <w:color w:val="000000" w:themeColor="text1"/>
          <w:szCs w:val="24"/>
        </w:rPr>
      </w:pPr>
      <w:r w:rsidRPr="005270C2">
        <w:rPr>
          <w:b/>
          <w:bCs/>
          <w:color w:val="000000" w:themeColor="text1"/>
          <w:szCs w:val="24"/>
        </w:rPr>
        <w:t>BENDROSIOS NUOSTATOS</w:t>
      </w:r>
    </w:p>
    <w:p w14:paraId="21453F72" w14:textId="77777777" w:rsidR="0031458E" w:rsidRPr="005270C2" w:rsidRDefault="0031458E" w:rsidP="0031458E">
      <w:pPr>
        <w:rPr>
          <w:szCs w:val="24"/>
        </w:rPr>
      </w:pPr>
    </w:p>
    <w:p w14:paraId="13AE2060" w14:textId="77777777" w:rsidR="00166743" w:rsidRDefault="0031458E" w:rsidP="00166743">
      <w:pPr>
        <w:ind w:firstLine="720"/>
        <w:jc w:val="both"/>
        <w:rPr>
          <w:szCs w:val="24"/>
        </w:rPr>
      </w:pPr>
      <w:r w:rsidRPr="005270C2">
        <w:rPr>
          <w:szCs w:val="24"/>
        </w:rPr>
        <w:t xml:space="preserve">1. </w:t>
      </w:r>
      <w:r>
        <w:rPr>
          <w:szCs w:val="24"/>
        </w:rPr>
        <w:t>Panevėžio</w:t>
      </w:r>
      <w:r w:rsidRPr="00086184">
        <w:rPr>
          <w:szCs w:val="24"/>
        </w:rPr>
        <w:t xml:space="preserve"> rajono savivaldybės</w:t>
      </w:r>
      <w:r>
        <w:rPr>
          <w:szCs w:val="24"/>
        </w:rPr>
        <w:t xml:space="preserve"> (toliau –Savivaldybė)</w:t>
      </w:r>
      <w:r w:rsidRPr="00086184">
        <w:rPr>
          <w:szCs w:val="24"/>
        </w:rPr>
        <w:t xml:space="preserve"> n</w:t>
      </w:r>
      <w:r w:rsidR="00580228">
        <w:rPr>
          <w:szCs w:val="24"/>
        </w:rPr>
        <w:t>eformaliojo vaikų švietimo</w:t>
      </w:r>
      <w:r w:rsidRPr="00086184">
        <w:rPr>
          <w:szCs w:val="24"/>
        </w:rPr>
        <w:t xml:space="preserve"> teikėjų </w:t>
      </w:r>
      <w:r>
        <w:rPr>
          <w:szCs w:val="24"/>
        </w:rPr>
        <w:t xml:space="preserve">veiklos </w:t>
      </w:r>
      <w:r w:rsidR="00CD3264">
        <w:rPr>
          <w:szCs w:val="24"/>
        </w:rPr>
        <w:t>išorinio vertinimo</w:t>
      </w:r>
      <w:r w:rsidRPr="00086184">
        <w:rPr>
          <w:szCs w:val="24"/>
        </w:rPr>
        <w:t xml:space="preserve"> tvarkos aprašo (toliau – Tvarkos aprašas) paskirtis – nustatyti neformaliojo vaikų švietimo ir formalųjį švietimą papildančio ugdymo mokyklų ir kitų neformaliojo vaikų švietimo teikėjų (įstaigų, įmonių, laisvųjų mokytojų, organizacijų ar jų padalinių) (toliau – NVŠ teikėjai) veiklos įsivertinimo ir </w:t>
      </w:r>
      <w:r>
        <w:rPr>
          <w:szCs w:val="24"/>
        </w:rPr>
        <w:t>išorinio vertinimo organizavimą ir vykdymą, veiklos vertinimo sampratą, metodiką.</w:t>
      </w:r>
    </w:p>
    <w:p w14:paraId="20C0196F" w14:textId="6776D5C7" w:rsidR="0031458E" w:rsidRPr="00086184" w:rsidRDefault="0031458E" w:rsidP="00166743">
      <w:pPr>
        <w:ind w:firstLine="720"/>
        <w:jc w:val="both"/>
        <w:rPr>
          <w:szCs w:val="24"/>
        </w:rPr>
      </w:pPr>
      <w:r w:rsidRPr="00086184">
        <w:rPr>
          <w:szCs w:val="24"/>
        </w:rPr>
        <w:t xml:space="preserve">2. Tvarkos </w:t>
      </w:r>
      <w:r w:rsidR="00166743">
        <w:rPr>
          <w:szCs w:val="24"/>
        </w:rPr>
        <w:t>aprašas apima šiuos NVŠ</w:t>
      </w:r>
      <w:r w:rsidRPr="00086184">
        <w:rPr>
          <w:szCs w:val="24"/>
        </w:rPr>
        <w:t xml:space="preserve"> kok</w:t>
      </w:r>
      <w:r>
        <w:rPr>
          <w:szCs w:val="24"/>
        </w:rPr>
        <w:t>ybės užtikrinimo elementus:</w:t>
      </w:r>
      <w:r w:rsidRPr="00086184">
        <w:rPr>
          <w:szCs w:val="24"/>
        </w:rPr>
        <w:t xml:space="preserve"> veiklos įsivertinimą ir</w:t>
      </w:r>
      <w:r w:rsidR="00107B90">
        <w:rPr>
          <w:szCs w:val="24"/>
        </w:rPr>
        <w:t xml:space="preserve"> išorinį vertinimą.</w:t>
      </w:r>
    </w:p>
    <w:p w14:paraId="049C7525" w14:textId="77777777" w:rsidR="0031458E" w:rsidRPr="00166743" w:rsidRDefault="0031458E" w:rsidP="0031458E">
      <w:pPr>
        <w:ind w:firstLine="720"/>
        <w:jc w:val="both"/>
        <w:rPr>
          <w:szCs w:val="24"/>
        </w:rPr>
      </w:pPr>
      <w:r w:rsidRPr="00086184">
        <w:rPr>
          <w:szCs w:val="24"/>
        </w:rPr>
        <w:t>3. Šiame Tvarkos apraše apibrėžtos nuostatos privalomo</w:t>
      </w:r>
      <w:r>
        <w:rPr>
          <w:szCs w:val="24"/>
        </w:rPr>
        <w:t xml:space="preserve">s </w:t>
      </w:r>
      <w:r w:rsidRPr="00166743">
        <w:rPr>
          <w:szCs w:val="24"/>
        </w:rPr>
        <w:t xml:space="preserve">formalųjį švietimą papildančio ugdymo mokyklai. Kiti NVŠ teikėjai išoriniame vertinime gali dalyvauti jiems patiems pageidaujant. </w:t>
      </w:r>
    </w:p>
    <w:p w14:paraId="0146BA4D" w14:textId="77777777" w:rsidR="0031458E" w:rsidRPr="00086184" w:rsidRDefault="0031458E" w:rsidP="0031458E">
      <w:pPr>
        <w:jc w:val="center"/>
        <w:rPr>
          <w:b/>
          <w:bCs/>
          <w:color w:val="000000" w:themeColor="text1"/>
          <w:szCs w:val="24"/>
        </w:rPr>
      </w:pPr>
      <w:r>
        <w:rPr>
          <w:b/>
          <w:bCs/>
          <w:color w:val="000000" w:themeColor="text1"/>
          <w:szCs w:val="24"/>
        </w:rPr>
        <w:t>II</w:t>
      </w:r>
      <w:r w:rsidRPr="00086184">
        <w:rPr>
          <w:b/>
          <w:bCs/>
          <w:color w:val="000000" w:themeColor="text1"/>
          <w:szCs w:val="24"/>
        </w:rPr>
        <w:t xml:space="preserve"> SKYRIUS</w:t>
      </w:r>
    </w:p>
    <w:p w14:paraId="1165D5BF" w14:textId="77777777" w:rsidR="0031458E" w:rsidRPr="00086184" w:rsidRDefault="0031458E" w:rsidP="0031458E">
      <w:pPr>
        <w:jc w:val="center"/>
        <w:rPr>
          <w:b/>
          <w:bCs/>
          <w:color w:val="000000" w:themeColor="text1"/>
          <w:szCs w:val="24"/>
        </w:rPr>
      </w:pPr>
      <w:r w:rsidRPr="00086184">
        <w:rPr>
          <w:b/>
          <w:bCs/>
          <w:color w:val="000000" w:themeColor="text1"/>
          <w:szCs w:val="24"/>
        </w:rPr>
        <w:t>NVŠ TEIKĖJŲ VEIKLOS ĮSIVERTINIMAS IR IŠORINIS VERTINIMAS</w:t>
      </w:r>
    </w:p>
    <w:p w14:paraId="0AC5B597" w14:textId="77777777" w:rsidR="0031458E" w:rsidRPr="00166743" w:rsidRDefault="0031458E" w:rsidP="0031458E">
      <w:pPr>
        <w:jc w:val="center"/>
        <w:rPr>
          <w:bCs/>
          <w:color w:val="000000" w:themeColor="text1"/>
          <w:szCs w:val="24"/>
        </w:rPr>
      </w:pPr>
    </w:p>
    <w:p w14:paraId="5DD41F7C" w14:textId="77777777" w:rsidR="0031458E" w:rsidRPr="00086184" w:rsidRDefault="0031458E" w:rsidP="0031458E">
      <w:pPr>
        <w:ind w:firstLine="720"/>
        <w:jc w:val="both"/>
        <w:rPr>
          <w:szCs w:val="24"/>
        </w:rPr>
      </w:pPr>
      <w:r>
        <w:rPr>
          <w:szCs w:val="24"/>
        </w:rPr>
        <w:t>4</w:t>
      </w:r>
      <w:r w:rsidRPr="00086184">
        <w:rPr>
          <w:szCs w:val="24"/>
        </w:rPr>
        <w:t xml:space="preserve">. Įsivertinimas ir išorinis vertinimas vykdomas šiose srityse: </w:t>
      </w:r>
    </w:p>
    <w:p w14:paraId="2DC8AE07" w14:textId="77777777" w:rsidR="0031458E" w:rsidRPr="00086184" w:rsidRDefault="0031458E" w:rsidP="0031458E">
      <w:pPr>
        <w:ind w:firstLine="720"/>
        <w:jc w:val="both"/>
        <w:rPr>
          <w:szCs w:val="24"/>
        </w:rPr>
      </w:pPr>
      <w:r>
        <w:rPr>
          <w:szCs w:val="24"/>
        </w:rPr>
        <w:t>4</w:t>
      </w:r>
      <w:r w:rsidRPr="00086184">
        <w:rPr>
          <w:szCs w:val="24"/>
        </w:rPr>
        <w:t>.1. ugdymo pasiekimai ir pažanga;</w:t>
      </w:r>
    </w:p>
    <w:p w14:paraId="06C919D7" w14:textId="77777777" w:rsidR="0031458E" w:rsidRPr="00086184" w:rsidRDefault="0031458E" w:rsidP="0031458E">
      <w:pPr>
        <w:ind w:firstLine="720"/>
        <w:jc w:val="both"/>
        <w:rPr>
          <w:szCs w:val="24"/>
        </w:rPr>
      </w:pPr>
      <w:r>
        <w:rPr>
          <w:szCs w:val="24"/>
        </w:rPr>
        <w:t>4</w:t>
      </w:r>
      <w:r w:rsidRPr="00086184">
        <w:rPr>
          <w:szCs w:val="24"/>
        </w:rPr>
        <w:t>.2. ugdymo organizavimas;</w:t>
      </w:r>
    </w:p>
    <w:p w14:paraId="6BF0F1AB" w14:textId="77777777" w:rsidR="0031458E" w:rsidRPr="00086184" w:rsidRDefault="0031458E" w:rsidP="0031458E">
      <w:pPr>
        <w:ind w:firstLine="720"/>
        <w:jc w:val="both"/>
        <w:rPr>
          <w:szCs w:val="24"/>
        </w:rPr>
      </w:pPr>
      <w:r>
        <w:rPr>
          <w:szCs w:val="24"/>
        </w:rPr>
        <w:t>4</w:t>
      </w:r>
      <w:r w:rsidRPr="00086184">
        <w:rPr>
          <w:szCs w:val="24"/>
        </w:rPr>
        <w:t>.3. ugdymo aplinka;</w:t>
      </w:r>
    </w:p>
    <w:p w14:paraId="15741F8A" w14:textId="77777777" w:rsidR="0031458E" w:rsidRPr="00086184" w:rsidRDefault="0031458E" w:rsidP="0031458E">
      <w:pPr>
        <w:ind w:firstLine="720"/>
        <w:jc w:val="both"/>
        <w:rPr>
          <w:szCs w:val="24"/>
        </w:rPr>
      </w:pPr>
      <w:r>
        <w:rPr>
          <w:szCs w:val="24"/>
        </w:rPr>
        <w:t>4</w:t>
      </w:r>
      <w:r w:rsidRPr="00086184">
        <w:rPr>
          <w:szCs w:val="24"/>
        </w:rPr>
        <w:t xml:space="preserve">.4. lyderystė ir vadyba. </w:t>
      </w:r>
    </w:p>
    <w:p w14:paraId="22EAB2B2" w14:textId="353D12DA" w:rsidR="0031458E" w:rsidRPr="00086184" w:rsidRDefault="0031458E" w:rsidP="0031458E">
      <w:pPr>
        <w:ind w:firstLine="720"/>
        <w:jc w:val="both"/>
        <w:rPr>
          <w:szCs w:val="24"/>
        </w:rPr>
      </w:pPr>
      <w:r>
        <w:rPr>
          <w:szCs w:val="24"/>
        </w:rPr>
        <w:t>5. Tvarkos aprašo 4</w:t>
      </w:r>
      <w:r w:rsidRPr="00086184">
        <w:rPr>
          <w:szCs w:val="24"/>
        </w:rPr>
        <w:t xml:space="preserve"> punkte nur</w:t>
      </w:r>
      <w:r w:rsidR="008509A9">
        <w:rPr>
          <w:szCs w:val="24"/>
        </w:rPr>
        <w:t>odytos sritys vertinamos pagal</w:t>
      </w:r>
      <w:r w:rsidR="007462CC">
        <w:rPr>
          <w:szCs w:val="24"/>
        </w:rPr>
        <w:t xml:space="preserve"> NVŠ</w:t>
      </w:r>
      <w:r w:rsidRPr="00086184">
        <w:rPr>
          <w:szCs w:val="24"/>
        </w:rPr>
        <w:t xml:space="preserve"> kokybės rodiklių įsivertinimo ir išo</w:t>
      </w:r>
      <w:r w:rsidR="008509A9">
        <w:rPr>
          <w:szCs w:val="24"/>
        </w:rPr>
        <w:t>rinio vertinimo rezultatų</w:t>
      </w:r>
      <w:r w:rsidR="007462CC">
        <w:rPr>
          <w:szCs w:val="24"/>
        </w:rPr>
        <w:t xml:space="preserve"> pildymo</w:t>
      </w:r>
      <w:r w:rsidR="008509A9">
        <w:rPr>
          <w:szCs w:val="24"/>
        </w:rPr>
        <w:t xml:space="preserve"> formą (1 priedas).</w:t>
      </w:r>
      <w:r w:rsidRPr="00086184">
        <w:rPr>
          <w:szCs w:val="24"/>
        </w:rPr>
        <w:t xml:space="preserve"> </w:t>
      </w:r>
    </w:p>
    <w:p w14:paraId="20D62E08" w14:textId="3AA01178" w:rsidR="0031458E" w:rsidRPr="00086184" w:rsidRDefault="0031458E" w:rsidP="0031458E">
      <w:pPr>
        <w:ind w:firstLine="720"/>
        <w:jc w:val="both"/>
        <w:rPr>
          <w:szCs w:val="24"/>
        </w:rPr>
      </w:pPr>
      <w:r>
        <w:rPr>
          <w:szCs w:val="24"/>
        </w:rPr>
        <w:t>6</w:t>
      </w:r>
      <w:r w:rsidRPr="00086184">
        <w:rPr>
          <w:szCs w:val="24"/>
        </w:rPr>
        <w:t>. NVŠ teikėjai veiklos įsivertinimą atlieka kiekvienais metais iki rugs</w:t>
      </w:r>
      <w:r w:rsidR="00166743">
        <w:rPr>
          <w:szCs w:val="24"/>
        </w:rPr>
        <w:t xml:space="preserve">ėjo 30 d. </w:t>
      </w:r>
    </w:p>
    <w:p w14:paraId="53B0BACD" w14:textId="72096C83" w:rsidR="0031458E" w:rsidRPr="00086184" w:rsidRDefault="0031458E" w:rsidP="0031458E">
      <w:pPr>
        <w:ind w:firstLine="720"/>
        <w:jc w:val="both"/>
        <w:rPr>
          <w:szCs w:val="24"/>
        </w:rPr>
      </w:pPr>
      <w:r>
        <w:rPr>
          <w:szCs w:val="24"/>
        </w:rPr>
        <w:t>7</w:t>
      </w:r>
      <w:r w:rsidRPr="00086184">
        <w:rPr>
          <w:szCs w:val="24"/>
        </w:rPr>
        <w:t xml:space="preserve">. </w:t>
      </w:r>
      <w:r w:rsidR="00166743">
        <w:rPr>
          <w:szCs w:val="24"/>
        </w:rPr>
        <w:t xml:space="preserve">NVŠ </w:t>
      </w:r>
      <w:r w:rsidRPr="00086184">
        <w:rPr>
          <w:szCs w:val="24"/>
        </w:rPr>
        <w:t xml:space="preserve">teikėjų </w:t>
      </w:r>
      <w:r w:rsidR="00166743">
        <w:rPr>
          <w:szCs w:val="24"/>
        </w:rPr>
        <w:t>i</w:t>
      </w:r>
      <w:r w:rsidR="00166743" w:rsidRPr="00086184">
        <w:rPr>
          <w:szCs w:val="24"/>
        </w:rPr>
        <w:t xml:space="preserve">šorinis </w:t>
      </w:r>
      <w:r w:rsidR="00166743">
        <w:rPr>
          <w:szCs w:val="24"/>
        </w:rPr>
        <w:t>vertinimas</w:t>
      </w:r>
      <w:r w:rsidRPr="00086184">
        <w:rPr>
          <w:szCs w:val="24"/>
        </w:rPr>
        <w:t xml:space="preserve"> vykdomas po </w:t>
      </w:r>
      <w:r w:rsidR="00166743">
        <w:rPr>
          <w:szCs w:val="24"/>
        </w:rPr>
        <w:t xml:space="preserve">NVŠ </w:t>
      </w:r>
      <w:r w:rsidRPr="00086184">
        <w:rPr>
          <w:szCs w:val="24"/>
        </w:rPr>
        <w:t>teikėjų įsivertinimo, kas 5-eri m</w:t>
      </w:r>
      <w:r w:rsidR="00166743">
        <w:rPr>
          <w:szCs w:val="24"/>
        </w:rPr>
        <w:t>etai</w:t>
      </w:r>
      <w:r w:rsidRPr="00086184">
        <w:rPr>
          <w:szCs w:val="24"/>
        </w:rPr>
        <w:t>.</w:t>
      </w:r>
    </w:p>
    <w:p w14:paraId="3DFB38C4" w14:textId="3D81D7A1" w:rsidR="0031458E" w:rsidRPr="00086184" w:rsidRDefault="0031458E" w:rsidP="0031458E">
      <w:pPr>
        <w:ind w:firstLine="720"/>
        <w:jc w:val="both"/>
        <w:rPr>
          <w:szCs w:val="24"/>
        </w:rPr>
      </w:pPr>
      <w:r>
        <w:rPr>
          <w:szCs w:val="24"/>
        </w:rPr>
        <w:t>8</w:t>
      </w:r>
      <w:r w:rsidRPr="00086184">
        <w:rPr>
          <w:szCs w:val="24"/>
        </w:rPr>
        <w:t xml:space="preserve">. Pirmą kartą NVŠ </w:t>
      </w:r>
      <w:r w:rsidR="00166743">
        <w:rPr>
          <w:szCs w:val="24"/>
        </w:rPr>
        <w:t xml:space="preserve">teikėjų </w:t>
      </w:r>
      <w:r w:rsidRPr="00086184">
        <w:rPr>
          <w:szCs w:val="24"/>
        </w:rPr>
        <w:t>išorinis vertinimas atlieka</w:t>
      </w:r>
      <w:r w:rsidR="00166743">
        <w:rPr>
          <w:szCs w:val="24"/>
        </w:rPr>
        <w:t>mas pagal visus</w:t>
      </w:r>
      <w:r w:rsidRPr="00086184">
        <w:rPr>
          <w:szCs w:val="24"/>
        </w:rPr>
        <w:t xml:space="preserve"> kokybės rodiklius. Vertinant pakartotinai, gali būti atliekamas vienos ar kelių sričių NVŠ </w:t>
      </w:r>
      <w:r w:rsidR="00166743">
        <w:rPr>
          <w:szCs w:val="24"/>
        </w:rPr>
        <w:t xml:space="preserve">teikėjų </w:t>
      </w:r>
      <w:r w:rsidRPr="00086184">
        <w:rPr>
          <w:szCs w:val="24"/>
        </w:rPr>
        <w:t>išorinis vertinimas ar vertinama pagal tikslingai pasirinktus rodiklius</w:t>
      </w:r>
      <w:r>
        <w:rPr>
          <w:szCs w:val="24"/>
        </w:rPr>
        <w:t>. F</w:t>
      </w:r>
      <w:r w:rsidRPr="00086184">
        <w:rPr>
          <w:szCs w:val="24"/>
        </w:rPr>
        <w:t>ormalųjį švi</w:t>
      </w:r>
      <w:r>
        <w:rPr>
          <w:szCs w:val="24"/>
        </w:rPr>
        <w:t>etimą papildančio ugdymo mokyklos</w:t>
      </w:r>
      <w:r w:rsidRPr="00086184">
        <w:rPr>
          <w:szCs w:val="24"/>
        </w:rPr>
        <w:t xml:space="preserve"> įsivertinimo sritis, suderinusi su Švietimo, kultūros ir </w:t>
      </w:r>
      <w:proofErr w:type="gramStart"/>
      <w:r w:rsidRPr="00086184">
        <w:rPr>
          <w:szCs w:val="24"/>
        </w:rPr>
        <w:t>sporto skyriumi</w:t>
      </w:r>
      <w:proofErr w:type="gramEnd"/>
      <w:r w:rsidRPr="00086184">
        <w:rPr>
          <w:szCs w:val="24"/>
        </w:rPr>
        <w:t>, pasirenka mokyklos taryba.</w:t>
      </w:r>
    </w:p>
    <w:p w14:paraId="69BD9F6D" w14:textId="77777777" w:rsidR="0031458E" w:rsidRPr="00086184" w:rsidRDefault="0031458E" w:rsidP="0031458E">
      <w:pPr>
        <w:jc w:val="both"/>
        <w:rPr>
          <w:szCs w:val="24"/>
        </w:rPr>
      </w:pPr>
    </w:p>
    <w:p w14:paraId="2A9A0BD7" w14:textId="77777777" w:rsidR="0031458E" w:rsidRPr="00086184" w:rsidRDefault="0031458E" w:rsidP="0031458E">
      <w:pPr>
        <w:jc w:val="center"/>
        <w:rPr>
          <w:b/>
          <w:bCs/>
          <w:color w:val="000000" w:themeColor="text1"/>
          <w:szCs w:val="24"/>
        </w:rPr>
      </w:pPr>
      <w:r>
        <w:rPr>
          <w:b/>
          <w:bCs/>
          <w:color w:val="000000" w:themeColor="text1"/>
          <w:szCs w:val="24"/>
        </w:rPr>
        <w:t>III</w:t>
      </w:r>
      <w:r w:rsidRPr="00086184">
        <w:rPr>
          <w:b/>
          <w:bCs/>
          <w:color w:val="000000" w:themeColor="text1"/>
          <w:szCs w:val="24"/>
        </w:rPr>
        <w:t xml:space="preserve"> SKYRIUS</w:t>
      </w:r>
    </w:p>
    <w:p w14:paraId="72C4F884" w14:textId="77777777" w:rsidR="0031458E" w:rsidRPr="00086184" w:rsidRDefault="0031458E" w:rsidP="0031458E">
      <w:pPr>
        <w:jc w:val="center"/>
        <w:rPr>
          <w:b/>
          <w:bCs/>
          <w:color w:val="000000" w:themeColor="text1"/>
          <w:szCs w:val="24"/>
        </w:rPr>
      </w:pPr>
      <w:r w:rsidRPr="00086184">
        <w:rPr>
          <w:b/>
          <w:bCs/>
          <w:color w:val="000000" w:themeColor="text1"/>
          <w:szCs w:val="24"/>
        </w:rPr>
        <w:t>NVŠ TEIKĖJŲ IŠORINIO VERTINIMO ORGANIZAVIMAS IR VYKDYMAS</w:t>
      </w:r>
    </w:p>
    <w:p w14:paraId="097ECFC0" w14:textId="77777777" w:rsidR="0031458E" w:rsidRPr="00086184" w:rsidRDefault="0031458E" w:rsidP="0031458E">
      <w:pPr>
        <w:rPr>
          <w:szCs w:val="24"/>
        </w:rPr>
      </w:pPr>
    </w:p>
    <w:p w14:paraId="41C87797" w14:textId="0FC4679D" w:rsidR="008734E7" w:rsidRDefault="0031458E" w:rsidP="0031458E">
      <w:pPr>
        <w:ind w:firstLine="720"/>
        <w:jc w:val="both"/>
        <w:rPr>
          <w:szCs w:val="24"/>
        </w:rPr>
      </w:pPr>
      <w:r>
        <w:rPr>
          <w:szCs w:val="24"/>
        </w:rPr>
        <w:t>9</w:t>
      </w:r>
      <w:r w:rsidRPr="00086184">
        <w:rPr>
          <w:szCs w:val="24"/>
        </w:rPr>
        <w:t xml:space="preserve">. </w:t>
      </w:r>
      <w:r w:rsidR="008734E7" w:rsidRPr="00086184">
        <w:rPr>
          <w:szCs w:val="24"/>
        </w:rPr>
        <w:t>Savivaldybės administracijos direktorius</w:t>
      </w:r>
      <w:r w:rsidR="008734E7">
        <w:rPr>
          <w:szCs w:val="24"/>
        </w:rPr>
        <w:t xml:space="preserve"> sudaro 3–5 narių išorinio</w:t>
      </w:r>
      <w:r w:rsidR="008734E7" w:rsidRPr="00086184">
        <w:rPr>
          <w:szCs w:val="24"/>
        </w:rPr>
        <w:t xml:space="preserve"> vertinimo grupę (toliau – Vertinimo</w:t>
      </w:r>
      <w:r w:rsidR="008734E7">
        <w:rPr>
          <w:szCs w:val="24"/>
        </w:rPr>
        <w:t xml:space="preserve"> grupė) ir</w:t>
      </w:r>
      <w:r w:rsidR="008734E7" w:rsidRPr="00086184">
        <w:rPr>
          <w:szCs w:val="24"/>
        </w:rPr>
        <w:t xml:space="preserve"> </w:t>
      </w:r>
      <w:r w:rsidR="008734E7" w:rsidRPr="008734E7">
        <w:rPr>
          <w:szCs w:val="24"/>
        </w:rPr>
        <w:t>paskiria asmenį, atliekantį išorinio vertinimo koordinatoriaus funkciją</w:t>
      </w:r>
      <w:r w:rsidR="008734E7" w:rsidRPr="00086184">
        <w:rPr>
          <w:szCs w:val="24"/>
        </w:rPr>
        <w:t>. Vertinimo grupėje mažiausiai vienas narys (grupės vadovas) yra išorės vertintojas, įgijęs NVŠ kokybės vertinimo kompetencijų NVŠ vertintojų mokymuose. Rekome</w:t>
      </w:r>
      <w:r w:rsidR="008734E7">
        <w:rPr>
          <w:szCs w:val="24"/>
        </w:rPr>
        <w:t>nduojama, kad vertinant mokyklą, vykdančią</w:t>
      </w:r>
      <w:r w:rsidR="008734E7" w:rsidRPr="00086184">
        <w:rPr>
          <w:szCs w:val="24"/>
        </w:rPr>
        <w:t xml:space="preserve"> formalųjį švietimą </w:t>
      </w:r>
      <w:r w:rsidR="008734E7">
        <w:rPr>
          <w:szCs w:val="24"/>
        </w:rPr>
        <w:t>papildančias ugdymo programas, Vertinim</w:t>
      </w:r>
      <w:r w:rsidR="008734E7" w:rsidRPr="00086184">
        <w:rPr>
          <w:szCs w:val="24"/>
        </w:rPr>
        <w:t xml:space="preserve">o grupėje būtų vertinamos NVŠ </w:t>
      </w:r>
      <w:r w:rsidR="008734E7">
        <w:rPr>
          <w:szCs w:val="24"/>
        </w:rPr>
        <w:t>programos krypties specialistas;</w:t>
      </w:r>
    </w:p>
    <w:p w14:paraId="282E18F2" w14:textId="4DF877BC" w:rsidR="008734E7" w:rsidRDefault="008734E7" w:rsidP="008734E7">
      <w:pPr>
        <w:ind w:firstLine="720"/>
        <w:jc w:val="both"/>
        <w:rPr>
          <w:szCs w:val="24"/>
        </w:rPr>
      </w:pPr>
      <w:r>
        <w:rPr>
          <w:szCs w:val="24"/>
        </w:rPr>
        <w:t xml:space="preserve">10. </w:t>
      </w:r>
      <w:r w:rsidRPr="00086184">
        <w:rPr>
          <w:szCs w:val="24"/>
        </w:rPr>
        <w:t xml:space="preserve">NVŠ </w:t>
      </w:r>
      <w:r>
        <w:rPr>
          <w:szCs w:val="24"/>
        </w:rPr>
        <w:t xml:space="preserve">teikėjų </w:t>
      </w:r>
      <w:r w:rsidRPr="00086184">
        <w:rPr>
          <w:szCs w:val="24"/>
        </w:rPr>
        <w:t>išo</w:t>
      </w:r>
      <w:r>
        <w:rPr>
          <w:szCs w:val="24"/>
        </w:rPr>
        <w:t xml:space="preserve">rinį vertinimą organizuoja </w:t>
      </w:r>
      <w:r w:rsidRPr="00086184">
        <w:rPr>
          <w:szCs w:val="24"/>
        </w:rPr>
        <w:t>Švietimo, kultūros i</w:t>
      </w:r>
      <w:r>
        <w:rPr>
          <w:szCs w:val="24"/>
        </w:rPr>
        <w:t xml:space="preserve">r </w:t>
      </w:r>
      <w:proofErr w:type="gramStart"/>
      <w:r>
        <w:rPr>
          <w:szCs w:val="24"/>
        </w:rPr>
        <w:t>sporto skyrius</w:t>
      </w:r>
      <w:proofErr w:type="gramEnd"/>
      <w:r w:rsidRPr="00086184">
        <w:rPr>
          <w:szCs w:val="24"/>
        </w:rPr>
        <w:t>, kuris:</w:t>
      </w:r>
    </w:p>
    <w:p w14:paraId="258B7E3A" w14:textId="5F5CBB80" w:rsidR="0031458E" w:rsidRPr="00086184" w:rsidRDefault="008734E7" w:rsidP="0031458E">
      <w:pPr>
        <w:ind w:firstLine="720"/>
        <w:jc w:val="both"/>
        <w:rPr>
          <w:szCs w:val="24"/>
        </w:rPr>
      </w:pPr>
      <w:r>
        <w:rPr>
          <w:szCs w:val="24"/>
        </w:rPr>
        <w:t>10</w:t>
      </w:r>
      <w:r w:rsidR="0031458E" w:rsidRPr="00086184">
        <w:rPr>
          <w:szCs w:val="24"/>
        </w:rPr>
        <w:t>.1. parengia NVŠ teikėjų išorinio ver</w:t>
      </w:r>
      <w:r w:rsidR="0031458E">
        <w:rPr>
          <w:szCs w:val="24"/>
        </w:rPr>
        <w:t>tinimo planą ir jį iki spalio 1</w:t>
      </w:r>
      <w:r w:rsidR="0031458E" w:rsidRPr="00086184">
        <w:rPr>
          <w:szCs w:val="24"/>
        </w:rPr>
        <w:t xml:space="preserve"> </w:t>
      </w:r>
      <w:r w:rsidR="007E796F">
        <w:rPr>
          <w:szCs w:val="24"/>
        </w:rPr>
        <w:t>d. paskelbia savivaldybės tink</w:t>
      </w:r>
      <w:r w:rsidR="0031458E" w:rsidRPr="00086184">
        <w:rPr>
          <w:szCs w:val="24"/>
        </w:rPr>
        <w:t>lapyje;</w:t>
      </w:r>
    </w:p>
    <w:p w14:paraId="73763FF9" w14:textId="695F46C2" w:rsidR="0031458E" w:rsidRPr="00086184" w:rsidRDefault="008734E7" w:rsidP="0031458E">
      <w:pPr>
        <w:ind w:firstLine="720"/>
        <w:jc w:val="both"/>
        <w:rPr>
          <w:szCs w:val="24"/>
        </w:rPr>
      </w:pPr>
      <w:r>
        <w:rPr>
          <w:szCs w:val="24"/>
        </w:rPr>
        <w:t>10</w:t>
      </w:r>
      <w:r w:rsidR="0031458E" w:rsidRPr="00086184">
        <w:rPr>
          <w:szCs w:val="24"/>
        </w:rPr>
        <w:t xml:space="preserve">.2. informuoja ir konsultuoja NVŠ </w:t>
      </w:r>
      <w:r w:rsidR="00166743">
        <w:rPr>
          <w:szCs w:val="24"/>
        </w:rPr>
        <w:t>teikėjų išoriniame</w:t>
      </w:r>
      <w:r w:rsidR="0031458E" w:rsidRPr="00086184">
        <w:rPr>
          <w:szCs w:val="24"/>
        </w:rPr>
        <w:t xml:space="preserve"> vertinime dalyvaujančius asmenis; </w:t>
      </w:r>
    </w:p>
    <w:p w14:paraId="68239D86" w14:textId="013865DD" w:rsidR="0031458E" w:rsidRPr="00086184" w:rsidRDefault="008734E7" w:rsidP="008734E7">
      <w:pPr>
        <w:ind w:firstLine="720"/>
        <w:jc w:val="both"/>
        <w:rPr>
          <w:szCs w:val="24"/>
        </w:rPr>
      </w:pPr>
      <w:r>
        <w:rPr>
          <w:szCs w:val="24"/>
        </w:rPr>
        <w:lastRenderedPageBreak/>
        <w:t>10</w:t>
      </w:r>
      <w:r w:rsidR="003863A5">
        <w:rPr>
          <w:szCs w:val="24"/>
        </w:rPr>
        <w:t xml:space="preserve">.3. </w:t>
      </w:r>
      <w:r w:rsidR="0031458E" w:rsidRPr="00086184">
        <w:rPr>
          <w:szCs w:val="24"/>
        </w:rPr>
        <w:t>analizuoja NVŠ teikėjų išorinio vertinimo išvadas, konsultuoja, stebi pažangą;</w:t>
      </w:r>
    </w:p>
    <w:p w14:paraId="395F0A54" w14:textId="3C6DB057" w:rsidR="0031458E" w:rsidRPr="00086184" w:rsidRDefault="008734E7" w:rsidP="0031458E">
      <w:pPr>
        <w:ind w:firstLine="720"/>
        <w:jc w:val="both"/>
        <w:rPr>
          <w:szCs w:val="24"/>
        </w:rPr>
      </w:pPr>
      <w:r>
        <w:rPr>
          <w:szCs w:val="24"/>
        </w:rPr>
        <w:t>10.4</w:t>
      </w:r>
      <w:r w:rsidR="0031458E" w:rsidRPr="00086184">
        <w:rPr>
          <w:szCs w:val="24"/>
        </w:rPr>
        <w:t>. koordinuoja veiklos tobulinimo planų įgyvendinimą, inicijuoja gerosios patirties sklaidą;</w:t>
      </w:r>
    </w:p>
    <w:p w14:paraId="0E1BFA88" w14:textId="0594AD21" w:rsidR="0031458E" w:rsidRPr="00086184" w:rsidRDefault="008734E7" w:rsidP="0031458E">
      <w:pPr>
        <w:ind w:firstLine="720"/>
        <w:jc w:val="both"/>
        <w:rPr>
          <w:szCs w:val="24"/>
        </w:rPr>
      </w:pPr>
      <w:r>
        <w:rPr>
          <w:szCs w:val="24"/>
        </w:rPr>
        <w:t>10.5</w:t>
      </w:r>
      <w:r w:rsidR="0031458E" w:rsidRPr="00086184">
        <w:rPr>
          <w:szCs w:val="24"/>
        </w:rPr>
        <w:t>. organizuoja pakartotinį išorinį vertinimą po vienerių metų, jeigu išorinio vertinimo metu bent viena veiklos sritis, tema buvo įvertinta žemu lygiu. Vertinant pakartotinai, gali būti atliekamas vienos ar kelių sričių išorinis vertinimas ar vertinama pagal t</w:t>
      </w:r>
      <w:r w:rsidR="00166743">
        <w:rPr>
          <w:szCs w:val="24"/>
        </w:rPr>
        <w:t>ikslingai pasirinktus rodiklius.</w:t>
      </w:r>
    </w:p>
    <w:p w14:paraId="6266E7DB" w14:textId="6B096B19" w:rsidR="0031458E" w:rsidRPr="00086184" w:rsidRDefault="008734E7" w:rsidP="0031458E">
      <w:pPr>
        <w:ind w:firstLine="720"/>
        <w:jc w:val="both"/>
        <w:rPr>
          <w:szCs w:val="24"/>
        </w:rPr>
      </w:pPr>
      <w:r>
        <w:rPr>
          <w:szCs w:val="24"/>
        </w:rPr>
        <w:t>11</w:t>
      </w:r>
      <w:r w:rsidR="00166743">
        <w:rPr>
          <w:szCs w:val="24"/>
        </w:rPr>
        <w:t xml:space="preserve">. </w:t>
      </w:r>
      <w:r w:rsidR="00AE3805">
        <w:rPr>
          <w:szCs w:val="24"/>
        </w:rPr>
        <w:t>V</w:t>
      </w:r>
      <w:r w:rsidR="0031458E" w:rsidRPr="00086184">
        <w:rPr>
          <w:szCs w:val="24"/>
        </w:rPr>
        <w:t>er</w:t>
      </w:r>
      <w:r w:rsidR="007E04FF">
        <w:rPr>
          <w:szCs w:val="24"/>
        </w:rPr>
        <w:t xml:space="preserve">tinimo grupės vizito trukmė </w:t>
      </w:r>
      <w:r w:rsidR="00565E85">
        <w:rPr>
          <w:szCs w:val="24"/>
        </w:rPr>
        <w:t>1–</w:t>
      </w:r>
      <w:r w:rsidR="0031458E" w:rsidRPr="00086184">
        <w:rPr>
          <w:szCs w:val="24"/>
        </w:rPr>
        <w:t>2 dienos.</w:t>
      </w:r>
    </w:p>
    <w:p w14:paraId="57460EE6" w14:textId="77777777" w:rsidR="0031458E" w:rsidRPr="00086184" w:rsidRDefault="0031458E" w:rsidP="0031458E">
      <w:pPr>
        <w:ind w:firstLine="720"/>
        <w:jc w:val="both"/>
        <w:rPr>
          <w:szCs w:val="24"/>
        </w:rPr>
      </w:pPr>
      <w:r>
        <w:rPr>
          <w:szCs w:val="24"/>
        </w:rPr>
        <w:t>12</w:t>
      </w:r>
      <w:r w:rsidRPr="00086184">
        <w:rPr>
          <w:szCs w:val="24"/>
        </w:rPr>
        <w:t>. Koordinatoriaus funkciją atliekantis asmuo:</w:t>
      </w:r>
    </w:p>
    <w:p w14:paraId="35B660A7" w14:textId="77777777" w:rsidR="0031458E" w:rsidRPr="00086184" w:rsidRDefault="0031458E" w:rsidP="0031458E">
      <w:pPr>
        <w:ind w:firstLine="720"/>
        <w:jc w:val="both"/>
        <w:rPr>
          <w:szCs w:val="24"/>
        </w:rPr>
      </w:pPr>
      <w:r>
        <w:rPr>
          <w:szCs w:val="24"/>
        </w:rPr>
        <w:t>12.1. yra V</w:t>
      </w:r>
      <w:r w:rsidRPr="00086184">
        <w:rPr>
          <w:szCs w:val="24"/>
        </w:rPr>
        <w:t xml:space="preserve">ertinimo grupės narys; </w:t>
      </w:r>
    </w:p>
    <w:p w14:paraId="30A6AB01" w14:textId="1B17D761" w:rsidR="0031458E" w:rsidRPr="00086184" w:rsidRDefault="0031458E" w:rsidP="0031458E">
      <w:pPr>
        <w:ind w:firstLine="720"/>
        <w:jc w:val="both"/>
        <w:rPr>
          <w:szCs w:val="24"/>
        </w:rPr>
      </w:pPr>
      <w:r>
        <w:rPr>
          <w:szCs w:val="24"/>
        </w:rPr>
        <w:t>12</w:t>
      </w:r>
      <w:r w:rsidRPr="00086184">
        <w:rPr>
          <w:szCs w:val="24"/>
        </w:rPr>
        <w:t>.2. ne vėliau kaip prieš 10 darbo dienų iki išorinio vertinimo pradžios Vertinimo grupės vadovui elek</w:t>
      </w:r>
      <w:r w:rsidR="002B72A5">
        <w:rPr>
          <w:szCs w:val="24"/>
        </w:rPr>
        <w:t>troniniu paštu išsiunčia NVŠ tei</w:t>
      </w:r>
      <w:r w:rsidRPr="00086184">
        <w:rPr>
          <w:szCs w:val="24"/>
        </w:rPr>
        <w:t>kėjo parengtą įsivertinimo medžiagą;</w:t>
      </w:r>
    </w:p>
    <w:p w14:paraId="04FB1205" w14:textId="77777777" w:rsidR="0031458E" w:rsidRPr="00086184" w:rsidRDefault="0031458E" w:rsidP="0031458E">
      <w:pPr>
        <w:ind w:firstLine="720"/>
        <w:jc w:val="both"/>
        <w:rPr>
          <w:szCs w:val="24"/>
        </w:rPr>
      </w:pPr>
      <w:r>
        <w:rPr>
          <w:szCs w:val="24"/>
        </w:rPr>
        <w:t>12</w:t>
      </w:r>
      <w:r w:rsidRPr="00086184">
        <w:rPr>
          <w:szCs w:val="24"/>
        </w:rPr>
        <w:t>.3. derina vertinimo vizito laiką, darbo sąlygas;</w:t>
      </w:r>
    </w:p>
    <w:p w14:paraId="2EEEF653" w14:textId="0CD47FA5" w:rsidR="0031458E" w:rsidRPr="00086184" w:rsidRDefault="0031458E" w:rsidP="0031458E">
      <w:pPr>
        <w:ind w:firstLine="720"/>
        <w:jc w:val="both"/>
        <w:rPr>
          <w:szCs w:val="24"/>
        </w:rPr>
      </w:pPr>
      <w:r>
        <w:rPr>
          <w:szCs w:val="24"/>
        </w:rPr>
        <w:t>12</w:t>
      </w:r>
      <w:r w:rsidRPr="00086184">
        <w:rPr>
          <w:szCs w:val="24"/>
        </w:rPr>
        <w:t>.4. pa</w:t>
      </w:r>
      <w:r w:rsidR="008734E7">
        <w:rPr>
          <w:szCs w:val="24"/>
        </w:rPr>
        <w:t>deda organizuoti susitikimus</w:t>
      </w:r>
      <w:r w:rsidRPr="00086184">
        <w:rPr>
          <w:szCs w:val="24"/>
        </w:rPr>
        <w:t>;</w:t>
      </w:r>
    </w:p>
    <w:p w14:paraId="206CA3F3" w14:textId="77777777" w:rsidR="0031458E" w:rsidRPr="00086184" w:rsidRDefault="0031458E" w:rsidP="0031458E">
      <w:pPr>
        <w:ind w:firstLine="720"/>
        <w:jc w:val="both"/>
        <w:rPr>
          <w:szCs w:val="24"/>
        </w:rPr>
      </w:pPr>
      <w:r>
        <w:rPr>
          <w:szCs w:val="24"/>
        </w:rPr>
        <w:t>12</w:t>
      </w:r>
      <w:r w:rsidRPr="00086184">
        <w:rPr>
          <w:szCs w:val="24"/>
        </w:rPr>
        <w:t>.5. analizuoja NVŠ teikėjų išorinio vertinimo išvadas, teikia konsultacijas veiklos tobulinimo planų parengimo klausimais, stebi jo įgyvendinimą.</w:t>
      </w:r>
    </w:p>
    <w:p w14:paraId="02DA53EF" w14:textId="4BBC06B3" w:rsidR="0031458E" w:rsidRPr="00086184" w:rsidRDefault="0031458E" w:rsidP="0031458E">
      <w:pPr>
        <w:ind w:firstLine="720"/>
        <w:jc w:val="both"/>
        <w:rPr>
          <w:szCs w:val="24"/>
        </w:rPr>
      </w:pPr>
      <w:r>
        <w:rPr>
          <w:szCs w:val="24"/>
        </w:rPr>
        <w:t>13</w:t>
      </w:r>
      <w:r w:rsidRPr="00086184">
        <w:rPr>
          <w:szCs w:val="24"/>
        </w:rPr>
        <w:t xml:space="preserve">. NVŠ teikėjų </w:t>
      </w:r>
      <w:r w:rsidR="008734E7">
        <w:rPr>
          <w:szCs w:val="24"/>
        </w:rPr>
        <w:t>i</w:t>
      </w:r>
      <w:r w:rsidR="008734E7" w:rsidRPr="00086184">
        <w:rPr>
          <w:szCs w:val="24"/>
        </w:rPr>
        <w:t xml:space="preserve">šorinį </w:t>
      </w:r>
      <w:r w:rsidRPr="00086184">
        <w:rPr>
          <w:szCs w:val="24"/>
        </w:rPr>
        <w:t>ver</w:t>
      </w:r>
      <w:r w:rsidR="00034240">
        <w:rPr>
          <w:szCs w:val="24"/>
        </w:rPr>
        <w:t>tinimą vykdo Vertinimo</w:t>
      </w:r>
      <w:r w:rsidRPr="00086184">
        <w:rPr>
          <w:szCs w:val="24"/>
        </w:rPr>
        <w:t xml:space="preserve"> grupė:</w:t>
      </w:r>
    </w:p>
    <w:p w14:paraId="0CD2A336" w14:textId="522026AE" w:rsidR="0031458E" w:rsidRPr="00086184" w:rsidRDefault="0031458E" w:rsidP="0031458E">
      <w:pPr>
        <w:ind w:firstLine="720"/>
        <w:jc w:val="both"/>
        <w:rPr>
          <w:szCs w:val="24"/>
        </w:rPr>
      </w:pPr>
      <w:r>
        <w:rPr>
          <w:szCs w:val="24"/>
        </w:rPr>
        <w:t>13</w:t>
      </w:r>
      <w:r w:rsidRPr="00086184">
        <w:rPr>
          <w:szCs w:val="24"/>
        </w:rPr>
        <w:t>.1.</w:t>
      </w:r>
      <w:r w:rsidR="00E2225F">
        <w:rPr>
          <w:szCs w:val="24"/>
        </w:rPr>
        <w:t xml:space="preserve"> Vertinimo</w:t>
      </w:r>
      <w:r w:rsidRPr="00086184">
        <w:rPr>
          <w:szCs w:val="24"/>
        </w:rPr>
        <w:t xml:space="preserve"> grupės vadovas:</w:t>
      </w:r>
    </w:p>
    <w:p w14:paraId="07CC089E" w14:textId="127D0699" w:rsidR="0031458E" w:rsidRPr="00086184" w:rsidRDefault="0031458E" w:rsidP="0031458E">
      <w:pPr>
        <w:ind w:firstLine="720"/>
        <w:jc w:val="both"/>
        <w:rPr>
          <w:szCs w:val="24"/>
        </w:rPr>
      </w:pPr>
      <w:r>
        <w:rPr>
          <w:szCs w:val="24"/>
        </w:rPr>
        <w:t>13</w:t>
      </w:r>
      <w:r w:rsidRPr="00086184">
        <w:rPr>
          <w:szCs w:val="24"/>
        </w:rPr>
        <w:t>.1.1. ne vėliau kaip prieš 8 darbo dienas i</w:t>
      </w:r>
      <w:r w:rsidR="00E2225F">
        <w:rPr>
          <w:szCs w:val="24"/>
        </w:rPr>
        <w:t>ki išorinio vertinimo pradžios V</w:t>
      </w:r>
      <w:r w:rsidRPr="00086184">
        <w:rPr>
          <w:szCs w:val="24"/>
        </w:rPr>
        <w:t xml:space="preserve">ertinimo grupės nariams elektroniniu paštu išsiunčia vertinamo NVŠ teikėjo parengtą įsivertinimo medžiagą; </w:t>
      </w:r>
    </w:p>
    <w:p w14:paraId="39735022" w14:textId="00E9C2D7" w:rsidR="0031458E" w:rsidRPr="00086184" w:rsidRDefault="0031458E" w:rsidP="0031458E">
      <w:pPr>
        <w:ind w:firstLine="720"/>
        <w:jc w:val="both"/>
        <w:rPr>
          <w:szCs w:val="24"/>
        </w:rPr>
      </w:pPr>
      <w:r>
        <w:rPr>
          <w:szCs w:val="24"/>
        </w:rPr>
        <w:t>13</w:t>
      </w:r>
      <w:r w:rsidR="00E2225F">
        <w:rPr>
          <w:szCs w:val="24"/>
        </w:rPr>
        <w:t>.1.2. atsako už funkcijų Vertinimo grupės nariams</w:t>
      </w:r>
      <w:r w:rsidRPr="00086184">
        <w:rPr>
          <w:szCs w:val="24"/>
        </w:rPr>
        <w:t xml:space="preserve"> paskirstymą;</w:t>
      </w:r>
    </w:p>
    <w:p w14:paraId="17D60285" w14:textId="6D7B22F3" w:rsidR="0031458E" w:rsidRPr="00086184" w:rsidRDefault="0031458E" w:rsidP="0031458E">
      <w:pPr>
        <w:ind w:firstLine="720"/>
        <w:jc w:val="both"/>
        <w:rPr>
          <w:szCs w:val="24"/>
        </w:rPr>
      </w:pPr>
      <w:r>
        <w:rPr>
          <w:szCs w:val="24"/>
        </w:rPr>
        <w:t>13</w:t>
      </w:r>
      <w:r w:rsidRPr="00086184">
        <w:rPr>
          <w:szCs w:val="24"/>
        </w:rPr>
        <w:t>.1</w:t>
      </w:r>
      <w:r w:rsidR="00706E36">
        <w:rPr>
          <w:szCs w:val="24"/>
        </w:rPr>
        <w:t>.3. organ</w:t>
      </w:r>
      <w:r w:rsidR="00330DDC">
        <w:rPr>
          <w:szCs w:val="24"/>
        </w:rPr>
        <w:t>izuoja ir koordinuoja Vertinimo</w:t>
      </w:r>
      <w:r w:rsidR="00706E36">
        <w:rPr>
          <w:szCs w:val="24"/>
        </w:rPr>
        <w:t xml:space="preserve"> grupės</w:t>
      </w:r>
      <w:r w:rsidR="001F21F8">
        <w:rPr>
          <w:szCs w:val="24"/>
        </w:rPr>
        <w:t xml:space="preserve"> narių</w:t>
      </w:r>
      <w:r w:rsidRPr="00086184">
        <w:rPr>
          <w:szCs w:val="24"/>
        </w:rPr>
        <w:t xml:space="preserve"> darbą;</w:t>
      </w:r>
    </w:p>
    <w:p w14:paraId="082B76EB" w14:textId="0759D7F3" w:rsidR="0031458E" w:rsidRPr="00086184" w:rsidRDefault="0031458E" w:rsidP="0031458E">
      <w:pPr>
        <w:ind w:firstLine="720"/>
        <w:jc w:val="both"/>
        <w:rPr>
          <w:szCs w:val="24"/>
        </w:rPr>
      </w:pPr>
      <w:r>
        <w:rPr>
          <w:szCs w:val="24"/>
        </w:rPr>
        <w:t>13</w:t>
      </w:r>
      <w:r w:rsidRPr="00086184">
        <w:rPr>
          <w:szCs w:val="24"/>
        </w:rPr>
        <w:t xml:space="preserve">.1.4. atsako už </w:t>
      </w:r>
      <w:r w:rsidR="008734E7">
        <w:rPr>
          <w:szCs w:val="24"/>
        </w:rPr>
        <w:t xml:space="preserve">NVŠ teikėjų </w:t>
      </w:r>
      <w:r w:rsidRPr="00086184">
        <w:rPr>
          <w:szCs w:val="24"/>
        </w:rPr>
        <w:t xml:space="preserve">išorinio vertimo rezultatų ir išvadų pateikimą laiku; </w:t>
      </w:r>
    </w:p>
    <w:p w14:paraId="067DDD9B" w14:textId="429A81E7" w:rsidR="0031458E" w:rsidRPr="00086184" w:rsidRDefault="0031458E" w:rsidP="0031458E">
      <w:pPr>
        <w:ind w:firstLine="720"/>
        <w:jc w:val="both"/>
        <w:rPr>
          <w:szCs w:val="24"/>
        </w:rPr>
      </w:pPr>
      <w:r>
        <w:rPr>
          <w:szCs w:val="24"/>
        </w:rPr>
        <w:t>13</w:t>
      </w:r>
      <w:r w:rsidRPr="00086184">
        <w:rPr>
          <w:szCs w:val="24"/>
        </w:rPr>
        <w:t>.1.5. NVŠ teikėjų kokybės vertini</w:t>
      </w:r>
      <w:r w:rsidR="008734E7">
        <w:rPr>
          <w:szCs w:val="24"/>
        </w:rPr>
        <w:t>mo išvadas (2</w:t>
      </w:r>
      <w:r w:rsidR="008B5D0E">
        <w:rPr>
          <w:szCs w:val="24"/>
        </w:rPr>
        <w:t xml:space="preserve"> priedas)</w:t>
      </w:r>
      <w:r w:rsidRPr="00565E85">
        <w:rPr>
          <w:szCs w:val="24"/>
        </w:rPr>
        <w:t xml:space="preserve"> </w:t>
      </w:r>
      <w:r w:rsidRPr="00086184">
        <w:rPr>
          <w:szCs w:val="24"/>
        </w:rPr>
        <w:t xml:space="preserve">ne vėliau kaip per 10 darbo dienų nuo paskutinės vertinimo dienos pateikia vertinamajam NVŠ teikėjui, Švietimo, kultūros ir </w:t>
      </w:r>
      <w:proofErr w:type="gramStart"/>
      <w:r w:rsidRPr="00086184">
        <w:rPr>
          <w:szCs w:val="24"/>
        </w:rPr>
        <w:t>sporto skyriui</w:t>
      </w:r>
      <w:proofErr w:type="gramEnd"/>
      <w:r w:rsidRPr="00086184">
        <w:rPr>
          <w:szCs w:val="24"/>
        </w:rPr>
        <w:t>;</w:t>
      </w:r>
    </w:p>
    <w:p w14:paraId="25AB3AAF" w14:textId="3CBC4029" w:rsidR="0031458E" w:rsidRPr="00086184" w:rsidRDefault="00AB0F7F" w:rsidP="0031458E">
      <w:pPr>
        <w:ind w:firstLine="720"/>
        <w:jc w:val="both"/>
        <w:rPr>
          <w:szCs w:val="24"/>
        </w:rPr>
      </w:pPr>
      <w:r>
        <w:rPr>
          <w:szCs w:val="24"/>
        </w:rPr>
        <w:t>13.2</w:t>
      </w:r>
      <w:r w:rsidR="0031458E">
        <w:rPr>
          <w:szCs w:val="24"/>
        </w:rPr>
        <w:t>. V</w:t>
      </w:r>
      <w:r w:rsidR="0031458E" w:rsidRPr="00086184">
        <w:rPr>
          <w:szCs w:val="24"/>
        </w:rPr>
        <w:t>ertinimo grupės nariai:</w:t>
      </w:r>
    </w:p>
    <w:p w14:paraId="34F707F8" w14:textId="5FFE808C" w:rsidR="0031458E" w:rsidRPr="00086184" w:rsidRDefault="00AB0F7F" w:rsidP="0031458E">
      <w:pPr>
        <w:ind w:firstLine="720"/>
        <w:jc w:val="both"/>
        <w:rPr>
          <w:szCs w:val="24"/>
        </w:rPr>
      </w:pPr>
      <w:r>
        <w:rPr>
          <w:szCs w:val="24"/>
        </w:rPr>
        <w:t>13.2</w:t>
      </w:r>
      <w:r w:rsidR="0031458E" w:rsidRPr="00086184">
        <w:rPr>
          <w:szCs w:val="24"/>
        </w:rPr>
        <w:t>.1. vadovaujasi NVŠ kokybės išorės vertintojų etikos principais</w:t>
      </w:r>
      <w:r w:rsidR="008734E7">
        <w:rPr>
          <w:szCs w:val="24"/>
        </w:rPr>
        <w:t xml:space="preserve"> (3</w:t>
      </w:r>
      <w:r w:rsidR="00D375B3">
        <w:rPr>
          <w:szCs w:val="24"/>
        </w:rPr>
        <w:t xml:space="preserve"> priedas);</w:t>
      </w:r>
    </w:p>
    <w:p w14:paraId="03F97802" w14:textId="1893A687" w:rsidR="0031458E" w:rsidRPr="00086184" w:rsidRDefault="00AB0F7F" w:rsidP="0031458E">
      <w:pPr>
        <w:ind w:firstLine="720"/>
        <w:jc w:val="both"/>
        <w:rPr>
          <w:szCs w:val="24"/>
        </w:rPr>
      </w:pPr>
      <w:r>
        <w:rPr>
          <w:szCs w:val="24"/>
        </w:rPr>
        <w:t>13.2</w:t>
      </w:r>
      <w:r w:rsidR="0031458E" w:rsidRPr="00086184">
        <w:rPr>
          <w:szCs w:val="24"/>
        </w:rPr>
        <w:t xml:space="preserve">.2. analizuoja NVŠ teikėjo parengtus įsivertinimo dokumentus bei su vertinimu susijusią informaciją; </w:t>
      </w:r>
    </w:p>
    <w:p w14:paraId="147DA013" w14:textId="45D874AC" w:rsidR="0031458E" w:rsidRPr="00086184" w:rsidRDefault="00AB0F7F" w:rsidP="0031458E">
      <w:pPr>
        <w:ind w:firstLine="720"/>
        <w:jc w:val="both"/>
        <w:rPr>
          <w:szCs w:val="24"/>
        </w:rPr>
      </w:pPr>
      <w:r>
        <w:rPr>
          <w:szCs w:val="24"/>
        </w:rPr>
        <w:t>13.2</w:t>
      </w:r>
      <w:r w:rsidR="0031458E" w:rsidRPr="00086184">
        <w:rPr>
          <w:szCs w:val="24"/>
        </w:rPr>
        <w:t>.3. dalyvauja NVŠ teikėjo vertinimo vizite;</w:t>
      </w:r>
    </w:p>
    <w:p w14:paraId="3272A6FC" w14:textId="583C3AA7" w:rsidR="0031458E" w:rsidRPr="00086184" w:rsidRDefault="00AB0F7F" w:rsidP="0031458E">
      <w:pPr>
        <w:ind w:firstLine="720"/>
        <w:jc w:val="both"/>
        <w:rPr>
          <w:szCs w:val="24"/>
        </w:rPr>
      </w:pPr>
      <w:r>
        <w:rPr>
          <w:szCs w:val="24"/>
        </w:rPr>
        <w:t>13.2</w:t>
      </w:r>
      <w:r w:rsidR="0031458E" w:rsidRPr="00086184">
        <w:rPr>
          <w:szCs w:val="24"/>
        </w:rPr>
        <w:t>.4. vertinimo metu dalyvauja pokalbiuose su vaikais, tėvais (globėjais, rūpintojais), mokytojais, vadovais, renka</w:t>
      </w:r>
      <w:r w:rsidR="008734E7">
        <w:rPr>
          <w:szCs w:val="24"/>
        </w:rPr>
        <w:t xml:space="preserve"> duomenis pagal </w:t>
      </w:r>
      <w:r w:rsidR="0031458E" w:rsidRPr="00086184">
        <w:rPr>
          <w:szCs w:val="24"/>
        </w:rPr>
        <w:t>veiklos rodiklius;</w:t>
      </w:r>
    </w:p>
    <w:p w14:paraId="737CE038" w14:textId="19A2EC11" w:rsidR="0031458E" w:rsidRPr="00086184" w:rsidRDefault="00AB0F7F" w:rsidP="0031458E">
      <w:pPr>
        <w:ind w:firstLine="720"/>
        <w:jc w:val="both"/>
        <w:rPr>
          <w:szCs w:val="24"/>
        </w:rPr>
      </w:pPr>
      <w:r>
        <w:rPr>
          <w:szCs w:val="24"/>
        </w:rPr>
        <w:t>13.2</w:t>
      </w:r>
      <w:r w:rsidR="0031458E" w:rsidRPr="00086184">
        <w:rPr>
          <w:szCs w:val="24"/>
        </w:rPr>
        <w:t xml:space="preserve">.5. vertina </w:t>
      </w:r>
      <w:r w:rsidR="008734E7">
        <w:rPr>
          <w:szCs w:val="24"/>
        </w:rPr>
        <w:t xml:space="preserve">Vertinimo </w:t>
      </w:r>
      <w:r w:rsidR="0031458E" w:rsidRPr="00086184">
        <w:rPr>
          <w:szCs w:val="24"/>
        </w:rPr>
        <w:t>grupės vadovo paskirtas sritis;</w:t>
      </w:r>
    </w:p>
    <w:p w14:paraId="18B2B9E9" w14:textId="3925767F" w:rsidR="0031458E" w:rsidRPr="00086184" w:rsidRDefault="00AB0F7F" w:rsidP="0031458E">
      <w:pPr>
        <w:ind w:firstLine="720"/>
        <w:jc w:val="both"/>
        <w:rPr>
          <w:szCs w:val="24"/>
        </w:rPr>
      </w:pPr>
      <w:r>
        <w:rPr>
          <w:szCs w:val="24"/>
        </w:rPr>
        <w:t>13.2</w:t>
      </w:r>
      <w:r w:rsidR="0031458E" w:rsidRPr="00086184">
        <w:rPr>
          <w:szCs w:val="24"/>
        </w:rPr>
        <w:t>.6. veiklą įvertina pagal 3 lygių skalę;</w:t>
      </w:r>
    </w:p>
    <w:p w14:paraId="1B92D2F9" w14:textId="4F45A556" w:rsidR="0031458E" w:rsidRPr="00086184" w:rsidRDefault="00AB0F7F" w:rsidP="0031458E">
      <w:pPr>
        <w:ind w:firstLine="720"/>
        <w:jc w:val="both"/>
        <w:rPr>
          <w:szCs w:val="24"/>
        </w:rPr>
      </w:pPr>
      <w:r>
        <w:rPr>
          <w:szCs w:val="24"/>
        </w:rPr>
        <w:t>13.2</w:t>
      </w:r>
      <w:r w:rsidR="0031458E" w:rsidRPr="00086184">
        <w:rPr>
          <w:szCs w:val="24"/>
        </w:rPr>
        <w:t xml:space="preserve">.7. </w:t>
      </w:r>
      <w:r w:rsidR="008734E7" w:rsidRPr="00086184">
        <w:rPr>
          <w:szCs w:val="24"/>
        </w:rPr>
        <w:t xml:space="preserve">fiksuoja </w:t>
      </w:r>
      <w:r w:rsidR="008734E7">
        <w:rPr>
          <w:szCs w:val="24"/>
        </w:rPr>
        <w:t>išorinio vertinimo rezultatus</w:t>
      </w:r>
      <w:r w:rsidR="0031458E" w:rsidRPr="00086184">
        <w:rPr>
          <w:szCs w:val="24"/>
        </w:rPr>
        <w:t>;</w:t>
      </w:r>
    </w:p>
    <w:p w14:paraId="6AB45E31" w14:textId="2CE4841C" w:rsidR="0031458E" w:rsidRPr="00086184" w:rsidRDefault="00AB0F7F" w:rsidP="0031458E">
      <w:pPr>
        <w:ind w:firstLine="720"/>
        <w:jc w:val="both"/>
        <w:rPr>
          <w:szCs w:val="24"/>
        </w:rPr>
      </w:pPr>
      <w:r>
        <w:rPr>
          <w:szCs w:val="24"/>
        </w:rPr>
        <w:t>13.2</w:t>
      </w:r>
      <w:r w:rsidR="0031458E" w:rsidRPr="00086184">
        <w:rPr>
          <w:szCs w:val="24"/>
        </w:rPr>
        <w:t>.8. prireikus stebi ugdymo procesą, stebėjimo metu surinktus duomenis fiksuoja protokole, nurodydami stebėjimo laiką ir rezultatus (išvadas). Sprendimą dėl u</w:t>
      </w:r>
      <w:r w:rsidR="007E796F">
        <w:rPr>
          <w:szCs w:val="24"/>
        </w:rPr>
        <w:t>gdymo proceso stebėjimo priima V</w:t>
      </w:r>
      <w:r w:rsidR="0031458E" w:rsidRPr="00086184">
        <w:rPr>
          <w:szCs w:val="24"/>
        </w:rPr>
        <w:t>ertinimo grupė. Ugdymo pro</w:t>
      </w:r>
      <w:r w:rsidR="007E796F">
        <w:rPr>
          <w:szCs w:val="24"/>
        </w:rPr>
        <w:t>cesas stebimas tuo atveju, jei V</w:t>
      </w:r>
      <w:r w:rsidR="0031458E" w:rsidRPr="00086184">
        <w:rPr>
          <w:szCs w:val="24"/>
        </w:rPr>
        <w:t>ertinimo grup</w:t>
      </w:r>
      <w:r w:rsidR="007E796F">
        <w:rPr>
          <w:szCs w:val="24"/>
        </w:rPr>
        <w:t>ės išvados nesutampa su</w:t>
      </w:r>
      <w:r w:rsidR="0031458E" w:rsidRPr="00086184">
        <w:rPr>
          <w:szCs w:val="24"/>
        </w:rPr>
        <w:t xml:space="preserve"> NVŠ </w:t>
      </w:r>
      <w:r w:rsidR="007E796F">
        <w:rPr>
          <w:szCs w:val="24"/>
        </w:rPr>
        <w:t xml:space="preserve">teikėjo </w:t>
      </w:r>
      <w:r w:rsidR="0031458E" w:rsidRPr="00086184">
        <w:rPr>
          <w:szCs w:val="24"/>
        </w:rPr>
        <w:t>veiklos įsivertinimo išvadomis;</w:t>
      </w:r>
    </w:p>
    <w:p w14:paraId="248E5F6F" w14:textId="2E2EFCCE" w:rsidR="0031458E" w:rsidRPr="00086184" w:rsidRDefault="00AB717D" w:rsidP="0031458E">
      <w:pPr>
        <w:ind w:firstLine="720"/>
        <w:jc w:val="both"/>
        <w:rPr>
          <w:szCs w:val="24"/>
        </w:rPr>
      </w:pPr>
      <w:r>
        <w:rPr>
          <w:szCs w:val="24"/>
        </w:rPr>
        <w:t>13.2</w:t>
      </w:r>
      <w:r w:rsidR="0031458E" w:rsidRPr="00086184">
        <w:rPr>
          <w:szCs w:val="24"/>
        </w:rPr>
        <w:t>.9. susitaria dėl vertinimo išvadų: ne mažiau kaip 5 stipriųjų ir ne daugiau kaip</w:t>
      </w:r>
      <w:proofErr w:type="gramStart"/>
      <w:r w:rsidR="0031458E" w:rsidRPr="00086184">
        <w:rPr>
          <w:szCs w:val="24"/>
        </w:rPr>
        <w:t xml:space="preserve"> </w:t>
      </w:r>
      <w:r w:rsidR="00351935">
        <w:rPr>
          <w:szCs w:val="24"/>
        </w:rPr>
        <w:t xml:space="preserve">                   </w:t>
      </w:r>
      <w:proofErr w:type="gramEnd"/>
      <w:r w:rsidR="0031458E" w:rsidRPr="00086184">
        <w:rPr>
          <w:szCs w:val="24"/>
        </w:rPr>
        <w:t>3 tobulintinų veiklos aspektų;</w:t>
      </w:r>
    </w:p>
    <w:p w14:paraId="04EFF2CE" w14:textId="06FEA963" w:rsidR="0031458E" w:rsidRPr="00972907" w:rsidRDefault="00344ED2" w:rsidP="0031458E">
      <w:pPr>
        <w:ind w:firstLine="720"/>
        <w:jc w:val="both"/>
        <w:rPr>
          <w:szCs w:val="24"/>
        </w:rPr>
      </w:pPr>
      <w:r>
        <w:rPr>
          <w:szCs w:val="24"/>
        </w:rPr>
        <w:t>13.2</w:t>
      </w:r>
      <w:r w:rsidR="0031458E">
        <w:rPr>
          <w:szCs w:val="24"/>
        </w:rPr>
        <w:t xml:space="preserve">.10. </w:t>
      </w:r>
      <w:r w:rsidR="0031458E" w:rsidRPr="002C2619">
        <w:rPr>
          <w:szCs w:val="24"/>
        </w:rPr>
        <w:t xml:space="preserve">per 10 </w:t>
      </w:r>
      <w:r w:rsidR="0031458E">
        <w:rPr>
          <w:szCs w:val="24"/>
        </w:rPr>
        <w:t>darbo dienų pa</w:t>
      </w:r>
      <w:r w:rsidR="005557D9">
        <w:rPr>
          <w:szCs w:val="24"/>
        </w:rPr>
        <w:t>teikia NVŠ teikėjui ir</w:t>
      </w:r>
      <w:r w:rsidR="0031458E">
        <w:rPr>
          <w:szCs w:val="24"/>
        </w:rPr>
        <w:t xml:space="preserve"> Švietimo, kultūros ir </w:t>
      </w:r>
      <w:proofErr w:type="gramStart"/>
      <w:r w:rsidR="0031458E">
        <w:rPr>
          <w:szCs w:val="24"/>
        </w:rPr>
        <w:t>sporto skyriui</w:t>
      </w:r>
      <w:proofErr w:type="gramEnd"/>
      <w:r w:rsidR="0031458E" w:rsidRPr="00086184">
        <w:rPr>
          <w:szCs w:val="24"/>
        </w:rPr>
        <w:t xml:space="preserve"> veiklos išorinio vertinimo rezultatus ir </w:t>
      </w:r>
      <w:r w:rsidR="007E796F">
        <w:rPr>
          <w:szCs w:val="24"/>
        </w:rPr>
        <w:t xml:space="preserve">kokybės </w:t>
      </w:r>
      <w:r w:rsidR="0031458E" w:rsidRPr="00086184">
        <w:rPr>
          <w:szCs w:val="24"/>
        </w:rPr>
        <w:t xml:space="preserve">vertinimo </w:t>
      </w:r>
      <w:r w:rsidR="007E796F">
        <w:rPr>
          <w:szCs w:val="24"/>
        </w:rPr>
        <w:t>išvadą;</w:t>
      </w:r>
    </w:p>
    <w:p w14:paraId="04427546" w14:textId="521BD99F" w:rsidR="0031458E" w:rsidRPr="00086184" w:rsidRDefault="00924464" w:rsidP="0031458E">
      <w:pPr>
        <w:ind w:firstLine="720"/>
        <w:jc w:val="both"/>
        <w:rPr>
          <w:szCs w:val="24"/>
        </w:rPr>
      </w:pPr>
      <w:r>
        <w:rPr>
          <w:szCs w:val="24"/>
        </w:rPr>
        <w:t>13.2</w:t>
      </w:r>
      <w:r w:rsidR="0031458E" w:rsidRPr="00086184">
        <w:rPr>
          <w:szCs w:val="24"/>
        </w:rPr>
        <w:t>.11. siūlo priemones, padėsiančias NVŠ teikėjui gerinti veiklos kokybę.</w:t>
      </w:r>
    </w:p>
    <w:p w14:paraId="0499A6E5" w14:textId="48CCAD1C" w:rsidR="0031458E" w:rsidRPr="00086184" w:rsidRDefault="005B4ED6" w:rsidP="0031458E">
      <w:pPr>
        <w:ind w:firstLine="720"/>
        <w:jc w:val="both"/>
        <w:rPr>
          <w:szCs w:val="24"/>
        </w:rPr>
      </w:pPr>
      <w:r>
        <w:rPr>
          <w:szCs w:val="24"/>
        </w:rPr>
        <w:t>14</w:t>
      </w:r>
      <w:r w:rsidR="0031458E" w:rsidRPr="00086184">
        <w:rPr>
          <w:szCs w:val="24"/>
        </w:rPr>
        <w:t>. NVŠ teikėjas, gavęs išorinio vertinimo rezultatus ir kokybės vertinimo išvadą:</w:t>
      </w:r>
    </w:p>
    <w:p w14:paraId="15A455F8" w14:textId="20B96768" w:rsidR="0031458E" w:rsidRPr="00086184" w:rsidRDefault="005B4ED6" w:rsidP="0031458E">
      <w:pPr>
        <w:ind w:firstLine="720"/>
        <w:jc w:val="both"/>
        <w:rPr>
          <w:szCs w:val="24"/>
        </w:rPr>
      </w:pPr>
      <w:r>
        <w:rPr>
          <w:szCs w:val="24"/>
        </w:rPr>
        <w:t>14</w:t>
      </w:r>
      <w:r w:rsidR="007E796F">
        <w:rPr>
          <w:szCs w:val="24"/>
        </w:rPr>
        <w:t>.1. su rezultatais ir išvada</w:t>
      </w:r>
      <w:r w:rsidR="0031458E" w:rsidRPr="00086184">
        <w:rPr>
          <w:szCs w:val="24"/>
        </w:rPr>
        <w:t xml:space="preserve"> per 10 darbo dienų supažindina bendruomenę;</w:t>
      </w:r>
    </w:p>
    <w:p w14:paraId="5C82B61A" w14:textId="378A48E4" w:rsidR="0031458E" w:rsidRPr="00086184" w:rsidRDefault="005B4ED6" w:rsidP="0031458E">
      <w:pPr>
        <w:ind w:firstLine="720"/>
        <w:jc w:val="both"/>
        <w:rPr>
          <w:szCs w:val="24"/>
        </w:rPr>
      </w:pPr>
      <w:r>
        <w:rPr>
          <w:szCs w:val="24"/>
        </w:rPr>
        <w:t>14</w:t>
      </w:r>
      <w:r w:rsidR="0031458E">
        <w:rPr>
          <w:szCs w:val="24"/>
        </w:rPr>
        <w:t>.2. informaciją</w:t>
      </w:r>
      <w:r w:rsidR="007E796F">
        <w:rPr>
          <w:szCs w:val="24"/>
        </w:rPr>
        <w:t xml:space="preserve"> apie</w:t>
      </w:r>
      <w:r w:rsidR="0031458E" w:rsidRPr="00086184">
        <w:rPr>
          <w:szCs w:val="24"/>
        </w:rPr>
        <w:t xml:space="preserve"> išorinį v</w:t>
      </w:r>
      <w:r w:rsidR="007E796F">
        <w:rPr>
          <w:szCs w:val="24"/>
        </w:rPr>
        <w:t>ertinimą viešai skelbia NVŠ teikėjo</w:t>
      </w:r>
      <w:r w:rsidR="0031458E" w:rsidRPr="00086184">
        <w:rPr>
          <w:szCs w:val="24"/>
        </w:rPr>
        <w:t xml:space="preserve"> tinklapyje ar kitose viešojo informavimo priemonėse;</w:t>
      </w:r>
    </w:p>
    <w:p w14:paraId="1D90E754" w14:textId="77F227A5" w:rsidR="0031458E" w:rsidRPr="00086184" w:rsidRDefault="005B4ED6" w:rsidP="0031458E">
      <w:pPr>
        <w:ind w:firstLine="720"/>
        <w:jc w:val="both"/>
        <w:rPr>
          <w:szCs w:val="24"/>
        </w:rPr>
      </w:pPr>
      <w:r>
        <w:rPr>
          <w:szCs w:val="24"/>
        </w:rPr>
        <w:t>14</w:t>
      </w:r>
      <w:r w:rsidR="0031458E" w:rsidRPr="00086184">
        <w:rPr>
          <w:szCs w:val="24"/>
        </w:rPr>
        <w:t xml:space="preserve">.3. parengia veiklos tobulinimo planą ir jį pateikia Švietimo, kultūros ir </w:t>
      </w:r>
      <w:proofErr w:type="gramStart"/>
      <w:r w:rsidR="0031458E" w:rsidRPr="00086184">
        <w:rPr>
          <w:szCs w:val="24"/>
        </w:rPr>
        <w:t>sporto skyriui</w:t>
      </w:r>
      <w:proofErr w:type="gramEnd"/>
      <w:r w:rsidR="0031458E" w:rsidRPr="00086184">
        <w:rPr>
          <w:szCs w:val="24"/>
        </w:rPr>
        <w:t xml:space="preserve">. </w:t>
      </w:r>
    </w:p>
    <w:p w14:paraId="5B0739DC" w14:textId="77777777" w:rsidR="0031458E" w:rsidRPr="00086184" w:rsidRDefault="0031458E" w:rsidP="0031458E">
      <w:pPr>
        <w:jc w:val="both"/>
        <w:rPr>
          <w:szCs w:val="24"/>
        </w:rPr>
      </w:pPr>
    </w:p>
    <w:p w14:paraId="3F439D8A" w14:textId="77777777" w:rsidR="0031458E" w:rsidRPr="00086184" w:rsidRDefault="0031458E" w:rsidP="0031458E">
      <w:pPr>
        <w:jc w:val="center"/>
        <w:rPr>
          <w:b/>
          <w:bCs/>
          <w:color w:val="000000" w:themeColor="text1"/>
          <w:szCs w:val="24"/>
        </w:rPr>
      </w:pPr>
      <w:r>
        <w:rPr>
          <w:b/>
          <w:bCs/>
          <w:color w:val="000000" w:themeColor="text1"/>
          <w:szCs w:val="24"/>
        </w:rPr>
        <w:t>I</w:t>
      </w:r>
      <w:r w:rsidRPr="00086184">
        <w:rPr>
          <w:b/>
          <w:bCs/>
          <w:color w:val="000000" w:themeColor="text1"/>
          <w:szCs w:val="24"/>
        </w:rPr>
        <w:t>V SKYRIUS</w:t>
      </w:r>
    </w:p>
    <w:p w14:paraId="1FFF9133" w14:textId="77777777" w:rsidR="0031458E" w:rsidRPr="00086184" w:rsidRDefault="0031458E" w:rsidP="0031458E">
      <w:pPr>
        <w:jc w:val="center"/>
        <w:rPr>
          <w:b/>
          <w:bCs/>
          <w:color w:val="000000" w:themeColor="text1"/>
          <w:szCs w:val="24"/>
        </w:rPr>
      </w:pPr>
      <w:r w:rsidRPr="00086184">
        <w:rPr>
          <w:b/>
          <w:bCs/>
          <w:color w:val="000000" w:themeColor="text1"/>
          <w:szCs w:val="24"/>
        </w:rPr>
        <w:lastRenderedPageBreak/>
        <w:t>BAIGIAMOSIOS NUOSTATOS</w:t>
      </w:r>
    </w:p>
    <w:p w14:paraId="2A7211BE" w14:textId="77777777" w:rsidR="0031458E" w:rsidRPr="00086184" w:rsidRDefault="0031458E" w:rsidP="0031458E">
      <w:pPr>
        <w:rPr>
          <w:szCs w:val="24"/>
        </w:rPr>
      </w:pPr>
    </w:p>
    <w:p w14:paraId="751F730C" w14:textId="50C22201" w:rsidR="0031458E" w:rsidRPr="00086184" w:rsidRDefault="00A145A4" w:rsidP="0031458E">
      <w:pPr>
        <w:ind w:firstLine="720"/>
        <w:jc w:val="both"/>
        <w:rPr>
          <w:szCs w:val="24"/>
        </w:rPr>
      </w:pPr>
      <w:r>
        <w:rPr>
          <w:szCs w:val="24"/>
        </w:rPr>
        <w:t>15</w:t>
      </w:r>
      <w:r w:rsidR="0031458E" w:rsidRPr="00086184">
        <w:rPr>
          <w:szCs w:val="24"/>
        </w:rPr>
        <w:t xml:space="preserve">. Išoriniam vertinimui organizuoti ir vykdyti naudojamos savivaldybės biudžeto ar kitų teisės aktų nustatyta tvarka numatytos lėšos. </w:t>
      </w:r>
    </w:p>
    <w:p w14:paraId="528D8912" w14:textId="137CF93C" w:rsidR="0031458E" w:rsidRPr="00086184" w:rsidRDefault="00A145A4" w:rsidP="0031458E">
      <w:pPr>
        <w:ind w:firstLine="720"/>
        <w:jc w:val="both"/>
        <w:rPr>
          <w:szCs w:val="24"/>
        </w:rPr>
      </w:pPr>
      <w:r>
        <w:rPr>
          <w:szCs w:val="24"/>
        </w:rPr>
        <w:t>16</w:t>
      </w:r>
      <w:r w:rsidR="0031458E" w:rsidRPr="00086184">
        <w:rPr>
          <w:szCs w:val="24"/>
        </w:rPr>
        <w:t xml:space="preserve">. Išorinio vertinimo vykdymo data gali būti pakeista dėl </w:t>
      </w:r>
      <w:proofErr w:type="spellStart"/>
      <w:r w:rsidR="0031458E" w:rsidRPr="004C6926">
        <w:rPr>
          <w:i/>
          <w:iCs/>
          <w:szCs w:val="24"/>
        </w:rPr>
        <w:t>force</w:t>
      </w:r>
      <w:proofErr w:type="spellEnd"/>
      <w:r w:rsidR="0031458E" w:rsidRPr="004C6926">
        <w:rPr>
          <w:i/>
          <w:iCs/>
          <w:szCs w:val="24"/>
        </w:rPr>
        <w:t xml:space="preserve"> majeure</w:t>
      </w:r>
      <w:r w:rsidR="0031458E" w:rsidRPr="00086184">
        <w:rPr>
          <w:szCs w:val="24"/>
        </w:rPr>
        <w:t xml:space="preserve"> aplinkybių. </w:t>
      </w:r>
    </w:p>
    <w:p w14:paraId="1AD05F2B" w14:textId="5DF60295" w:rsidR="0031458E" w:rsidRPr="00086184" w:rsidRDefault="00A145A4" w:rsidP="0031458E">
      <w:pPr>
        <w:ind w:firstLine="720"/>
        <w:jc w:val="both"/>
        <w:rPr>
          <w:szCs w:val="24"/>
        </w:rPr>
      </w:pPr>
      <w:r>
        <w:rPr>
          <w:szCs w:val="24"/>
        </w:rPr>
        <w:t>17</w:t>
      </w:r>
      <w:r w:rsidR="0031458E">
        <w:rPr>
          <w:szCs w:val="24"/>
        </w:rPr>
        <w:t>. Informacija apie NVŠ</w:t>
      </w:r>
      <w:r w:rsidR="0031458E" w:rsidRPr="00086184">
        <w:rPr>
          <w:szCs w:val="24"/>
        </w:rPr>
        <w:t xml:space="preserve"> te</w:t>
      </w:r>
      <w:r w:rsidR="007E796F">
        <w:rPr>
          <w:szCs w:val="24"/>
        </w:rPr>
        <w:t>ikėjų</w:t>
      </w:r>
      <w:r w:rsidR="0031458E">
        <w:rPr>
          <w:szCs w:val="24"/>
        </w:rPr>
        <w:t xml:space="preserve"> išorinį vert</w:t>
      </w:r>
      <w:r w:rsidR="007E796F">
        <w:rPr>
          <w:szCs w:val="24"/>
        </w:rPr>
        <w:t>inimą skelbiama</w:t>
      </w:r>
      <w:r w:rsidR="0031458E">
        <w:rPr>
          <w:szCs w:val="24"/>
        </w:rPr>
        <w:t xml:space="preserve"> savivaldybės</w:t>
      </w:r>
      <w:r w:rsidR="007E796F">
        <w:rPr>
          <w:szCs w:val="24"/>
        </w:rPr>
        <w:t xml:space="preserve"> tinklapy</w:t>
      </w:r>
      <w:r w:rsidR="0031458E" w:rsidRPr="00086184">
        <w:rPr>
          <w:szCs w:val="24"/>
        </w:rPr>
        <w:t>je</w:t>
      </w:r>
      <w:r w:rsidR="0031458E">
        <w:rPr>
          <w:szCs w:val="24"/>
        </w:rPr>
        <w:t>.</w:t>
      </w:r>
    </w:p>
    <w:p w14:paraId="0E742AEB" w14:textId="444ADA9F" w:rsidR="0031458E" w:rsidRPr="00086184" w:rsidRDefault="00A145A4" w:rsidP="00F26C8B">
      <w:pPr>
        <w:ind w:firstLine="720"/>
        <w:jc w:val="both"/>
        <w:rPr>
          <w:szCs w:val="24"/>
        </w:rPr>
      </w:pPr>
      <w:r>
        <w:rPr>
          <w:szCs w:val="24"/>
        </w:rPr>
        <w:t>18</w:t>
      </w:r>
      <w:r w:rsidR="0031458E" w:rsidRPr="00086184">
        <w:rPr>
          <w:szCs w:val="24"/>
        </w:rPr>
        <w:t xml:space="preserve">. Švietimo, kultūros ir </w:t>
      </w:r>
      <w:proofErr w:type="gramStart"/>
      <w:r w:rsidR="0031458E" w:rsidRPr="00086184">
        <w:rPr>
          <w:szCs w:val="24"/>
        </w:rPr>
        <w:t>sporto skyrius</w:t>
      </w:r>
      <w:proofErr w:type="gramEnd"/>
      <w:r w:rsidR="0031458E" w:rsidRPr="00086184">
        <w:rPr>
          <w:szCs w:val="24"/>
        </w:rPr>
        <w:t xml:space="preserve"> turi teisę inicijuoti </w:t>
      </w:r>
      <w:r w:rsidR="0031458E">
        <w:rPr>
          <w:szCs w:val="24"/>
        </w:rPr>
        <w:t xml:space="preserve">NVŠ teikėjų </w:t>
      </w:r>
      <w:r w:rsidR="007E796F" w:rsidRPr="00086184">
        <w:rPr>
          <w:szCs w:val="24"/>
        </w:rPr>
        <w:t>išorinio vertin</w:t>
      </w:r>
      <w:r w:rsidR="007E796F">
        <w:rPr>
          <w:szCs w:val="24"/>
        </w:rPr>
        <w:t xml:space="preserve">imo </w:t>
      </w:r>
      <w:r w:rsidR="0031458E">
        <w:rPr>
          <w:szCs w:val="24"/>
        </w:rPr>
        <w:t>sąrašą</w:t>
      </w:r>
      <w:r w:rsidR="0031458E" w:rsidRPr="00086184">
        <w:rPr>
          <w:szCs w:val="24"/>
        </w:rPr>
        <w:t xml:space="preserve"> bei yra atsakingas už Tvarkos aprašo įgyvendinimą ir kontrolę.</w:t>
      </w:r>
    </w:p>
    <w:p w14:paraId="26689E98" w14:textId="536F4ECB" w:rsidR="0031458E" w:rsidRPr="00086184" w:rsidRDefault="0031458E" w:rsidP="0031458E">
      <w:pPr>
        <w:jc w:val="center"/>
        <w:rPr>
          <w:szCs w:val="24"/>
        </w:rPr>
      </w:pPr>
      <w:r w:rsidRPr="00086184">
        <w:rPr>
          <w:szCs w:val="24"/>
        </w:rPr>
        <w:t>________________</w:t>
      </w:r>
    </w:p>
    <w:p w14:paraId="1698E724" w14:textId="77777777" w:rsidR="0031458E" w:rsidRPr="005270C2" w:rsidRDefault="0031458E" w:rsidP="0031458E">
      <w:pPr>
        <w:jc w:val="center"/>
        <w:rPr>
          <w:szCs w:val="24"/>
        </w:rPr>
      </w:pPr>
    </w:p>
    <w:bookmarkEnd w:id="0"/>
    <w:p w14:paraId="02E81338" w14:textId="77777777" w:rsidR="0031458E" w:rsidRDefault="0031458E" w:rsidP="0031458E"/>
    <w:p w14:paraId="44DACA5F" w14:textId="77777777" w:rsidR="00BA6694" w:rsidRDefault="00BA6694">
      <w:pPr>
        <w:rPr>
          <w:szCs w:val="24"/>
          <w:lang w:val="en-US" w:eastAsia="lt-LT"/>
        </w:rPr>
      </w:pPr>
    </w:p>
    <w:p w14:paraId="44DACA60" w14:textId="77777777" w:rsidR="00BA6694" w:rsidRDefault="00BA6694" w:rsidP="00624453">
      <w:pPr>
        <w:widowControl w:val="0"/>
        <w:tabs>
          <w:tab w:val="left" w:pos="1560"/>
        </w:tabs>
      </w:pPr>
    </w:p>
    <w:p w14:paraId="53820535" w14:textId="77777777" w:rsidR="00624453" w:rsidRDefault="00624453" w:rsidP="00624453">
      <w:pPr>
        <w:tabs>
          <w:tab w:val="left" w:pos="1560"/>
        </w:tabs>
        <w:ind w:firstLine="5165"/>
        <w:sectPr w:rsidR="00624453" w:rsidSect="00AA1440">
          <w:headerReference w:type="default" r:id="rId12"/>
          <w:headerReference w:type="first" r:id="rId13"/>
          <w:pgSz w:w="11907" w:h="16840" w:code="9"/>
          <w:pgMar w:top="1138" w:right="562" w:bottom="1238" w:left="1699" w:header="288" w:footer="720" w:gutter="0"/>
          <w:pgNumType w:start="1"/>
          <w:cols w:space="720"/>
          <w:noEndnote/>
          <w:titlePg/>
          <w:docGrid w:linePitch="326"/>
        </w:sectPr>
      </w:pPr>
    </w:p>
    <w:p w14:paraId="78311C8B" w14:textId="77777777" w:rsidR="007E796F" w:rsidRDefault="00FA62E8" w:rsidP="007E796F">
      <w:pPr>
        <w:widowControl w:val="0"/>
        <w:ind w:left="4193" w:firstLine="3289"/>
        <w:jc w:val="both"/>
        <w:rPr>
          <w:color w:val="000000"/>
          <w:szCs w:val="24"/>
          <w:lang w:eastAsia="lt-LT"/>
        </w:rPr>
      </w:pPr>
      <w:r>
        <w:rPr>
          <w:color w:val="000000"/>
          <w:szCs w:val="24"/>
          <w:lang w:eastAsia="lt-LT"/>
        </w:rPr>
        <w:lastRenderedPageBreak/>
        <w:t>Panevėžio rajono savivaldybės neformaliojo vaikų</w:t>
      </w:r>
      <w:r w:rsidR="002D231B">
        <w:rPr>
          <w:color w:val="000000"/>
          <w:szCs w:val="24"/>
          <w:lang w:eastAsia="lt-LT"/>
        </w:rPr>
        <w:t xml:space="preserve"> švietimo</w:t>
      </w:r>
      <w:r w:rsidR="007E796F">
        <w:rPr>
          <w:color w:val="000000"/>
          <w:szCs w:val="24"/>
          <w:lang w:eastAsia="lt-LT"/>
        </w:rPr>
        <w:t xml:space="preserve"> </w:t>
      </w:r>
    </w:p>
    <w:p w14:paraId="379F8EDA" w14:textId="0F20EEA5" w:rsidR="001E3EE2" w:rsidRDefault="00FA62E8" w:rsidP="007E796F">
      <w:pPr>
        <w:widowControl w:val="0"/>
        <w:ind w:left="4193" w:firstLine="3289"/>
        <w:jc w:val="both"/>
        <w:rPr>
          <w:color w:val="000000"/>
          <w:szCs w:val="24"/>
          <w:lang w:eastAsia="lt-LT"/>
        </w:rPr>
      </w:pPr>
      <w:r>
        <w:rPr>
          <w:color w:val="000000"/>
          <w:szCs w:val="24"/>
          <w:lang w:eastAsia="lt-LT"/>
        </w:rPr>
        <w:t>tei</w:t>
      </w:r>
      <w:r w:rsidR="00EA316D">
        <w:rPr>
          <w:color w:val="000000"/>
          <w:szCs w:val="24"/>
          <w:lang w:eastAsia="lt-LT"/>
        </w:rPr>
        <w:t>kėjų veiklos išorinio</w:t>
      </w:r>
      <w:r w:rsidR="0050351B">
        <w:rPr>
          <w:color w:val="000000"/>
          <w:szCs w:val="24"/>
          <w:lang w:eastAsia="lt-LT"/>
        </w:rPr>
        <w:t xml:space="preserve"> vertinimo</w:t>
      </w:r>
      <w:r>
        <w:rPr>
          <w:color w:val="000000"/>
          <w:szCs w:val="24"/>
          <w:lang w:eastAsia="lt-LT"/>
        </w:rPr>
        <w:t xml:space="preserve"> tvarkos </w:t>
      </w:r>
      <w:r w:rsidR="00D430D2">
        <w:rPr>
          <w:color w:val="000000"/>
          <w:szCs w:val="24"/>
          <w:lang w:eastAsia="lt-LT"/>
        </w:rPr>
        <w:t>aprašo</w:t>
      </w:r>
      <w:r w:rsidR="001E3EE2">
        <w:rPr>
          <w:color w:val="000000"/>
          <w:szCs w:val="24"/>
          <w:lang w:eastAsia="lt-LT"/>
        </w:rPr>
        <w:t xml:space="preserve"> </w:t>
      </w:r>
    </w:p>
    <w:p w14:paraId="09491600" w14:textId="004C8718" w:rsidR="00FA62E8" w:rsidRDefault="002D231B" w:rsidP="007E796F">
      <w:pPr>
        <w:widowControl w:val="0"/>
        <w:ind w:left="6235" w:firstLine="1247"/>
        <w:jc w:val="both"/>
        <w:rPr>
          <w:b/>
          <w:szCs w:val="24"/>
        </w:rPr>
      </w:pPr>
      <w:r>
        <w:rPr>
          <w:color w:val="000000"/>
          <w:szCs w:val="24"/>
          <w:lang w:eastAsia="lt-LT"/>
        </w:rPr>
        <w:t>1 priedas</w:t>
      </w:r>
      <w:proofErr w:type="gramStart"/>
      <w:r>
        <w:rPr>
          <w:color w:val="000000"/>
          <w:szCs w:val="24"/>
          <w:lang w:eastAsia="lt-LT"/>
        </w:rPr>
        <w:t xml:space="preserve">                                           </w:t>
      </w:r>
      <w:proofErr w:type="gramEnd"/>
    </w:p>
    <w:p w14:paraId="53DDA2A4" w14:textId="77777777" w:rsidR="00FA62E8" w:rsidRDefault="00FA62E8" w:rsidP="00FA62E8">
      <w:pPr>
        <w:jc w:val="right"/>
        <w:rPr>
          <w:b/>
          <w:szCs w:val="24"/>
        </w:rPr>
      </w:pPr>
    </w:p>
    <w:p w14:paraId="44DACAF9" w14:textId="49A094C9" w:rsidR="00BA6694" w:rsidRPr="007E796F" w:rsidRDefault="00624453">
      <w:pPr>
        <w:widowControl w:val="0"/>
        <w:ind w:firstLine="2552"/>
        <w:rPr>
          <w:b/>
          <w:sz w:val="22"/>
          <w:szCs w:val="22"/>
        </w:rPr>
      </w:pPr>
      <w:r w:rsidRPr="007E796F">
        <w:rPr>
          <w:b/>
          <w:color w:val="000000"/>
          <w:sz w:val="22"/>
          <w:szCs w:val="22"/>
          <w:lang w:eastAsia="lt-LT"/>
        </w:rPr>
        <w:t>(Neformaliojo vaikų švietimo kokybės rodiklių įsivertinimo ir išor</w:t>
      </w:r>
      <w:r w:rsidR="007E796F">
        <w:rPr>
          <w:b/>
          <w:color w:val="000000"/>
          <w:sz w:val="22"/>
          <w:szCs w:val="22"/>
          <w:lang w:eastAsia="lt-LT"/>
        </w:rPr>
        <w:t>inio vertinimo rezultatų</w:t>
      </w:r>
      <w:r w:rsidRPr="007E796F">
        <w:rPr>
          <w:b/>
          <w:color w:val="000000"/>
          <w:sz w:val="22"/>
          <w:szCs w:val="22"/>
          <w:lang w:eastAsia="lt-LT"/>
        </w:rPr>
        <w:t xml:space="preserve"> forma)</w:t>
      </w:r>
    </w:p>
    <w:p w14:paraId="44DACAFA" w14:textId="77777777" w:rsidR="00BA6694" w:rsidRPr="007E796F" w:rsidRDefault="00BA6694">
      <w:pPr>
        <w:jc w:val="center"/>
        <w:rPr>
          <w:sz w:val="22"/>
          <w:szCs w:val="22"/>
        </w:rPr>
      </w:pPr>
    </w:p>
    <w:p w14:paraId="44DACAFB" w14:textId="36195347" w:rsidR="00BA6694" w:rsidRDefault="00624453">
      <w:pPr>
        <w:jc w:val="center"/>
        <w:rPr>
          <w:b/>
          <w:sz w:val="22"/>
          <w:szCs w:val="22"/>
        </w:rPr>
      </w:pPr>
      <w:r>
        <w:rPr>
          <w:b/>
          <w:sz w:val="22"/>
          <w:szCs w:val="22"/>
        </w:rPr>
        <w:t>NEFORMALIOJO V</w:t>
      </w:r>
      <w:r w:rsidR="000D7C32">
        <w:rPr>
          <w:b/>
          <w:sz w:val="22"/>
          <w:szCs w:val="22"/>
        </w:rPr>
        <w:t xml:space="preserve">AIKŲ ŠVIETIMO KOKYBĖS RODIKLIŲ </w:t>
      </w:r>
      <w:r>
        <w:rPr>
          <w:b/>
          <w:sz w:val="22"/>
          <w:szCs w:val="22"/>
        </w:rPr>
        <w:t>ĮSIVERTINIMO IR IŠORINIO VERTINIMO REZULTATAI</w:t>
      </w:r>
    </w:p>
    <w:p w14:paraId="44DACAFC" w14:textId="77777777" w:rsidR="00BA6694" w:rsidRDefault="00BA6694">
      <w:pPr>
        <w:tabs>
          <w:tab w:val="left" w:pos="4904"/>
          <w:tab w:val="center" w:pos="7001"/>
        </w:tabs>
        <w:ind w:firstLine="4904"/>
        <w:rPr>
          <w:sz w:val="22"/>
          <w:szCs w:val="22"/>
        </w:rPr>
      </w:pPr>
    </w:p>
    <w:tbl>
      <w:tblPr>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6723"/>
        <w:gridCol w:w="6377"/>
      </w:tblGrid>
      <w:tr w:rsidR="00BA6694" w14:paraId="44DACB04" w14:textId="77777777">
        <w:trPr>
          <w:trHeight w:val="410"/>
        </w:trPr>
        <w:tc>
          <w:tcPr>
            <w:tcW w:w="1526" w:type="dxa"/>
            <w:vMerge w:val="restart"/>
            <w:tcBorders>
              <w:top w:val="single" w:sz="4" w:space="0" w:color="auto"/>
              <w:left w:val="single" w:sz="4" w:space="0" w:color="auto"/>
              <w:bottom w:val="single" w:sz="4" w:space="0" w:color="auto"/>
              <w:right w:val="single" w:sz="4" w:space="0" w:color="auto"/>
            </w:tcBorders>
          </w:tcPr>
          <w:p w14:paraId="44DACAFD" w14:textId="77777777" w:rsidR="00BA6694" w:rsidRDefault="00BA6694">
            <w:pPr>
              <w:jc w:val="center"/>
              <w:rPr>
                <w:b/>
                <w:sz w:val="22"/>
                <w:szCs w:val="22"/>
              </w:rPr>
            </w:pPr>
          </w:p>
          <w:p w14:paraId="44DACAFE" w14:textId="77777777" w:rsidR="00BA6694" w:rsidRDefault="00624453">
            <w:pPr>
              <w:jc w:val="center"/>
              <w:rPr>
                <w:b/>
                <w:sz w:val="22"/>
                <w:szCs w:val="22"/>
              </w:rPr>
            </w:pPr>
            <w:r>
              <w:rPr>
                <w:b/>
                <w:sz w:val="22"/>
                <w:szCs w:val="22"/>
              </w:rPr>
              <w:t>RODIKLIS</w:t>
            </w:r>
          </w:p>
          <w:p w14:paraId="44DACAFF" w14:textId="77777777" w:rsidR="00BA6694" w:rsidRDefault="00BA6694">
            <w:pPr>
              <w:jc w:val="center"/>
              <w:rPr>
                <w:b/>
                <w:sz w:val="22"/>
                <w:szCs w:val="22"/>
              </w:rPr>
            </w:pPr>
          </w:p>
        </w:tc>
        <w:tc>
          <w:tcPr>
            <w:tcW w:w="6726" w:type="dxa"/>
            <w:vMerge w:val="restart"/>
            <w:tcBorders>
              <w:top w:val="single" w:sz="4" w:space="0" w:color="auto"/>
              <w:left w:val="single" w:sz="4" w:space="0" w:color="auto"/>
              <w:bottom w:val="single" w:sz="4" w:space="0" w:color="auto"/>
              <w:right w:val="single" w:sz="4" w:space="0" w:color="auto"/>
            </w:tcBorders>
          </w:tcPr>
          <w:p w14:paraId="44DACB00" w14:textId="77777777" w:rsidR="00BA6694" w:rsidRDefault="00BA6694">
            <w:pPr>
              <w:tabs>
                <w:tab w:val="left" w:pos="33"/>
              </w:tabs>
              <w:ind w:left="33"/>
              <w:jc w:val="center"/>
              <w:rPr>
                <w:b/>
                <w:sz w:val="22"/>
                <w:szCs w:val="22"/>
              </w:rPr>
            </w:pPr>
          </w:p>
          <w:p w14:paraId="44DACB01" w14:textId="4690B770" w:rsidR="00BA6694" w:rsidRDefault="006D2F84">
            <w:pPr>
              <w:tabs>
                <w:tab w:val="left" w:pos="33"/>
              </w:tabs>
              <w:ind w:left="33"/>
              <w:jc w:val="center"/>
              <w:rPr>
                <w:b/>
                <w:sz w:val="22"/>
                <w:szCs w:val="22"/>
              </w:rPr>
            </w:pPr>
            <w:r>
              <w:rPr>
                <w:b/>
                <w:sz w:val="22"/>
                <w:szCs w:val="22"/>
              </w:rPr>
              <w:t xml:space="preserve">RODIKLIO </w:t>
            </w:r>
            <w:r w:rsidR="00624453">
              <w:rPr>
                <w:b/>
                <w:sz w:val="22"/>
                <w:szCs w:val="22"/>
              </w:rPr>
              <w:t xml:space="preserve">ASPEKTAI </w:t>
            </w:r>
          </w:p>
        </w:tc>
        <w:tc>
          <w:tcPr>
            <w:tcW w:w="6380" w:type="dxa"/>
            <w:vMerge w:val="restart"/>
            <w:tcBorders>
              <w:top w:val="single" w:sz="4" w:space="0" w:color="auto"/>
              <w:left w:val="single" w:sz="4" w:space="0" w:color="auto"/>
              <w:bottom w:val="single" w:sz="4" w:space="0" w:color="auto"/>
              <w:right w:val="single" w:sz="4" w:space="0" w:color="auto"/>
            </w:tcBorders>
          </w:tcPr>
          <w:p w14:paraId="44DACB02" w14:textId="77777777" w:rsidR="00BA6694" w:rsidRDefault="00BA6694">
            <w:pPr>
              <w:jc w:val="center"/>
              <w:rPr>
                <w:b/>
                <w:sz w:val="22"/>
                <w:szCs w:val="22"/>
              </w:rPr>
            </w:pPr>
          </w:p>
          <w:p w14:paraId="44DACB03" w14:textId="0F7B8692" w:rsidR="00BA6694" w:rsidRDefault="001C6F3E">
            <w:pPr>
              <w:tabs>
                <w:tab w:val="center" w:pos="2840"/>
                <w:tab w:val="left" w:pos="4605"/>
              </w:tabs>
              <w:jc w:val="center"/>
              <w:rPr>
                <w:b/>
                <w:sz w:val="22"/>
                <w:szCs w:val="22"/>
              </w:rPr>
            </w:pPr>
            <w:r>
              <w:rPr>
                <w:b/>
                <w:sz w:val="22"/>
                <w:szCs w:val="22"/>
              </w:rPr>
              <w:t xml:space="preserve">RODIKLIO </w:t>
            </w:r>
            <w:r w:rsidR="00624453">
              <w:rPr>
                <w:b/>
                <w:sz w:val="22"/>
                <w:szCs w:val="22"/>
              </w:rPr>
              <w:t>ĮSIVERTINIMO / VERTINIMO PAGRINDIMAS</w:t>
            </w:r>
          </w:p>
        </w:tc>
      </w:tr>
      <w:tr w:rsidR="00BA6694" w14:paraId="44DACB08" w14:textId="77777777">
        <w:trPr>
          <w:cantSplit/>
          <w:trHeight w:val="328"/>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05" w14:textId="77777777" w:rsidR="00BA6694" w:rsidRDefault="00BA6694">
            <w:pPr>
              <w:rPr>
                <w:b/>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06" w14:textId="77777777" w:rsidR="00BA6694" w:rsidRDefault="00BA6694">
            <w:pPr>
              <w:rPr>
                <w:b/>
                <w:sz w:val="22"/>
                <w:szCs w:val="22"/>
              </w:rPr>
            </w:pPr>
          </w:p>
        </w:tc>
        <w:tc>
          <w:tcPr>
            <w:tcW w:w="6380" w:type="dxa"/>
            <w:vMerge/>
            <w:tcBorders>
              <w:top w:val="single" w:sz="4" w:space="0" w:color="auto"/>
              <w:left w:val="single" w:sz="4" w:space="0" w:color="auto"/>
              <w:bottom w:val="single" w:sz="4" w:space="0" w:color="auto"/>
              <w:right w:val="single" w:sz="4" w:space="0" w:color="auto"/>
            </w:tcBorders>
            <w:vAlign w:val="center"/>
            <w:hideMark/>
          </w:tcPr>
          <w:p w14:paraId="44DACB07" w14:textId="77777777" w:rsidR="00BA6694" w:rsidRDefault="00BA6694">
            <w:pPr>
              <w:rPr>
                <w:b/>
                <w:sz w:val="22"/>
                <w:szCs w:val="22"/>
              </w:rPr>
            </w:pPr>
          </w:p>
        </w:tc>
      </w:tr>
      <w:tr w:rsidR="00BA6694" w14:paraId="44DACB0A" w14:textId="77777777">
        <w:trPr>
          <w:cantSplit/>
          <w:trHeight w:val="374"/>
        </w:trPr>
        <w:tc>
          <w:tcPr>
            <w:tcW w:w="14632" w:type="dxa"/>
            <w:gridSpan w:val="3"/>
            <w:tcBorders>
              <w:top w:val="single" w:sz="4" w:space="0" w:color="auto"/>
              <w:left w:val="single" w:sz="4" w:space="0" w:color="auto"/>
              <w:bottom w:val="single" w:sz="4" w:space="0" w:color="auto"/>
              <w:right w:val="single" w:sz="4" w:space="0" w:color="auto"/>
            </w:tcBorders>
            <w:hideMark/>
          </w:tcPr>
          <w:p w14:paraId="44DACB09" w14:textId="77777777" w:rsidR="00BA6694" w:rsidRDefault="00624453">
            <w:pPr>
              <w:tabs>
                <w:tab w:val="center" w:pos="2840"/>
                <w:tab w:val="left" w:pos="4605"/>
              </w:tabs>
              <w:ind w:left="1080" w:hanging="720"/>
              <w:jc w:val="center"/>
              <w:rPr>
                <w:b/>
                <w:sz w:val="22"/>
                <w:szCs w:val="22"/>
              </w:rPr>
            </w:pPr>
            <w:r>
              <w:rPr>
                <w:b/>
                <w:sz w:val="22"/>
                <w:szCs w:val="22"/>
              </w:rPr>
              <w:t>I.</w:t>
            </w:r>
            <w:r>
              <w:rPr>
                <w:b/>
                <w:sz w:val="22"/>
                <w:szCs w:val="22"/>
              </w:rPr>
              <w:tab/>
              <w:t>UGDYMO PASIEKIMŲ IR PAŽANGOS SRITIS</w:t>
            </w:r>
          </w:p>
        </w:tc>
      </w:tr>
      <w:tr w:rsidR="00BA6694" w14:paraId="44DACB17" w14:textId="77777777">
        <w:trPr>
          <w:trHeight w:val="999"/>
        </w:trPr>
        <w:tc>
          <w:tcPr>
            <w:tcW w:w="1526" w:type="dxa"/>
            <w:vMerge w:val="restart"/>
            <w:tcBorders>
              <w:top w:val="single" w:sz="4" w:space="0" w:color="auto"/>
              <w:left w:val="single" w:sz="4" w:space="0" w:color="auto"/>
              <w:bottom w:val="single" w:sz="4" w:space="0" w:color="auto"/>
              <w:right w:val="single" w:sz="4" w:space="0" w:color="auto"/>
            </w:tcBorders>
          </w:tcPr>
          <w:p w14:paraId="44DACB0B" w14:textId="77777777" w:rsidR="00BA6694" w:rsidRDefault="00BA6694">
            <w:pPr>
              <w:rPr>
                <w:sz w:val="18"/>
                <w:szCs w:val="18"/>
              </w:rPr>
            </w:pPr>
          </w:p>
          <w:p w14:paraId="44DACB0C" w14:textId="77777777" w:rsidR="00BA6694" w:rsidRDefault="00624453">
            <w:pPr>
              <w:keepNext/>
              <w:keepLines/>
              <w:outlineLvl w:val="1"/>
              <w:rPr>
                <w:sz w:val="22"/>
                <w:szCs w:val="22"/>
              </w:rPr>
            </w:pPr>
            <w:r>
              <w:rPr>
                <w:sz w:val="22"/>
                <w:szCs w:val="22"/>
              </w:rPr>
              <w:t>1. Ugdymosi tikslai, pasiekimai ir jų vertinimas *</w:t>
            </w:r>
          </w:p>
          <w:p w14:paraId="44DACB0D" w14:textId="77777777" w:rsidR="00BA6694" w:rsidRDefault="00BA6694">
            <w:pPr>
              <w:rPr>
                <w:sz w:val="22"/>
                <w:szCs w:val="22"/>
              </w:rPr>
            </w:pPr>
          </w:p>
        </w:tc>
        <w:tc>
          <w:tcPr>
            <w:tcW w:w="67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ACB0E" w14:textId="77777777" w:rsidR="00BA6694" w:rsidRDefault="00624453">
            <w:pPr>
              <w:tabs>
                <w:tab w:val="left" w:pos="311"/>
                <w:tab w:val="left" w:pos="458"/>
              </w:tabs>
              <w:spacing w:line="254" w:lineRule="auto"/>
              <w:ind w:left="33" w:firstLine="1"/>
              <w:rPr>
                <w:rFonts w:eastAsia="Georgia"/>
                <w:i/>
                <w:sz w:val="22"/>
                <w:szCs w:val="22"/>
                <w:lang w:eastAsia="lt-LT"/>
              </w:rPr>
            </w:pPr>
            <w:r>
              <w:rPr>
                <w:sz w:val="22"/>
                <w:szCs w:val="22"/>
                <w:lang w:eastAsia="lt-LT"/>
              </w:rPr>
              <w:t>1.1.</w:t>
            </w:r>
            <w:r>
              <w:rPr>
                <w:sz w:val="22"/>
                <w:szCs w:val="22"/>
                <w:lang w:eastAsia="lt-LT"/>
              </w:rPr>
              <w:tab/>
            </w:r>
            <w:r>
              <w:rPr>
                <w:sz w:val="22"/>
                <w:szCs w:val="22"/>
              </w:rPr>
              <w:t>Ugdomos vaikų bendrosios ir dalykinės (profesinės) kompetencijos.</w:t>
            </w:r>
          </w:p>
          <w:p w14:paraId="44DACB0F" w14:textId="77777777" w:rsidR="00BA6694" w:rsidRDefault="00624453">
            <w:pPr>
              <w:tabs>
                <w:tab w:val="left" w:pos="311"/>
                <w:tab w:val="left" w:pos="458"/>
              </w:tabs>
              <w:spacing w:line="254" w:lineRule="auto"/>
              <w:ind w:left="33" w:firstLine="1"/>
              <w:rPr>
                <w:sz w:val="22"/>
                <w:szCs w:val="22"/>
              </w:rPr>
            </w:pPr>
            <w:r>
              <w:rPr>
                <w:sz w:val="22"/>
                <w:szCs w:val="22"/>
              </w:rPr>
              <w:t>1.2.</w:t>
            </w:r>
            <w:r>
              <w:rPr>
                <w:sz w:val="22"/>
                <w:szCs w:val="22"/>
              </w:rPr>
              <w:tab/>
              <w:t>Vaikai ir tėvai žino planuojamus ugdymo tikslus.</w:t>
            </w:r>
          </w:p>
          <w:p w14:paraId="44DACB10" w14:textId="77777777" w:rsidR="00BA6694" w:rsidRDefault="00624453">
            <w:pPr>
              <w:tabs>
                <w:tab w:val="left" w:pos="282"/>
                <w:tab w:val="left" w:pos="311"/>
                <w:tab w:val="left" w:pos="458"/>
              </w:tabs>
              <w:spacing w:line="254" w:lineRule="auto"/>
              <w:ind w:left="28" w:firstLine="1"/>
              <w:rPr>
                <w:sz w:val="22"/>
                <w:szCs w:val="22"/>
              </w:rPr>
            </w:pPr>
            <w:r>
              <w:rPr>
                <w:sz w:val="22"/>
                <w:szCs w:val="22"/>
              </w:rPr>
              <w:t>1.3.</w:t>
            </w:r>
            <w:r>
              <w:rPr>
                <w:sz w:val="22"/>
                <w:szCs w:val="22"/>
              </w:rPr>
              <w:tab/>
              <w:t>Teikėjas naudoja individualios vaiko pažangos, pasiekimų atpažinimo ir pažangos vertinimo sistemą.</w:t>
            </w:r>
          </w:p>
          <w:p w14:paraId="44DACB11" w14:textId="77777777" w:rsidR="00BA6694" w:rsidRDefault="00624453">
            <w:pPr>
              <w:tabs>
                <w:tab w:val="left" w:pos="282"/>
                <w:tab w:val="left" w:pos="311"/>
                <w:tab w:val="left" w:pos="458"/>
              </w:tabs>
              <w:spacing w:line="254" w:lineRule="auto"/>
              <w:ind w:left="28" w:firstLine="1"/>
              <w:rPr>
                <w:sz w:val="22"/>
                <w:szCs w:val="22"/>
              </w:rPr>
            </w:pPr>
            <w:r>
              <w:rPr>
                <w:sz w:val="22"/>
                <w:szCs w:val="22"/>
              </w:rPr>
              <w:t>1.4.</w:t>
            </w:r>
            <w:r>
              <w:rPr>
                <w:sz w:val="22"/>
                <w:szCs w:val="22"/>
              </w:rPr>
              <w:tab/>
              <w:t>Vaikui, baigusiam neformaliojo vaikų švietimo programą, išduodamas pažymėjimas, kuriame nurodomos jo įgytos kompetencijos.</w:t>
            </w:r>
          </w:p>
        </w:tc>
        <w:tc>
          <w:tcPr>
            <w:tcW w:w="6380" w:type="dxa"/>
            <w:tcBorders>
              <w:top w:val="single" w:sz="4" w:space="0" w:color="auto"/>
              <w:left w:val="single" w:sz="4" w:space="0" w:color="auto"/>
              <w:bottom w:val="single" w:sz="4" w:space="0" w:color="auto"/>
              <w:right w:val="single" w:sz="4" w:space="0" w:color="auto"/>
            </w:tcBorders>
            <w:hideMark/>
          </w:tcPr>
          <w:p w14:paraId="44DACB12" w14:textId="77777777" w:rsidR="00BA6694" w:rsidRDefault="00624453">
            <w:pPr>
              <w:rPr>
                <w:sz w:val="22"/>
                <w:szCs w:val="22"/>
              </w:rPr>
            </w:pPr>
            <w:r>
              <w:rPr>
                <w:sz w:val="22"/>
                <w:szCs w:val="22"/>
              </w:rPr>
              <w:t>(Įsivertinimo pagrindimas)</w:t>
            </w:r>
            <w:r>
              <w:rPr>
                <w:sz w:val="22"/>
                <w:szCs w:val="22"/>
              </w:rPr>
              <w:br/>
              <w:t xml:space="preserve">Apibendrinamąjį įvertinimą rekomenduojama išreikšti trimis lygiais: aukštas, vidutiniškas, žemas. </w:t>
            </w:r>
          </w:p>
          <w:p w14:paraId="44DACB13" w14:textId="77777777" w:rsidR="00BA6694" w:rsidRDefault="00624453">
            <w:pPr>
              <w:rPr>
                <w:sz w:val="22"/>
                <w:szCs w:val="22"/>
              </w:rPr>
            </w:pPr>
            <w:r>
              <w:rPr>
                <w:sz w:val="22"/>
                <w:szCs w:val="22"/>
              </w:rPr>
              <w:t>Lygių paaiškinimai:</w:t>
            </w:r>
          </w:p>
          <w:p w14:paraId="44DACB14" w14:textId="77777777" w:rsidR="00BA6694" w:rsidRDefault="00624453">
            <w:pPr>
              <w:rPr>
                <w:sz w:val="22"/>
                <w:szCs w:val="22"/>
              </w:rPr>
            </w:pPr>
            <w:r>
              <w:rPr>
                <w:sz w:val="22"/>
                <w:szCs w:val="22"/>
              </w:rPr>
              <w:t>aukštas – geras, puikus, pasižymintis dideliu kiekiu, intensyvus;</w:t>
            </w:r>
          </w:p>
          <w:p w14:paraId="44DACB15" w14:textId="77777777" w:rsidR="00BA6694" w:rsidRDefault="00624453">
            <w:pPr>
              <w:rPr>
                <w:sz w:val="22"/>
                <w:szCs w:val="22"/>
              </w:rPr>
            </w:pPr>
            <w:r>
              <w:rPr>
                <w:sz w:val="22"/>
                <w:szCs w:val="22"/>
              </w:rPr>
              <w:t>vidutiniškas – turintis tam tikrų ypatybių nei daug, nei mažai;</w:t>
            </w:r>
          </w:p>
          <w:p w14:paraId="44DACB16" w14:textId="77777777" w:rsidR="00BA6694" w:rsidRDefault="00624453">
            <w:pPr>
              <w:rPr>
                <w:sz w:val="22"/>
                <w:szCs w:val="22"/>
              </w:rPr>
            </w:pPr>
            <w:r>
              <w:rPr>
                <w:sz w:val="22"/>
                <w:szCs w:val="22"/>
              </w:rPr>
              <w:t>žemas – prastas, menkas, nedidelio kiekio, nepasiekiantis įprasto lygio.</w:t>
            </w:r>
          </w:p>
        </w:tc>
      </w:tr>
      <w:tr w:rsidR="00BA6694" w14:paraId="44DACB1B" w14:textId="77777777">
        <w:trPr>
          <w:trHeight w:val="789"/>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18"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19" w14:textId="77777777" w:rsidR="00BA6694" w:rsidRDefault="00BA6694">
            <w:pPr>
              <w:rPr>
                <w:sz w:val="22"/>
                <w:szCs w:val="22"/>
              </w:rPr>
            </w:pPr>
          </w:p>
        </w:tc>
        <w:tc>
          <w:tcPr>
            <w:tcW w:w="6380" w:type="dxa"/>
            <w:tcBorders>
              <w:top w:val="single" w:sz="4" w:space="0" w:color="auto"/>
              <w:left w:val="single" w:sz="4" w:space="0" w:color="auto"/>
              <w:bottom w:val="single" w:sz="4" w:space="0" w:color="auto"/>
              <w:right w:val="single" w:sz="4" w:space="0" w:color="auto"/>
            </w:tcBorders>
            <w:hideMark/>
          </w:tcPr>
          <w:p w14:paraId="44DACB1A" w14:textId="77777777" w:rsidR="00BA6694" w:rsidRDefault="00624453">
            <w:pPr>
              <w:rPr>
                <w:sz w:val="22"/>
                <w:szCs w:val="22"/>
              </w:rPr>
            </w:pPr>
            <w:r>
              <w:rPr>
                <w:sz w:val="22"/>
                <w:szCs w:val="22"/>
              </w:rPr>
              <w:t>(Vertinimo pagrindimas)</w:t>
            </w:r>
            <w:r>
              <w:rPr>
                <w:sz w:val="22"/>
                <w:szCs w:val="22"/>
              </w:rPr>
              <w:br/>
              <w:t xml:space="preserve">Apibendrinamąjį įvertinimą rekomenduojama išreikšti trimis lygiais (aukštas / vidutiniškas / žemas) </w:t>
            </w:r>
          </w:p>
        </w:tc>
      </w:tr>
      <w:tr w:rsidR="00BA6694" w14:paraId="44DACB20" w14:textId="77777777">
        <w:trPr>
          <w:trHeight w:val="608"/>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1C" w14:textId="77777777" w:rsidR="00BA6694" w:rsidRDefault="00624453">
            <w:pPr>
              <w:rPr>
                <w:sz w:val="22"/>
                <w:szCs w:val="22"/>
              </w:rPr>
            </w:pPr>
            <w:r>
              <w:rPr>
                <w:sz w:val="22"/>
                <w:szCs w:val="22"/>
              </w:rPr>
              <w:t>2. Asmenybės augimas, siejant ugdymą su gyvenimu *</w:t>
            </w:r>
          </w:p>
        </w:tc>
        <w:tc>
          <w:tcPr>
            <w:tcW w:w="67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ACB1D" w14:textId="77777777" w:rsidR="00BA6694" w:rsidRDefault="00624453">
            <w:pPr>
              <w:tabs>
                <w:tab w:val="left" w:pos="141"/>
                <w:tab w:val="left" w:pos="424"/>
              </w:tabs>
              <w:ind w:firstLine="33"/>
              <w:rPr>
                <w:rFonts w:eastAsia="Georgia"/>
                <w:i/>
                <w:strike/>
                <w:sz w:val="22"/>
                <w:szCs w:val="22"/>
                <w:lang w:eastAsia="lt-LT"/>
              </w:rPr>
            </w:pPr>
            <w:r>
              <w:rPr>
                <w:sz w:val="22"/>
                <w:szCs w:val="22"/>
                <w:lang w:eastAsia="lt-LT"/>
              </w:rPr>
              <w:t>2.1.</w:t>
            </w:r>
            <w:r>
              <w:rPr>
                <w:sz w:val="22"/>
                <w:szCs w:val="22"/>
                <w:lang w:eastAsia="lt-LT"/>
              </w:rPr>
              <w:tab/>
            </w:r>
            <w:r>
              <w:rPr>
                <w:sz w:val="22"/>
                <w:szCs w:val="22"/>
              </w:rPr>
              <w:t>Vaikas geba išsikelti asmeninius tikslus, įgyja naujų gebėjimų bei vertybinių nuostatų.</w:t>
            </w:r>
          </w:p>
          <w:p w14:paraId="44DACB1E" w14:textId="77777777" w:rsidR="00BA6694" w:rsidRDefault="00624453">
            <w:pPr>
              <w:tabs>
                <w:tab w:val="left" w:pos="141"/>
                <w:tab w:val="left" w:pos="424"/>
              </w:tabs>
              <w:ind w:firstLine="33"/>
              <w:rPr>
                <w:rFonts w:eastAsia="Georgia"/>
                <w:i/>
                <w:strike/>
                <w:sz w:val="22"/>
                <w:szCs w:val="22"/>
                <w:lang w:eastAsia="lt-LT"/>
              </w:rPr>
            </w:pPr>
            <w:r>
              <w:rPr>
                <w:sz w:val="22"/>
                <w:szCs w:val="22"/>
                <w:lang w:eastAsia="lt-LT"/>
              </w:rPr>
              <w:t>2.2.</w:t>
            </w:r>
            <w:r>
              <w:rPr>
                <w:sz w:val="22"/>
                <w:szCs w:val="22"/>
                <w:lang w:eastAsia="lt-LT"/>
              </w:rPr>
              <w:tab/>
            </w:r>
            <w:r>
              <w:rPr>
                <w:sz w:val="22"/>
                <w:szCs w:val="22"/>
              </w:rPr>
              <w:t>Ugdymo procesas planuojamas taip, kad vaikas galėtų pasidžiaugti savo pasiekimais, gebėtų įveikti nesėkmes.</w:t>
            </w:r>
          </w:p>
        </w:tc>
        <w:tc>
          <w:tcPr>
            <w:tcW w:w="6380" w:type="dxa"/>
            <w:tcBorders>
              <w:top w:val="single" w:sz="4" w:space="0" w:color="auto"/>
              <w:left w:val="single" w:sz="4" w:space="0" w:color="auto"/>
              <w:bottom w:val="single" w:sz="4" w:space="0" w:color="auto"/>
              <w:right w:val="single" w:sz="4" w:space="0" w:color="auto"/>
            </w:tcBorders>
          </w:tcPr>
          <w:p w14:paraId="44DACB1F" w14:textId="77777777" w:rsidR="00BA6694" w:rsidRDefault="00BA6694">
            <w:pPr>
              <w:ind w:firstLine="137"/>
              <w:rPr>
                <w:sz w:val="22"/>
                <w:szCs w:val="22"/>
              </w:rPr>
            </w:pPr>
          </w:p>
        </w:tc>
      </w:tr>
      <w:tr w:rsidR="00BA6694" w14:paraId="44DACB24" w14:textId="77777777">
        <w:trPr>
          <w:trHeight w:val="336"/>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21"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22" w14:textId="77777777" w:rsidR="00BA6694" w:rsidRDefault="00BA6694">
            <w:pPr>
              <w:rPr>
                <w:rFonts w:eastAsia="Georgia"/>
                <w:i/>
                <w:strike/>
                <w:sz w:val="22"/>
                <w:szCs w:val="22"/>
                <w:lang w:eastAsia="lt-LT"/>
              </w:rPr>
            </w:pPr>
          </w:p>
        </w:tc>
        <w:tc>
          <w:tcPr>
            <w:tcW w:w="6380" w:type="dxa"/>
            <w:tcBorders>
              <w:top w:val="single" w:sz="4" w:space="0" w:color="auto"/>
              <w:left w:val="single" w:sz="4" w:space="0" w:color="auto"/>
              <w:bottom w:val="single" w:sz="4" w:space="0" w:color="auto"/>
              <w:right w:val="single" w:sz="4" w:space="0" w:color="auto"/>
            </w:tcBorders>
          </w:tcPr>
          <w:p w14:paraId="44DACB23" w14:textId="77777777" w:rsidR="00BA6694" w:rsidRDefault="00BA6694">
            <w:pPr>
              <w:rPr>
                <w:sz w:val="22"/>
                <w:szCs w:val="22"/>
              </w:rPr>
            </w:pPr>
          </w:p>
        </w:tc>
      </w:tr>
      <w:tr w:rsidR="00BA6694" w14:paraId="44DACB29" w14:textId="77777777">
        <w:trPr>
          <w:trHeight w:val="557"/>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25" w14:textId="77777777" w:rsidR="00BA6694" w:rsidRDefault="00624453">
            <w:pPr>
              <w:spacing w:line="254" w:lineRule="auto"/>
              <w:rPr>
                <w:sz w:val="22"/>
                <w:szCs w:val="22"/>
              </w:rPr>
            </w:pPr>
            <w:r>
              <w:rPr>
                <w:sz w:val="22"/>
                <w:szCs w:val="22"/>
              </w:rPr>
              <w:t>3. Grįžtamasis ryšys *</w:t>
            </w:r>
          </w:p>
        </w:tc>
        <w:tc>
          <w:tcPr>
            <w:tcW w:w="67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ACB26" w14:textId="77777777" w:rsidR="00BA6694" w:rsidRDefault="00624453">
            <w:pPr>
              <w:tabs>
                <w:tab w:val="left" w:pos="33"/>
                <w:tab w:val="left" w:pos="311"/>
                <w:tab w:val="left" w:pos="458"/>
              </w:tabs>
              <w:ind w:left="34"/>
              <w:rPr>
                <w:sz w:val="22"/>
                <w:szCs w:val="22"/>
              </w:rPr>
            </w:pPr>
            <w:r>
              <w:rPr>
                <w:sz w:val="22"/>
                <w:szCs w:val="22"/>
              </w:rPr>
              <w:t>3.1.</w:t>
            </w:r>
            <w:r>
              <w:rPr>
                <w:sz w:val="22"/>
                <w:szCs w:val="22"/>
              </w:rPr>
              <w:tab/>
              <w:t xml:space="preserve">Teikėjas reguliariai planuoja ir vykdo refleksijas su vaiku apie </w:t>
            </w:r>
            <w:proofErr w:type="spellStart"/>
            <w:r>
              <w:rPr>
                <w:sz w:val="22"/>
                <w:szCs w:val="22"/>
              </w:rPr>
              <w:t>ugdymo(si</w:t>
            </w:r>
            <w:proofErr w:type="spellEnd"/>
            <w:r>
              <w:rPr>
                <w:sz w:val="22"/>
                <w:szCs w:val="22"/>
              </w:rPr>
              <w:t>) eigą, pasiekimus bei pažangą.</w:t>
            </w:r>
          </w:p>
          <w:p w14:paraId="44DACB27" w14:textId="73FD51CA" w:rsidR="00BA6694" w:rsidRDefault="00624453">
            <w:pPr>
              <w:tabs>
                <w:tab w:val="left" w:pos="33"/>
                <w:tab w:val="left" w:pos="311"/>
                <w:tab w:val="left" w:pos="458"/>
                <w:tab w:val="left" w:pos="1025"/>
              </w:tabs>
              <w:ind w:left="34"/>
              <w:rPr>
                <w:sz w:val="22"/>
                <w:szCs w:val="22"/>
              </w:rPr>
            </w:pPr>
            <w:r>
              <w:rPr>
                <w:sz w:val="22"/>
                <w:szCs w:val="22"/>
              </w:rPr>
              <w:t>3.2.</w:t>
            </w:r>
            <w:r>
              <w:rPr>
                <w:sz w:val="22"/>
                <w:szCs w:val="22"/>
              </w:rPr>
              <w:tab/>
              <w:t>Teikėjas reguliariai aptaria vaiko ugdymo</w:t>
            </w:r>
            <w:r w:rsidR="00F2124E">
              <w:rPr>
                <w:sz w:val="22"/>
                <w:szCs w:val="22"/>
              </w:rPr>
              <w:t xml:space="preserve"> </w:t>
            </w:r>
            <w:r>
              <w:rPr>
                <w:sz w:val="22"/>
                <w:szCs w:val="22"/>
              </w:rPr>
              <w:t xml:space="preserve">(si) eigą, pasiekimus bei pažangą su tėvais (globėjais / rūpintojais); </w:t>
            </w:r>
          </w:p>
        </w:tc>
        <w:tc>
          <w:tcPr>
            <w:tcW w:w="6380" w:type="dxa"/>
            <w:tcBorders>
              <w:top w:val="single" w:sz="4" w:space="0" w:color="auto"/>
              <w:left w:val="single" w:sz="4" w:space="0" w:color="auto"/>
              <w:bottom w:val="single" w:sz="4" w:space="0" w:color="auto"/>
              <w:right w:val="single" w:sz="4" w:space="0" w:color="auto"/>
            </w:tcBorders>
          </w:tcPr>
          <w:p w14:paraId="44DACB28" w14:textId="77777777" w:rsidR="00BA6694" w:rsidRDefault="00BA6694">
            <w:pPr>
              <w:rPr>
                <w:sz w:val="22"/>
                <w:szCs w:val="22"/>
              </w:rPr>
            </w:pPr>
          </w:p>
        </w:tc>
      </w:tr>
      <w:tr w:rsidR="00BA6694" w14:paraId="44DACB2D" w14:textId="77777777">
        <w:trPr>
          <w:trHeight w:val="485"/>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2A"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2B" w14:textId="77777777" w:rsidR="00BA6694" w:rsidRDefault="00BA6694">
            <w:pPr>
              <w:rPr>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2C" w14:textId="77777777" w:rsidR="00BA6694" w:rsidRDefault="00BA6694">
            <w:pPr>
              <w:rPr>
                <w:sz w:val="22"/>
                <w:szCs w:val="22"/>
              </w:rPr>
            </w:pPr>
          </w:p>
        </w:tc>
      </w:tr>
      <w:tr w:rsidR="00BA6694" w14:paraId="44DACB2F" w14:textId="77777777">
        <w:trPr>
          <w:trHeight w:val="365"/>
        </w:trPr>
        <w:tc>
          <w:tcPr>
            <w:tcW w:w="14632" w:type="dxa"/>
            <w:gridSpan w:val="3"/>
            <w:tcBorders>
              <w:top w:val="single" w:sz="4" w:space="0" w:color="auto"/>
              <w:left w:val="single" w:sz="4" w:space="0" w:color="auto"/>
              <w:bottom w:val="single" w:sz="4" w:space="0" w:color="auto"/>
              <w:right w:val="single" w:sz="4" w:space="0" w:color="auto"/>
            </w:tcBorders>
            <w:hideMark/>
          </w:tcPr>
          <w:p w14:paraId="44DACB2E" w14:textId="77777777" w:rsidR="00BA6694" w:rsidRDefault="00624453">
            <w:pPr>
              <w:ind w:left="1080" w:hanging="720"/>
              <w:jc w:val="center"/>
              <w:rPr>
                <w:b/>
                <w:sz w:val="22"/>
                <w:szCs w:val="22"/>
              </w:rPr>
            </w:pPr>
            <w:r>
              <w:rPr>
                <w:b/>
                <w:sz w:val="22"/>
                <w:szCs w:val="22"/>
              </w:rPr>
              <w:t>II.</w:t>
            </w:r>
            <w:r>
              <w:rPr>
                <w:b/>
                <w:sz w:val="22"/>
                <w:szCs w:val="22"/>
              </w:rPr>
              <w:tab/>
              <w:t>UGDYMO ORGANIZAVIMO SRITIS</w:t>
            </w:r>
          </w:p>
        </w:tc>
      </w:tr>
      <w:tr w:rsidR="00BA6694" w14:paraId="44DACB34" w14:textId="77777777">
        <w:trPr>
          <w:trHeight w:val="541"/>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30" w14:textId="77777777" w:rsidR="00BA6694" w:rsidRDefault="00624453">
            <w:pPr>
              <w:rPr>
                <w:b/>
                <w:sz w:val="22"/>
                <w:szCs w:val="22"/>
              </w:rPr>
            </w:pPr>
            <w:r>
              <w:rPr>
                <w:sz w:val="22"/>
                <w:szCs w:val="22"/>
              </w:rPr>
              <w:t>4. Mokytojo kvalifikacija ir nuolatinis tobulėjimas *</w:t>
            </w:r>
          </w:p>
        </w:tc>
        <w:tc>
          <w:tcPr>
            <w:tcW w:w="67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ACB31" w14:textId="77777777" w:rsidR="00BA6694" w:rsidRDefault="00624453">
            <w:pPr>
              <w:tabs>
                <w:tab w:val="left" w:pos="33"/>
                <w:tab w:val="left" w:pos="311"/>
              </w:tabs>
              <w:ind w:left="33" w:hanging="360"/>
              <w:rPr>
                <w:sz w:val="22"/>
                <w:szCs w:val="22"/>
              </w:rPr>
            </w:pPr>
            <w:r>
              <w:rPr>
                <w:sz w:val="22"/>
                <w:szCs w:val="22"/>
              </w:rPr>
              <w:t>1.</w:t>
            </w:r>
            <w:r>
              <w:rPr>
                <w:sz w:val="22"/>
                <w:szCs w:val="22"/>
              </w:rPr>
              <w:tab/>
              <w:t>4.1. Mokytojų kvalifikacija atitinka teisės aktuose numatytus reikalavimus.</w:t>
            </w:r>
          </w:p>
          <w:p w14:paraId="44DACB32" w14:textId="77777777" w:rsidR="00BA6694" w:rsidRDefault="00624453">
            <w:pPr>
              <w:tabs>
                <w:tab w:val="left" w:pos="33"/>
                <w:tab w:val="left" w:pos="311"/>
                <w:tab w:val="left" w:pos="458"/>
              </w:tabs>
              <w:ind w:left="28" w:firstLine="5"/>
              <w:rPr>
                <w:sz w:val="22"/>
                <w:szCs w:val="22"/>
              </w:rPr>
            </w:pPr>
            <w:r>
              <w:rPr>
                <w:sz w:val="22"/>
                <w:szCs w:val="22"/>
              </w:rPr>
              <w:t>4.2.</w:t>
            </w:r>
            <w:r>
              <w:rPr>
                <w:sz w:val="22"/>
                <w:szCs w:val="22"/>
              </w:rPr>
              <w:tab/>
              <w:t>Mokytojai tikslingai tobulina bendrąsias ir specialiąsias (dalykines ir didaktines) kompetencijas.</w:t>
            </w:r>
          </w:p>
        </w:tc>
        <w:tc>
          <w:tcPr>
            <w:tcW w:w="6380" w:type="dxa"/>
            <w:tcBorders>
              <w:top w:val="single" w:sz="4" w:space="0" w:color="auto"/>
              <w:left w:val="single" w:sz="4" w:space="0" w:color="auto"/>
              <w:bottom w:val="single" w:sz="4" w:space="0" w:color="auto"/>
              <w:right w:val="single" w:sz="4" w:space="0" w:color="auto"/>
            </w:tcBorders>
          </w:tcPr>
          <w:p w14:paraId="44DACB33" w14:textId="77777777" w:rsidR="00BA6694" w:rsidRDefault="00BA6694">
            <w:pPr>
              <w:rPr>
                <w:sz w:val="22"/>
                <w:szCs w:val="22"/>
              </w:rPr>
            </w:pPr>
          </w:p>
        </w:tc>
      </w:tr>
      <w:tr w:rsidR="00BA6694" w14:paraId="44DACB38" w14:textId="77777777">
        <w:trPr>
          <w:trHeight w:val="429"/>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35" w14:textId="77777777" w:rsidR="00BA6694" w:rsidRDefault="00BA6694">
            <w:pPr>
              <w:rPr>
                <w:b/>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36" w14:textId="77777777" w:rsidR="00BA6694" w:rsidRDefault="00BA6694">
            <w:pPr>
              <w:rPr>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37" w14:textId="77777777" w:rsidR="00BA6694" w:rsidRDefault="00BA6694">
            <w:pPr>
              <w:rPr>
                <w:sz w:val="22"/>
                <w:szCs w:val="22"/>
              </w:rPr>
            </w:pPr>
          </w:p>
        </w:tc>
      </w:tr>
      <w:tr w:rsidR="00BA6694" w14:paraId="44DACB40" w14:textId="77777777">
        <w:trPr>
          <w:trHeight w:val="981"/>
        </w:trPr>
        <w:tc>
          <w:tcPr>
            <w:tcW w:w="1526" w:type="dxa"/>
            <w:vMerge w:val="restart"/>
            <w:tcBorders>
              <w:top w:val="single" w:sz="4" w:space="0" w:color="auto"/>
              <w:left w:val="single" w:sz="4" w:space="0" w:color="auto"/>
              <w:bottom w:val="single" w:sz="4" w:space="0" w:color="auto"/>
              <w:right w:val="single" w:sz="4" w:space="0" w:color="auto"/>
            </w:tcBorders>
          </w:tcPr>
          <w:p w14:paraId="44DACB39" w14:textId="77777777" w:rsidR="00BA6694" w:rsidRDefault="00624453">
            <w:pPr>
              <w:rPr>
                <w:sz w:val="22"/>
                <w:szCs w:val="22"/>
              </w:rPr>
            </w:pPr>
            <w:r>
              <w:rPr>
                <w:sz w:val="22"/>
                <w:szCs w:val="22"/>
              </w:rPr>
              <w:lastRenderedPageBreak/>
              <w:t xml:space="preserve">5. Veiklų prieinamumas </w:t>
            </w:r>
          </w:p>
          <w:p w14:paraId="44DACB3A" w14:textId="77777777" w:rsidR="00BA6694" w:rsidRDefault="00BA6694">
            <w:pPr>
              <w:rPr>
                <w:b/>
                <w:sz w:val="22"/>
                <w:szCs w:val="22"/>
              </w:rPr>
            </w:pPr>
          </w:p>
        </w:tc>
        <w:tc>
          <w:tcPr>
            <w:tcW w:w="6726" w:type="dxa"/>
            <w:vMerge w:val="restart"/>
            <w:tcBorders>
              <w:top w:val="single" w:sz="4" w:space="0" w:color="auto"/>
              <w:left w:val="single" w:sz="4" w:space="0" w:color="auto"/>
              <w:bottom w:val="single" w:sz="4" w:space="0" w:color="auto"/>
              <w:right w:val="single" w:sz="4" w:space="0" w:color="auto"/>
            </w:tcBorders>
            <w:hideMark/>
          </w:tcPr>
          <w:p w14:paraId="44DACB3B" w14:textId="77777777" w:rsidR="00BA6694" w:rsidRDefault="00624453">
            <w:pPr>
              <w:tabs>
                <w:tab w:val="left" w:pos="317"/>
                <w:tab w:val="left" w:pos="458"/>
              </w:tabs>
              <w:ind w:left="34"/>
              <w:rPr>
                <w:rFonts w:eastAsia="Georgia"/>
                <w:i/>
                <w:sz w:val="22"/>
                <w:szCs w:val="22"/>
              </w:rPr>
            </w:pPr>
            <w:r>
              <w:rPr>
                <w:sz w:val="22"/>
                <w:szCs w:val="22"/>
              </w:rPr>
              <w:t>5.1.</w:t>
            </w:r>
            <w:r>
              <w:rPr>
                <w:sz w:val="22"/>
                <w:szCs w:val="22"/>
              </w:rPr>
              <w:tab/>
              <w:t>Nuolat vertinamas ugdymo paslaugų poreikis, koreguojama paslaugų pasiūla, užtikrinamas jų teritorinis prieinamumas.</w:t>
            </w:r>
          </w:p>
          <w:p w14:paraId="44DACB3C" w14:textId="77777777" w:rsidR="00BA6694" w:rsidRDefault="00624453">
            <w:pPr>
              <w:tabs>
                <w:tab w:val="left" w:pos="317"/>
                <w:tab w:val="left" w:pos="458"/>
              </w:tabs>
              <w:ind w:left="34"/>
              <w:rPr>
                <w:sz w:val="22"/>
                <w:szCs w:val="22"/>
              </w:rPr>
            </w:pPr>
            <w:r>
              <w:rPr>
                <w:sz w:val="22"/>
                <w:szCs w:val="22"/>
              </w:rPr>
              <w:t>5.2.</w:t>
            </w:r>
            <w:r>
              <w:rPr>
                <w:sz w:val="22"/>
                <w:szCs w:val="22"/>
              </w:rPr>
              <w:tab/>
              <w:t>Sudarytos ugdymo galimybės vaikams, turintiems specialiųjų ugdymosi poreikių, socialinę atskirtį patiriantiems ar rizikos grupės vaikams.</w:t>
            </w:r>
          </w:p>
          <w:p w14:paraId="44DACB3D" w14:textId="77777777" w:rsidR="00BA6694" w:rsidRDefault="00624453">
            <w:pPr>
              <w:tabs>
                <w:tab w:val="left" w:pos="317"/>
                <w:tab w:val="left" w:pos="458"/>
              </w:tabs>
              <w:ind w:left="34"/>
              <w:rPr>
                <w:sz w:val="22"/>
                <w:szCs w:val="22"/>
              </w:rPr>
            </w:pPr>
            <w:r>
              <w:rPr>
                <w:sz w:val="22"/>
                <w:szCs w:val="22"/>
              </w:rPr>
              <w:t>5.3.</w:t>
            </w:r>
            <w:r>
              <w:rPr>
                <w:sz w:val="22"/>
                <w:szCs w:val="22"/>
              </w:rPr>
              <w:tab/>
              <w:t>Taikoma aiški ir lanksti</w:t>
            </w:r>
            <w:proofErr w:type="gramStart"/>
            <w:r>
              <w:rPr>
                <w:sz w:val="22"/>
                <w:szCs w:val="22"/>
              </w:rPr>
              <w:t xml:space="preserve">  </w:t>
            </w:r>
            <w:proofErr w:type="gramEnd"/>
            <w:r>
              <w:rPr>
                <w:sz w:val="22"/>
                <w:szCs w:val="22"/>
              </w:rPr>
              <w:t>paslaugų kainodara.</w:t>
            </w:r>
          </w:p>
          <w:p w14:paraId="44DACB3E" w14:textId="77777777" w:rsidR="00BA6694" w:rsidRDefault="00624453">
            <w:pPr>
              <w:tabs>
                <w:tab w:val="left" w:pos="317"/>
                <w:tab w:val="left" w:pos="458"/>
              </w:tabs>
              <w:ind w:left="34"/>
              <w:rPr>
                <w:rFonts w:eastAsia="Georgia"/>
                <w:i/>
                <w:sz w:val="22"/>
                <w:szCs w:val="22"/>
              </w:rPr>
            </w:pPr>
            <w:r>
              <w:rPr>
                <w:sz w:val="22"/>
                <w:szCs w:val="22"/>
              </w:rPr>
              <w:t>5.4.</w:t>
            </w:r>
            <w:r>
              <w:rPr>
                <w:sz w:val="22"/>
                <w:szCs w:val="22"/>
              </w:rPr>
              <w:tab/>
              <w:t>Reguliariai atnaujinama ir pateikiama išsami informacija apie teikiamas švietimo paslaugas.</w:t>
            </w:r>
          </w:p>
        </w:tc>
        <w:tc>
          <w:tcPr>
            <w:tcW w:w="6380" w:type="dxa"/>
            <w:tcBorders>
              <w:top w:val="single" w:sz="4" w:space="0" w:color="auto"/>
              <w:left w:val="single" w:sz="4" w:space="0" w:color="auto"/>
              <w:bottom w:val="single" w:sz="4" w:space="0" w:color="auto"/>
              <w:right w:val="single" w:sz="4" w:space="0" w:color="auto"/>
            </w:tcBorders>
          </w:tcPr>
          <w:p w14:paraId="44DACB3F" w14:textId="77777777" w:rsidR="00BA6694" w:rsidRDefault="00BA6694">
            <w:pPr>
              <w:rPr>
                <w:sz w:val="22"/>
                <w:szCs w:val="22"/>
              </w:rPr>
            </w:pPr>
          </w:p>
        </w:tc>
      </w:tr>
      <w:tr w:rsidR="00BA6694" w14:paraId="44DACB44" w14:textId="77777777">
        <w:trPr>
          <w:trHeight w:val="385"/>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41" w14:textId="77777777" w:rsidR="00BA6694" w:rsidRDefault="00BA6694">
            <w:pPr>
              <w:rPr>
                <w:b/>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42" w14:textId="77777777" w:rsidR="00BA6694" w:rsidRDefault="00BA6694">
            <w:pPr>
              <w:rPr>
                <w:rFonts w:eastAsia="Georgia"/>
                <w:i/>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43" w14:textId="77777777" w:rsidR="00BA6694" w:rsidRDefault="00BA6694">
            <w:pPr>
              <w:rPr>
                <w:sz w:val="22"/>
                <w:szCs w:val="22"/>
                <w:lang w:val="en-US"/>
              </w:rPr>
            </w:pPr>
          </w:p>
        </w:tc>
      </w:tr>
      <w:tr w:rsidR="00BA6694" w14:paraId="44DACB4A" w14:textId="77777777">
        <w:trPr>
          <w:trHeight w:val="881"/>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45" w14:textId="77777777" w:rsidR="00BA6694" w:rsidRDefault="00624453">
            <w:pPr>
              <w:rPr>
                <w:sz w:val="22"/>
                <w:szCs w:val="22"/>
              </w:rPr>
            </w:pPr>
            <w:r>
              <w:rPr>
                <w:sz w:val="22"/>
                <w:szCs w:val="22"/>
              </w:rPr>
              <w:t>6. Ugdymo programa ir ugdymo planas*</w:t>
            </w:r>
          </w:p>
        </w:tc>
        <w:tc>
          <w:tcPr>
            <w:tcW w:w="67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ACB46" w14:textId="77777777" w:rsidR="00BA6694" w:rsidRDefault="00624453">
            <w:pPr>
              <w:shd w:val="clear" w:color="auto" w:fill="FFFFFF"/>
              <w:tabs>
                <w:tab w:val="left" w:pos="317"/>
                <w:tab w:val="left" w:pos="458"/>
              </w:tabs>
              <w:ind w:left="34"/>
              <w:rPr>
                <w:sz w:val="22"/>
                <w:szCs w:val="22"/>
              </w:rPr>
            </w:pPr>
            <w:r>
              <w:rPr>
                <w:rFonts w:eastAsia="Arial Unicode MS"/>
                <w:sz w:val="22"/>
                <w:szCs w:val="22"/>
              </w:rPr>
              <w:t>6.1.</w:t>
            </w:r>
            <w:r>
              <w:rPr>
                <w:rFonts w:eastAsia="Arial Unicode MS"/>
                <w:sz w:val="22"/>
                <w:szCs w:val="22"/>
              </w:rPr>
              <w:tab/>
              <w:t>Ugdymo programa / planas yra nuosekli / -</w:t>
            </w:r>
            <w:proofErr w:type="spellStart"/>
            <w:r>
              <w:rPr>
                <w:rFonts w:eastAsia="Arial Unicode MS"/>
                <w:sz w:val="22"/>
                <w:szCs w:val="22"/>
              </w:rPr>
              <w:t>us</w:t>
            </w:r>
            <w:proofErr w:type="spellEnd"/>
            <w:r>
              <w:rPr>
                <w:rFonts w:eastAsia="Arial Unicode MS"/>
                <w:sz w:val="22"/>
                <w:szCs w:val="22"/>
              </w:rPr>
              <w:t xml:space="preserve"> ir logiška / -</w:t>
            </w:r>
            <w:proofErr w:type="spellStart"/>
            <w:r>
              <w:rPr>
                <w:rFonts w:eastAsia="Arial Unicode MS"/>
                <w:sz w:val="22"/>
                <w:szCs w:val="22"/>
              </w:rPr>
              <w:t>as</w:t>
            </w:r>
            <w:proofErr w:type="spellEnd"/>
            <w:r>
              <w:rPr>
                <w:rFonts w:eastAsia="Arial Unicode MS"/>
                <w:sz w:val="22"/>
                <w:szCs w:val="22"/>
              </w:rPr>
              <w:t>, parengta vadovaujantis teisės aktais.</w:t>
            </w:r>
          </w:p>
          <w:p w14:paraId="44DACB47" w14:textId="77777777" w:rsidR="00BA6694" w:rsidRDefault="00624453">
            <w:pPr>
              <w:shd w:val="clear" w:color="auto" w:fill="FFFFFF"/>
              <w:tabs>
                <w:tab w:val="left" w:pos="317"/>
                <w:tab w:val="left" w:pos="458"/>
              </w:tabs>
              <w:ind w:left="34"/>
              <w:rPr>
                <w:sz w:val="22"/>
                <w:szCs w:val="22"/>
              </w:rPr>
            </w:pPr>
            <w:r>
              <w:rPr>
                <w:rFonts w:eastAsia="Arial Unicode MS"/>
                <w:sz w:val="22"/>
                <w:szCs w:val="22"/>
              </w:rPr>
              <w:t>6.2.</w:t>
            </w:r>
            <w:r>
              <w:rPr>
                <w:rFonts w:eastAsia="Arial Unicode MS"/>
                <w:sz w:val="22"/>
                <w:szCs w:val="22"/>
              </w:rPr>
              <w:tab/>
              <w:t>Ugdymo programos / planai atnaujinamos / -i ar koreguojamos / -i atsižvelgiant į kintančius poreikius.</w:t>
            </w:r>
          </w:p>
          <w:p w14:paraId="44DACB48" w14:textId="77777777" w:rsidR="00BA6694" w:rsidRDefault="00624453">
            <w:pPr>
              <w:shd w:val="clear" w:color="auto" w:fill="FFFFFF"/>
              <w:tabs>
                <w:tab w:val="left" w:pos="317"/>
                <w:tab w:val="left" w:pos="458"/>
              </w:tabs>
              <w:ind w:left="34"/>
              <w:rPr>
                <w:sz w:val="22"/>
                <w:szCs w:val="22"/>
              </w:rPr>
            </w:pPr>
            <w:r>
              <w:rPr>
                <w:rFonts w:eastAsia="Arial Unicode MS"/>
                <w:sz w:val="22"/>
                <w:szCs w:val="22"/>
              </w:rPr>
              <w:t>6.3.</w:t>
            </w:r>
            <w:r>
              <w:rPr>
                <w:rFonts w:eastAsia="Arial Unicode MS"/>
                <w:sz w:val="22"/>
                <w:szCs w:val="22"/>
              </w:rPr>
              <w:tab/>
            </w:r>
            <w:r>
              <w:rPr>
                <w:sz w:val="22"/>
                <w:szCs w:val="22"/>
              </w:rPr>
              <w:t>Ugdymo programoje / plane numatytose veiklose vyrauja aktyvūs (įtraukiantys)</w:t>
            </w:r>
            <w:proofErr w:type="gramStart"/>
            <w:r>
              <w:rPr>
                <w:sz w:val="22"/>
                <w:szCs w:val="22"/>
              </w:rPr>
              <w:t xml:space="preserve">  </w:t>
            </w:r>
            <w:proofErr w:type="gramEnd"/>
            <w:r>
              <w:rPr>
                <w:sz w:val="22"/>
                <w:szCs w:val="22"/>
              </w:rPr>
              <w:t>ugdymo metodai.</w:t>
            </w:r>
          </w:p>
        </w:tc>
        <w:tc>
          <w:tcPr>
            <w:tcW w:w="6380" w:type="dxa"/>
            <w:tcBorders>
              <w:top w:val="single" w:sz="4" w:space="0" w:color="auto"/>
              <w:left w:val="single" w:sz="4" w:space="0" w:color="auto"/>
              <w:bottom w:val="single" w:sz="4" w:space="0" w:color="auto"/>
              <w:right w:val="single" w:sz="4" w:space="0" w:color="auto"/>
            </w:tcBorders>
          </w:tcPr>
          <w:p w14:paraId="44DACB49" w14:textId="77777777" w:rsidR="00BA6694" w:rsidRDefault="00BA6694">
            <w:pPr>
              <w:rPr>
                <w:sz w:val="22"/>
                <w:szCs w:val="22"/>
              </w:rPr>
            </w:pPr>
          </w:p>
        </w:tc>
      </w:tr>
      <w:tr w:rsidR="00BA6694" w14:paraId="44DACB4E" w14:textId="77777777">
        <w:trPr>
          <w:trHeight w:val="519"/>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4B"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4C" w14:textId="77777777" w:rsidR="00BA6694" w:rsidRDefault="00BA6694">
            <w:pPr>
              <w:rPr>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4D" w14:textId="77777777" w:rsidR="00BA6694" w:rsidRDefault="00BA6694">
            <w:pPr>
              <w:rPr>
                <w:sz w:val="22"/>
                <w:szCs w:val="22"/>
              </w:rPr>
            </w:pPr>
          </w:p>
        </w:tc>
      </w:tr>
      <w:tr w:rsidR="00BA6694" w14:paraId="44DACB56" w14:textId="77777777">
        <w:trPr>
          <w:trHeight w:val="1406"/>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4F" w14:textId="77777777" w:rsidR="00BA6694" w:rsidRDefault="00624453">
            <w:pPr>
              <w:rPr>
                <w:sz w:val="22"/>
                <w:szCs w:val="22"/>
              </w:rPr>
            </w:pPr>
            <w:r>
              <w:rPr>
                <w:sz w:val="22"/>
                <w:szCs w:val="22"/>
              </w:rPr>
              <w:t>7. Personalo vadyba</w:t>
            </w:r>
          </w:p>
        </w:tc>
        <w:tc>
          <w:tcPr>
            <w:tcW w:w="6726" w:type="dxa"/>
            <w:vMerge w:val="restart"/>
            <w:tcBorders>
              <w:top w:val="single" w:sz="4" w:space="0" w:color="auto"/>
              <w:left w:val="single" w:sz="4" w:space="0" w:color="auto"/>
              <w:bottom w:val="single" w:sz="4" w:space="0" w:color="auto"/>
              <w:right w:val="single" w:sz="4" w:space="0" w:color="auto"/>
            </w:tcBorders>
            <w:hideMark/>
          </w:tcPr>
          <w:p w14:paraId="44DACB50" w14:textId="77777777" w:rsidR="00BA6694" w:rsidRDefault="00624453">
            <w:pPr>
              <w:tabs>
                <w:tab w:val="left" w:pos="317"/>
                <w:tab w:val="left" w:pos="458"/>
              </w:tabs>
              <w:ind w:left="34"/>
              <w:rPr>
                <w:rFonts w:eastAsia="Georgia"/>
                <w:i/>
                <w:sz w:val="22"/>
                <w:szCs w:val="22"/>
              </w:rPr>
            </w:pPr>
            <w:r>
              <w:rPr>
                <w:sz w:val="22"/>
                <w:szCs w:val="22"/>
              </w:rPr>
              <w:t>7.1.</w:t>
            </w:r>
            <w:r>
              <w:rPr>
                <w:sz w:val="22"/>
                <w:szCs w:val="22"/>
              </w:rPr>
              <w:tab/>
              <w:t>Mokytojų kaita vykdoma tiek, kiek būtina užtikrinti ugdymo poreikius.</w:t>
            </w:r>
          </w:p>
          <w:p w14:paraId="44DACB51" w14:textId="77777777" w:rsidR="00BA6694" w:rsidRDefault="00624453">
            <w:pPr>
              <w:tabs>
                <w:tab w:val="left" w:pos="317"/>
                <w:tab w:val="left" w:pos="459"/>
              </w:tabs>
              <w:ind w:left="34"/>
              <w:rPr>
                <w:sz w:val="22"/>
                <w:szCs w:val="22"/>
              </w:rPr>
            </w:pPr>
            <w:r>
              <w:rPr>
                <w:sz w:val="22"/>
                <w:szCs w:val="22"/>
              </w:rPr>
              <w:t>7.2.</w:t>
            </w:r>
            <w:r>
              <w:rPr>
                <w:sz w:val="22"/>
                <w:szCs w:val="22"/>
              </w:rPr>
              <w:tab/>
              <w:t>Aiški tvarka ir procedūros dėl mokytojų pavadavimo, darbuotojų paieškos ir įdarbinimo.</w:t>
            </w:r>
          </w:p>
          <w:p w14:paraId="44DACB52" w14:textId="77777777" w:rsidR="00BA6694" w:rsidRDefault="00624453">
            <w:pPr>
              <w:tabs>
                <w:tab w:val="left" w:pos="311"/>
                <w:tab w:val="left" w:pos="459"/>
              </w:tabs>
              <w:ind w:left="34"/>
              <w:rPr>
                <w:rFonts w:eastAsia="Georgia"/>
                <w:i/>
                <w:sz w:val="22"/>
                <w:szCs w:val="22"/>
              </w:rPr>
            </w:pPr>
            <w:r>
              <w:rPr>
                <w:sz w:val="22"/>
                <w:szCs w:val="22"/>
              </w:rPr>
              <w:t>7.3.</w:t>
            </w:r>
            <w:r>
              <w:rPr>
                <w:sz w:val="22"/>
                <w:szCs w:val="22"/>
              </w:rPr>
              <w:tab/>
              <w:t>Veikia darbuotojų motyvavimo ir kvalifikacijos tobulinimo skatinimo sistema, sudaromos sąlygos nuolatiniam mokytojų bendrųjų kompetencijų ugdymui.</w:t>
            </w:r>
          </w:p>
          <w:p w14:paraId="44DACB53" w14:textId="77777777" w:rsidR="00BA6694" w:rsidRDefault="00624453">
            <w:pPr>
              <w:tabs>
                <w:tab w:val="left" w:pos="311"/>
                <w:tab w:val="left" w:pos="459"/>
              </w:tabs>
              <w:ind w:left="34"/>
              <w:rPr>
                <w:rFonts w:eastAsia="Georgia"/>
                <w:sz w:val="22"/>
                <w:szCs w:val="22"/>
              </w:rPr>
            </w:pPr>
            <w:r>
              <w:rPr>
                <w:sz w:val="22"/>
                <w:szCs w:val="22"/>
              </w:rPr>
              <w:t>7.4.</w:t>
            </w:r>
            <w:r>
              <w:rPr>
                <w:sz w:val="22"/>
                <w:szCs w:val="22"/>
              </w:rPr>
              <w:tab/>
            </w:r>
            <w:r>
              <w:rPr>
                <w:rFonts w:eastAsia="Georgia"/>
                <w:sz w:val="22"/>
                <w:szCs w:val="22"/>
              </w:rPr>
              <w:t>Veikia mechanizmai, užtikrinantys personalo patirties perdavimą ir potencialo panaudojimą.</w:t>
            </w:r>
          </w:p>
          <w:p w14:paraId="44DACB54" w14:textId="77777777" w:rsidR="00BA6694" w:rsidRDefault="00624453">
            <w:pPr>
              <w:tabs>
                <w:tab w:val="left" w:pos="311"/>
                <w:tab w:val="left" w:pos="459"/>
              </w:tabs>
              <w:ind w:left="34"/>
              <w:rPr>
                <w:rFonts w:eastAsia="Georgia"/>
                <w:i/>
                <w:sz w:val="22"/>
                <w:szCs w:val="22"/>
              </w:rPr>
            </w:pPr>
            <w:r>
              <w:rPr>
                <w:rFonts w:eastAsia="Georgia"/>
                <w:sz w:val="22"/>
                <w:szCs w:val="22"/>
              </w:rPr>
              <w:t>7.5. Įstaigoje darbuotojai jaučiasi gerai, mikroklimatas teigiamas</w:t>
            </w:r>
          </w:p>
        </w:tc>
        <w:tc>
          <w:tcPr>
            <w:tcW w:w="6380" w:type="dxa"/>
            <w:tcBorders>
              <w:top w:val="single" w:sz="4" w:space="0" w:color="auto"/>
              <w:left w:val="single" w:sz="4" w:space="0" w:color="auto"/>
              <w:bottom w:val="single" w:sz="4" w:space="0" w:color="auto"/>
              <w:right w:val="single" w:sz="4" w:space="0" w:color="auto"/>
            </w:tcBorders>
          </w:tcPr>
          <w:p w14:paraId="44DACB55" w14:textId="77777777" w:rsidR="00BA6694" w:rsidRDefault="00BA6694">
            <w:pPr>
              <w:rPr>
                <w:sz w:val="22"/>
                <w:szCs w:val="22"/>
              </w:rPr>
            </w:pPr>
          </w:p>
        </w:tc>
      </w:tr>
      <w:tr w:rsidR="00BA6694" w14:paraId="44DACB5A" w14:textId="77777777">
        <w:trPr>
          <w:trHeight w:val="844"/>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57"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58" w14:textId="77777777" w:rsidR="00BA6694" w:rsidRDefault="00BA6694">
            <w:pPr>
              <w:rPr>
                <w:rFonts w:eastAsia="Georgia"/>
                <w:i/>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59" w14:textId="77777777" w:rsidR="00BA6694" w:rsidRDefault="00BA6694">
            <w:pPr>
              <w:rPr>
                <w:sz w:val="22"/>
                <w:szCs w:val="22"/>
              </w:rPr>
            </w:pPr>
          </w:p>
        </w:tc>
      </w:tr>
      <w:tr w:rsidR="00BA6694" w14:paraId="44DACB61" w14:textId="77777777">
        <w:trPr>
          <w:trHeight w:val="834"/>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5B" w14:textId="77777777" w:rsidR="00BA6694" w:rsidRDefault="00624453">
            <w:pPr>
              <w:rPr>
                <w:sz w:val="22"/>
                <w:szCs w:val="22"/>
              </w:rPr>
            </w:pPr>
            <w:r>
              <w:rPr>
                <w:sz w:val="22"/>
                <w:szCs w:val="22"/>
              </w:rPr>
              <w:t>8. Bendradarbiavimas ir bendravimas</w:t>
            </w:r>
          </w:p>
        </w:tc>
        <w:tc>
          <w:tcPr>
            <w:tcW w:w="6726" w:type="dxa"/>
            <w:vMerge w:val="restart"/>
            <w:tcBorders>
              <w:top w:val="single" w:sz="4" w:space="0" w:color="auto"/>
              <w:left w:val="single" w:sz="4" w:space="0" w:color="auto"/>
              <w:bottom w:val="single" w:sz="4" w:space="0" w:color="auto"/>
              <w:right w:val="single" w:sz="4" w:space="0" w:color="auto"/>
            </w:tcBorders>
            <w:hideMark/>
          </w:tcPr>
          <w:p w14:paraId="44DACB5C" w14:textId="77777777" w:rsidR="00BA6694" w:rsidRDefault="00624453">
            <w:pPr>
              <w:tabs>
                <w:tab w:val="left" w:pos="311"/>
                <w:tab w:val="left" w:pos="458"/>
              </w:tabs>
              <w:ind w:left="34"/>
              <w:rPr>
                <w:sz w:val="22"/>
                <w:szCs w:val="22"/>
              </w:rPr>
            </w:pPr>
            <w:r>
              <w:rPr>
                <w:sz w:val="22"/>
                <w:szCs w:val="22"/>
              </w:rPr>
              <w:t>8.1.</w:t>
            </w:r>
            <w:r>
              <w:rPr>
                <w:sz w:val="22"/>
                <w:szCs w:val="22"/>
              </w:rPr>
              <w:tab/>
              <w:t xml:space="preserve">NVŠ teikėjai įtraukia bendruomenę, ypač tėvus (globėjus, rūpintojus), į veiklų planavimą. </w:t>
            </w:r>
          </w:p>
          <w:p w14:paraId="44DACB5D" w14:textId="77777777" w:rsidR="00BA6694" w:rsidRDefault="00624453">
            <w:pPr>
              <w:tabs>
                <w:tab w:val="left" w:pos="311"/>
                <w:tab w:val="left" w:pos="458"/>
              </w:tabs>
              <w:ind w:left="34"/>
              <w:rPr>
                <w:rFonts w:eastAsia="Georgia"/>
                <w:sz w:val="22"/>
                <w:szCs w:val="22"/>
              </w:rPr>
            </w:pPr>
            <w:r>
              <w:rPr>
                <w:sz w:val="22"/>
                <w:szCs w:val="22"/>
              </w:rPr>
              <w:t>8.2.</w:t>
            </w:r>
            <w:r>
              <w:rPr>
                <w:sz w:val="22"/>
                <w:szCs w:val="22"/>
              </w:rPr>
              <w:tab/>
            </w:r>
            <w:r>
              <w:rPr>
                <w:rFonts w:eastAsia="Georgia"/>
                <w:sz w:val="22"/>
                <w:szCs w:val="22"/>
              </w:rPr>
              <w:t>NVŠ teikėjas yra atviras bendradarbiavimui su kitais partneriais.</w:t>
            </w:r>
          </w:p>
          <w:p w14:paraId="44DACB5E" w14:textId="77777777" w:rsidR="00BA6694" w:rsidRDefault="00624453">
            <w:pPr>
              <w:tabs>
                <w:tab w:val="left" w:pos="311"/>
                <w:tab w:val="left" w:pos="458"/>
              </w:tabs>
              <w:ind w:left="34"/>
              <w:rPr>
                <w:sz w:val="22"/>
                <w:szCs w:val="22"/>
              </w:rPr>
            </w:pPr>
            <w:r>
              <w:rPr>
                <w:sz w:val="22"/>
                <w:szCs w:val="22"/>
              </w:rPr>
              <w:t>8.3.</w:t>
            </w:r>
            <w:r>
              <w:rPr>
                <w:sz w:val="22"/>
                <w:szCs w:val="22"/>
              </w:rPr>
              <w:tab/>
              <w:t>Kartu su bendruomenės nariais nustatomas ugdymo priemonių, edukacinių aplinkų kūrimo poreikis.</w:t>
            </w:r>
          </w:p>
          <w:p w14:paraId="44DACB5F" w14:textId="77777777" w:rsidR="00BA6694" w:rsidRDefault="00624453">
            <w:pPr>
              <w:tabs>
                <w:tab w:val="left" w:pos="0"/>
                <w:tab w:val="left" w:pos="28"/>
                <w:tab w:val="left" w:pos="311"/>
                <w:tab w:val="left" w:pos="458"/>
              </w:tabs>
              <w:ind w:left="34"/>
              <w:rPr>
                <w:sz w:val="22"/>
                <w:szCs w:val="22"/>
              </w:rPr>
            </w:pPr>
            <w:r>
              <w:rPr>
                <w:sz w:val="22"/>
                <w:szCs w:val="22"/>
              </w:rPr>
              <w:t>8.4.</w:t>
            </w:r>
            <w:r>
              <w:rPr>
                <w:sz w:val="22"/>
                <w:szCs w:val="22"/>
              </w:rPr>
              <w:tab/>
              <w:t>Bendruomenė turi galimybę vertinti ugdymo paslaugų kokybę ir teikti pasiūlymus jai užtikrinti.</w:t>
            </w:r>
          </w:p>
        </w:tc>
        <w:tc>
          <w:tcPr>
            <w:tcW w:w="6380" w:type="dxa"/>
            <w:tcBorders>
              <w:top w:val="single" w:sz="4" w:space="0" w:color="auto"/>
              <w:left w:val="single" w:sz="4" w:space="0" w:color="auto"/>
              <w:bottom w:val="single" w:sz="4" w:space="0" w:color="auto"/>
              <w:right w:val="single" w:sz="4" w:space="0" w:color="auto"/>
            </w:tcBorders>
          </w:tcPr>
          <w:p w14:paraId="44DACB60" w14:textId="77777777" w:rsidR="00BA6694" w:rsidRDefault="00BA6694">
            <w:pPr>
              <w:rPr>
                <w:sz w:val="22"/>
                <w:szCs w:val="22"/>
              </w:rPr>
            </w:pPr>
          </w:p>
        </w:tc>
      </w:tr>
      <w:tr w:rsidR="00BA6694" w14:paraId="44DACB65" w14:textId="77777777">
        <w:trPr>
          <w:trHeight w:val="980"/>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62"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63" w14:textId="77777777" w:rsidR="00BA6694" w:rsidRDefault="00BA6694">
            <w:pPr>
              <w:rPr>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64" w14:textId="77777777" w:rsidR="00BA6694" w:rsidRDefault="00BA6694">
            <w:pPr>
              <w:rPr>
                <w:sz w:val="22"/>
                <w:szCs w:val="22"/>
              </w:rPr>
            </w:pPr>
          </w:p>
        </w:tc>
      </w:tr>
      <w:tr w:rsidR="00BA6694" w14:paraId="44DACB6B" w14:textId="77777777">
        <w:trPr>
          <w:trHeight w:val="846"/>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66" w14:textId="77777777" w:rsidR="00BA6694" w:rsidRDefault="00624453">
            <w:pPr>
              <w:rPr>
                <w:sz w:val="22"/>
                <w:szCs w:val="22"/>
              </w:rPr>
            </w:pPr>
            <w:r>
              <w:rPr>
                <w:sz w:val="22"/>
                <w:szCs w:val="22"/>
              </w:rPr>
              <w:t>9. Ugdymo individualizavimas *</w:t>
            </w:r>
          </w:p>
        </w:tc>
        <w:tc>
          <w:tcPr>
            <w:tcW w:w="6726" w:type="dxa"/>
            <w:vMerge w:val="restart"/>
            <w:tcBorders>
              <w:top w:val="single" w:sz="4" w:space="0" w:color="auto"/>
              <w:left w:val="single" w:sz="4" w:space="0" w:color="auto"/>
              <w:bottom w:val="single" w:sz="4" w:space="0" w:color="auto"/>
              <w:right w:val="single" w:sz="4" w:space="0" w:color="auto"/>
            </w:tcBorders>
            <w:hideMark/>
          </w:tcPr>
          <w:p w14:paraId="44DACB67" w14:textId="77777777" w:rsidR="00BA6694" w:rsidRDefault="00624453">
            <w:pPr>
              <w:tabs>
                <w:tab w:val="left" w:pos="169"/>
                <w:tab w:val="left" w:pos="311"/>
                <w:tab w:val="left" w:pos="453"/>
              </w:tabs>
              <w:ind w:left="28" w:hanging="29"/>
              <w:rPr>
                <w:rFonts w:eastAsia="Georgia"/>
                <w:i/>
                <w:sz w:val="22"/>
                <w:szCs w:val="22"/>
              </w:rPr>
            </w:pPr>
            <w:r>
              <w:rPr>
                <w:sz w:val="22"/>
                <w:szCs w:val="22"/>
              </w:rPr>
              <w:t>9.1.</w:t>
            </w:r>
            <w:r>
              <w:rPr>
                <w:sz w:val="22"/>
                <w:szCs w:val="22"/>
              </w:rPr>
              <w:tab/>
              <w:t xml:space="preserve">Mokytojas skatina ugdytinius išsikelti asmeninius tikslus ir atpažinti pažangą jų siekiant. </w:t>
            </w:r>
          </w:p>
          <w:p w14:paraId="44DACB68" w14:textId="77777777" w:rsidR="00BA6694" w:rsidRDefault="00624453">
            <w:pPr>
              <w:tabs>
                <w:tab w:val="left" w:pos="169"/>
                <w:tab w:val="left" w:pos="311"/>
                <w:tab w:val="left" w:pos="453"/>
              </w:tabs>
              <w:ind w:left="28" w:hanging="28"/>
              <w:rPr>
                <w:rFonts w:eastAsia="Georgia"/>
                <w:sz w:val="22"/>
                <w:szCs w:val="22"/>
              </w:rPr>
            </w:pPr>
            <w:r>
              <w:rPr>
                <w:sz w:val="22"/>
                <w:szCs w:val="22"/>
              </w:rPr>
              <w:t>9.2.</w:t>
            </w:r>
            <w:r>
              <w:rPr>
                <w:sz w:val="22"/>
                <w:szCs w:val="22"/>
              </w:rPr>
              <w:tab/>
              <w:t>NVŠ teikėjas turi, vykdo, pritaiko programas, pritaikytas specialiųjų ugdymosi poreikių turintiems vaikams.</w:t>
            </w:r>
          </w:p>
          <w:p w14:paraId="44DACB69" w14:textId="77777777" w:rsidR="00BA6694" w:rsidRDefault="00624453">
            <w:pPr>
              <w:tabs>
                <w:tab w:val="left" w:pos="28"/>
                <w:tab w:val="left" w:pos="282"/>
                <w:tab w:val="left" w:pos="458"/>
              </w:tabs>
              <w:rPr>
                <w:rFonts w:eastAsia="Georgia"/>
                <w:i/>
                <w:sz w:val="22"/>
                <w:szCs w:val="22"/>
              </w:rPr>
            </w:pPr>
            <w:r>
              <w:rPr>
                <w:sz w:val="22"/>
                <w:szCs w:val="22"/>
              </w:rPr>
              <w:t>9.3.</w:t>
            </w:r>
            <w:r>
              <w:rPr>
                <w:sz w:val="22"/>
                <w:szCs w:val="22"/>
              </w:rPr>
              <w:tab/>
            </w:r>
            <w:r>
              <w:rPr>
                <w:rFonts w:eastAsia="Georgia"/>
                <w:sz w:val="22"/>
                <w:szCs w:val="22"/>
              </w:rPr>
              <w:t>Ugdymo procesas yra individualizuotas ir lankstus, esant tam tikroms situacijoms gali vykti ne pagal išankstinį planą, tačiau veiklos dera su planuotu turiniu.</w:t>
            </w:r>
          </w:p>
        </w:tc>
        <w:tc>
          <w:tcPr>
            <w:tcW w:w="6380" w:type="dxa"/>
            <w:tcBorders>
              <w:top w:val="single" w:sz="4" w:space="0" w:color="auto"/>
              <w:left w:val="single" w:sz="4" w:space="0" w:color="auto"/>
              <w:bottom w:val="single" w:sz="4" w:space="0" w:color="auto"/>
              <w:right w:val="single" w:sz="4" w:space="0" w:color="auto"/>
            </w:tcBorders>
          </w:tcPr>
          <w:p w14:paraId="44DACB6A" w14:textId="77777777" w:rsidR="00BA6694" w:rsidRDefault="00BA6694">
            <w:pPr>
              <w:rPr>
                <w:sz w:val="22"/>
                <w:szCs w:val="22"/>
              </w:rPr>
            </w:pPr>
          </w:p>
        </w:tc>
      </w:tr>
      <w:tr w:rsidR="00BA6694" w14:paraId="44DACB6F" w14:textId="77777777">
        <w:trPr>
          <w:trHeight w:val="447"/>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6C"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6D" w14:textId="77777777" w:rsidR="00BA6694" w:rsidRDefault="00BA6694">
            <w:pPr>
              <w:rPr>
                <w:rFonts w:eastAsia="Georgia"/>
                <w:i/>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6E" w14:textId="77777777" w:rsidR="00BA6694" w:rsidRDefault="00BA6694">
            <w:pPr>
              <w:rPr>
                <w:sz w:val="22"/>
                <w:szCs w:val="22"/>
              </w:rPr>
            </w:pPr>
          </w:p>
        </w:tc>
      </w:tr>
      <w:tr w:rsidR="00BA6694" w14:paraId="44DACB71" w14:textId="77777777">
        <w:trPr>
          <w:trHeight w:val="228"/>
        </w:trPr>
        <w:tc>
          <w:tcPr>
            <w:tcW w:w="14632" w:type="dxa"/>
            <w:gridSpan w:val="3"/>
            <w:tcBorders>
              <w:top w:val="single" w:sz="4" w:space="0" w:color="auto"/>
              <w:left w:val="single" w:sz="4" w:space="0" w:color="auto"/>
              <w:bottom w:val="single" w:sz="4" w:space="0" w:color="auto"/>
              <w:right w:val="single" w:sz="4" w:space="0" w:color="auto"/>
            </w:tcBorders>
            <w:hideMark/>
          </w:tcPr>
          <w:p w14:paraId="44DACB70" w14:textId="77777777" w:rsidR="00BA6694" w:rsidRDefault="00624453">
            <w:pPr>
              <w:ind w:left="1080" w:hanging="720"/>
              <w:jc w:val="center"/>
              <w:rPr>
                <w:b/>
                <w:sz w:val="22"/>
                <w:szCs w:val="22"/>
              </w:rPr>
            </w:pPr>
            <w:r>
              <w:rPr>
                <w:b/>
                <w:sz w:val="22"/>
                <w:szCs w:val="22"/>
              </w:rPr>
              <w:t>III.</w:t>
            </w:r>
            <w:r>
              <w:rPr>
                <w:b/>
                <w:sz w:val="22"/>
                <w:szCs w:val="22"/>
              </w:rPr>
              <w:tab/>
              <w:t>UGDYMO(SI) APLINKOS SRITIS</w:t>
            </w:r>
          </w:p>
        </w:tc>
      </w:tr>
      <w:tr w:rsidR="00BA6694" w14:paraId="44DACB7A" w14:textId="77777777">
        <w:trPr>
          <w:trHeight w:val="1553"/>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72" w14:textId="77777777" w:rsidR="00BA6694" w:rsidRDefault="00624453">
            <w:pPr>
              <w:rPr>
                <w:sz w:val="22"/>
                <w:szCs w:val="22"/>
              </w:rPr>
            </w:pPr>
            <w:r>
              <w:rPr>
                <w:sz w:val="22"/>
                <w:szCs w:val="22"/>
              </w:rPr>
              <w:lastRenderedPageBreak/>
              <w:t xml:space="preserve">10. Fizinė </w:t>
            </w:r>
            <w:proofErr w:type="spellStart"/>
            <w:r>
              <w:rPr>
                <w:sz w:val="22"/>
                <w:szCs w:val="22"/>
              </w:rPr>
              <w:t>ugdymo(si</w:t>
            </w:r>
            <w:proofErr w:type="spellEnd"/>
            <w:r>
              <w:rPr>
                <w:sz w:val="22"/>
                <w:szCs w:val="22"/>
              </w:rPr>
              <w:t>) aplinka ir priemonės *</w:t>
            </w:r>
          </w:p>
        </w:tc>
        <w:tc>
          <w:tcPr>
            <w:tcW w:w="67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ACB73" w14:textId="77777777" w:rsidR="00BA6694" w:rsidRDefault="00624453">
            <w:pPr>
              <w:tabs>
                <w:tab w:val="left" w:pos="33"/>
                <w:tab w:val="left" w:pos="317"/>
                <w:tab w:val="left" w:pos="600"/>
              </w:tabs>
              <w:ind w:left="33" w:firstLine="1"/>
              <w:rPr>
                <w:sz w:val="22"/>
                <w:szCs w:val="22"/>
              </w:rPr>
            </w:pPr>
            <w:r>
              <w:rPr>
                <w:sz w:val="22"/>
                <w:szCs w:val="22"/>
              </w:rPr>
              <w:t>10.1.</w:t>
            </w:r>
            <w:r>
              <w:rPr>
                <w:sz w:val="22"/>
                <w:szCs w:val="22"/>
              </w:rPr>
              <w:tab/>
              <w:t xml:space="preserve">Ugdymo erdvės yra saugios. </w:t>
            </w:r>
          </w:p>
          <w:p w14:paraId="44DACB74" w14:textId="77777777" w:rsidR="00BA6694" w:rsidRDefault="00624453">
            <w:pPr>
              <w:tabs>
                <w:tab w:val="left" w:pos="33"/>
                <w:tab w:val="left" w:pos="336"/>
                <w:tab w:val="left" w:pos="600"/>
              </w:tabs>
              <w:ind w:left="33" w:firstLine="1"/>
              <w:rPr>
                <w:sz w:val="22"/>
                <w:szCs w:val="22"/>
              </w:rPr>
            </w:pPr>
            <w:r>
              <w:rPr>
                <w:sz w:val="22"/>
                <w:szCs w:val="22"/>
              </w:rPr>
              <w:t>10.2.</w:t>
            </w:r>
            <w:r>
              <w:rPr>
                <w:sz w:val="22"/>
                <w:szCs w:val="22"/>
              </w:rPr>
              <w:tab/>
            </w:r>
            <w:r>
              <w:rPr>
                <w:rFonts w:eastAsia="Arial Unicode MS"/>
                <w:sz w:val="22"/>
                <w:szCs w:val="22"/>
                <w:lang w:val="pt-PT"/>
              </w:rPr>
              <w:t>NVŠ teikėjas turi ugdymo programų specifikai pritaikytas aplinkas. Jei patalpose vykdomos kelios programos, erdvės lengvai pritaikomos pagal programos specifiką.</w:t>
            </w:r>
          </w:p>
          <w:p w14:paraId="44DACB75" w14:textId="77777777" w:rsidR="00BA6694" w:rsidRDefault="00624453">
            <w:pPr>
              <w:tabs>
                <w:tab w:val="left" w:pos="33"/>
                <w:tab w:val="left" w:pos="336"/>
                <w:tab w:val="left" w:pos="600"/>
              </w:tabs>
              <w:ind w:left="33" w:firstLine="1"/>
              <w:rPr>
                <w:sz w:val="22"/>
                <w:szCs w:val="22"/>
              </w:rPr>
            </w:pPr>
            <w:r>
              <w:rPr>
                <w:sz w:val="22"/>
                <w:szCs w:val="22"/>
              </w:rPr>
              <w:t>10.3.</w:t>
            </w:r>
            <w:r>
              <w:rPr>
                <w:sz w:val="22"/>
                <w:szCs w:val="22"/>
              </w:rPr>
              <w:tab/>
            </w:r>
            <w:r>
              <w:rPr>
                <w:rFonts w:eastAsia="Arial Unicode MS"/>
                <w:sz w:val="22"/>
                <w:szCs w:val="22"/>
                <w:lang w:val="pt-PT"/>
              </w:rPr>
              <w:t>Ugdymui organizuoti turima reikalinga įranga ir priemonės, kurios atitinka programos turinį ir ugdytinių amžių.</w:t>
            </w:r>
          </w:p>
          <w:p w14:paraId="44DACB76" w14:textId="77777777" w:rsidR="00BA6694" w:rsidRDefault="00624453">
            <w:pPr>
              <w:tabs>
                <w:tab w:val="left" w:pos="317"/>
                <w:tab w:val="left" w:pos="600"/>
              </w:tabs>
              <w:ind w:left="33" w:firstLine="1"/>
              <w:rPr>
                <w:rFonts w:eastAsia="Arial Unicode MS"/>
                <w:sz w:val="22"/>
                <w:szCs w:val="22"/>
                <w:lang w:val="pt-PT"/>
              </w:rPr>
            </w:pPr>
            <w:r>
              <w:rPr>
                <w:rFonts w:eastAsia="Arial Unicode MS"/>
                <w:sz w:val="22"/>
                <w:szCs w:val="22"/>
                <w:lang w:val="pt-PT"/>
              </w:rPr>
              <w:t>10.4.</w:t>
            </w:r>
            <w:r>
              <w:rPr>
                <w:rFonts w:eastAsia="Arial Unicode MS"/>
                <w:sz w:val="22"/>
                <w:szCs w:val="22"/>
                <w:lang w:val="pt-PT"/>
              </w:rPr>
              <w:tab/>
            </w:r>
            <w:r>
              <w:rPr>
                <w:rFonts w:eastAsia="Arial Unicode MS"/>
                <w:sz w:val="22"/>
                <w:szCs w:val="22"/>
              </w:rPr>
              <w:t>Patalpos pritaikytos mokiniams, turintiems specialiųjų ugdymosi poreikių.</w:t>
            </w:r>
          </w:p>
          <w:p w14:paraId="44DACB77" w14:textId="77777777" w:rsidR="00BA6694" w:rsidRDefault="00624453">
            <w:pPr>
              <w:tabs>
                <w:tab w:val="left" w:pos="317"/>
                <w:tab w:val="left" w:pos="600"/>
              </w:tabs>
              <w:ind w:left="33" w:firstLine="1"/>
              <w:rPr>
                <w:rFonts w:eastAsia="Arial Unicode MS"/>
                <w:sz w:val="22"/>
                <w:szCs w:val="22"/>
              </w:rPr>
            </w:pPr>
            <w:r>
              <w:rPr>
                <w:rFonts w:eastAsia="Arial Unicode MS"/>
                <w:sz w:val="22"/>
                <w:szCs w:val="22"/>
              </w:rPr>
              <w:t>10.5.</w:t>
            </w:r>
            <w:r>
              <w:rPr>
                <w:rFonts w:eastAsia="Arial Unicode MS"/>
                <w:sz w:val="22"/>
                <w:szCs w:val="22"/>
              </w:rPr>
              <w:tab/>
              <w:t>Įrengtos poilsio ir bendravimo zonos.</w:t>
            </w:r>
          </w:p>
          <w:p w14:paraId="44DACB78" w14:textId="77777777" w:rsidR="00BA6694" w:rsidRDefault="00624453">
            <w:pPr>
              <w:tabs>
                <w:tab w:val="left" w:pos="317"/>
                <w:tab w:val="left" w:pos="600"/>
              </w:tabs>
              <w:ind w:left="33" w:firstLine="1"/>
              <w:rPr>
                <w:rFonts w:eastAsia="Arial Unicode MS"/>
                <w:sz w:val="22"/>
                <w:szCs w:val="22"/>
                <w:lang w:val="pt-PT"/>
              </w:rPr>
            </w:pPr>
            <w:r>
              <w:rPr>
                <w:rFonts w:eastAsia="Arial Unicode MS"/>
                <w:sz w:val="22"/>
                <w:szCs w:val="22"/>
                <w:lang w:val="pt-PT"/>
              </w:rPr>
              <w:t>10.6.</w:t>
            </w:r>
            <w:r>
              <w:rPr>
                <w:rFonts w:eastAsia="Arial Unicode MS"/>
                <w:sz w:val="22"/>
                <w:szCs w:val="22"/>
                <w:lang w:val="pt-PT"/>
              </w:rPr>
              <w:tab/>
            </w:r>
            <w:r>
              <w:rPr>
                <w:rFonts w:eastAsia="Arial Unicode MS"/>
                <w:sz w:val="22"/>
                <w:szCs w:val="22"/>
              </w:rPr>
              <w:t>Vaikai patys dalyvauja kuriant ugdymo aplinką.</w:t>
            </w:r>
          </w:p>
        </w:tc>
        <w:tc>
          <w:tcPr>
            <w:tcW w:w="6380" w:type="dxa"/>
            <w:tcBorders>
              <w:top w:val="single" w:sz="4" w:space="0" w:color="auto"/>
              <w:left w:val="single" w:sz="4" w:space="0" w:color="auto"/>
              <w:bottom w:val="single" w:sz="4" w:space="0" w:color="auto"/>
              <w:right w:val="single" w:sz="4" w:space="0" w:color="auto"/>
            </w:tcBorders>
          </w:tcPr>
          <w:p w14:paraId="44DACB79" w14:textId="77777777" w:rsidR="00BA6694" w:rsidRDefault="00BA6694">
            <w:pPr>
              <w:rPr>
                <w:sz w:val="22"/>
                <w:szCs w:val="22"/>
              </w:rPr>
            </w:pPr>
          </w:p>
        </w:tc>
      </w:tr>
      <w:tr w:rsidR="00BA6694" w14:paraId="44DACB7E" w14:textId="77777777">
        <w:trPr>
          <w:trHeight w:val="912"/>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7B"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7C" w14:textId="77777777" w:rsidR="00BA6694" w:rsidRDefault="00BA6694">
            <w:pPr>
              <w:rPr>
                <w:rFonts w:eastAsia="Arial Unicode MS"/>
                <w:sz w:val="22"/>
                <w:szCs w:val="22"/>
                <w:lang w:val="pt-PT"/>
              </w:rPr>
            </w:pPr>
          </w:p>
        </w:tc>
        <w:tc>
          <w:tcPr>
            <w:tcW w:w="6380" w:type="dxa"/>
            <w:tcBorders>
              <w:top w:val="single" w:sz="4" w:space="0" w:color="auto"/>
              <w:left w:val="single" w:sz="4" w:space="0" w:color="auto"/>
              <w:bottom w:val="single" w:sz="4" w:space="0" w:color="auto"/>
              <w:right w:val="single" w:sz="4" w:space="0" w:color="auto"/>
            </w:tcBorders>
          </w:tcPr>
          <w:p w14:paraId="44DACB7D" w14:textId="77777777" w:rsidR="00BA6694" w:rsidRDefault="00BA6694">
            <w:pPr>
              <w:rPr>
                <w:sz w:val="22"/>
                <w:szCs w:val="22"/>
              </w:rPr>
            </w:pPr>
          </w:p>
        </w:tc>
      </w:tr>
      <w:tr w:rsidR="00BA6694" w14:paraId="44DACB84" w14:textId="77777777">
        <w:trPr>
          <w:trHeight w:val="847"/>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7F" w14:textId="77777777" w:rsidR="00BA6694" w:rsidRDefault="00624453">
            <w:pPr>
              <w:rPr>
                <w:sz w:val="22"/>
                <w:szCs w:val="22"/>
              </w:rPr>
            </w:pPr>
            <w:r>
              <w:rPr>
                <w:sz w:val="22"/>
                <w:szCs w:val="22"/>
              </w:rPr>
              <w:t>11. Psichologinė aplinka *</w:t>
            </w:r>
          </w:p>
        </w:tc>
        <w:tc>
          <w:tcPr>
            <w:tcW w:w="67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ACB80" w14:textId="77777777" w:rsidR="00BA6694" w:rsidRDefault="00624453">
            <w:pPr>
              <w:tabs>
                <w:tab w:val="left" w:pos="33"/>
                <w:tab w:val="left" w:pos="317"/>
                <w:tab w:val="left" w:pos="600"/>
              </w:tabs>
              <w:ind w:left="33" w:firstLine="1"/>
              <w:rPr>
                <w:sz w:val="22"/>
                <w:szCs w:val="22"/>
              </w:rPr>
            </w:pPr>
            <w:r>
              <w:rPr>
                <w:sz w:val="22"/>
                <w:szCs w:val="22"/>
              </w:rPr>
              <w:t>11.1.</w:t>
            </w:r>
            <w:r>
              <w:rPr>
                <w:sz w:val="22"/>
                <w:szCs w:val="22"/>
              </w:rPr>
              <w:tab/>
              <w:t>Kuriama ir palaikoma vaiko emocinį ir intelektualinį ugdymą skatinanti aplinka.</w:t>
            </w:r>
          </w:p>
          <w:p w14:paraId="44DACB81" w14:textId="77777777" w:rsidR="00BA6694" w:rsidRDefault="00624453">
            <w:pPr>
              <w:tabs>
                <w:tab w:val="left" w:pos="33"/>
                <w:tab w:val="left" w:pos="317"/>
                <w:tab w:val="left" w:pos="600"/>
              </w:tabs>
              <w:ind w:left="33" w:firstLine="1"/>
              <w:rPr>
                <w:sz w:val="22"/>
                <w:szCs w:val="22"/>
              </w:rPr>
            </w:pPr>
            <w:r>
              <w:rPr>
                <w:sz w:val="22"/>
                <w:szCs w:val="22"/>
              </w:rPr>
              <w:t>11.2.</w:t>
            </w:r>
            <w:r>
              <w:rPr>
                <w:sz w:val="22"/>
                <w:szCs w:val="22"/>
              </w:rPr>
              <w:tab/>
              <w:t>Vaikų, mokytojų ir vadovų tarpusavio santykiai grindžiami pagarba ir pasitikėjimu.</w:t>
            </w:r>
          </w:p>
          <w:p w14:paraId="44DACB82" w14:textId="77777777" w:rsidR="00BA6694" w:rsidRDefault="00624453">
            <w:pPr>
              <w:tabs>
                <w:tab w:val="left" w:pos="317"/>
                <w:tab w:val="left" w:pos="600"/>
              </w:tabs>
              <w:ind w:left="33" w:firstLine="1"/>
              <w:rPr>
                <w:sz w:val="22"/>
                <w:szCs w:val="22"/>
              </w:rPr>
            </w:pPr>
            <w:r>
              <w:rPr>
                <w:sz w:val="22"/>
                <w:szCs w:val="22"/>
              </w:rPr>
              <w:t>11.3.</w:t>
            </w:r>
            <w:r>
              <w:rPr>
                <w:sz w:val="22"/>
                <w:szCs w:val="22"/>
              </w:rPr>
              <w:tab/>
              <w:t>Vaikas turi galimybę rodyti iniciatyvą, jaučiasi saugus ir pasitikintis savimi bei kitais, gali išreikšti savo nuomonę.</w:t>
            </w:r>
          </w:p>
        </w:tc>
        <w:tc>
          <w:tcPr>
            <w:tcW w:w="6380" w:type="dxa"/>
            <w:tcBorders>
              <w:top w:val="single" w:sz="4" w:space="0" w:color="auto"/>
              <w:left w:val="single" w:sz="4" w:space="0" w:color="auto"/>
              <w:bottom w:val="single" w:sz="4" w:space="0" w:color="auto"/>
              <w:right w:val="single" w:sz="4" w:space="0" w:color="auto"/>
            </w:tcBorders>
          </w:tcPr>
          <w:p w14:paraId="44DACB83" w14:textId="77777777" w:rsidR="00BA6694" w:rsidRDefault="00BA6694">
            <w:pPr>
              <w:rPr>
                <w:sz w:val="22"/>
                <w:szCs w:val="22"/>
              </w:rPr>
            </w:pPr>
          </w:p>
        </w:tc>
      </w:tr>
      <w:tr w:rsidR="00BA6694" w14:paraId="44DACB88" w14:textId="77777777">
        <w:trPr>
          <w:trHeight w:val="770"/>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85"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86" w14:textId="77777777" w:rsidR="00BA6694" w:rsidRDefault="00BA6694">
            <w:pPr>
              <w:rPr>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87" w14:textId="77777777" w:rsidR="00BA6694" w:rsidRDefault="00BA6694">
            <w:pPr>
              <w:rPr>
                <w:sz w:val="22"/>
                <w:szCs w:val="22"/>
              </w:rPr>
            </w:pPr>
          </w:p>
        </w:tc>
      </w:tr>
      <w:tr w:rsidR="00BA6694" w14:paraId="44DACB8A" w14:textId="77777777">
        <w:trPr>
          <w:trHeight w:val="299"/>
        </w:trPr>
        <w:tc>
          <w:tcPr>
            <w:tcW w:w="14632" w:type="dxa"/>
            <w:gridSpan w:val="3"/>
            <w:tcBorders>
              <w:top w:val="single" w:sz="4" w:space="0" w:color="auto"/>
              <w:left w:val="single" w:sz="4" w:space="0" w:color="auto"/>
              <w:bottom w:val="single" w:sz="4" w:space="0" w:color="auto"/>
              <w:right w:val="single" w:sz="4" w:space="0" w:color="auto"/>
            </w:tcBorders>
            <w:hideMark/>
          </w:tcPr>
          <w:p w14:paraId="44DACB89" w14:textId="77777777" w:rsidR="00BA6694" w:rsidRDefault="00624453">
            <w:pPr>
              <w:ind w:left="1080" w:hanging="720"/>
              <w:jc w:val="center"/>
              <w:rPr>
                <w:b/>
                <w:sz w:val="22"/>
                <w:szCs w:val="22"/>
              </w:rPr>
            </w:pPr>
            <w:r>
              <w:rPr>
                <w:b/>
                <w:sz w:val="22"/>
                <w:szCs w:val="22"/>
              </w:rPr>
              <w:t>IV.</w:t>
            </w:r>
            <w:r>
              <w:rPr>
                <w:b/>
                <w:sz w:val="22"/>
                <w:szCs w:val="22"/>
              </w:rPr>
              <w:tab/>
              <w:t>LYDERYSTĖS IR VADYBOS SRITIS</w:t>
            </w:r>
          </w:p>
        </w:tc>
      </w:tr>
      <w:tr w:rsidR="00BA6694" w14:paraId="44DACB8F" w14:textId="77777777">
        <w:trPr>
          <w:trHeight w:val="629"/>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8B" w14:textId="77777777" w:rsidR="00BA6694" w:rsidRDefault="00624453">
            <w:pPr>
              <w:rPr>
                <w:sz w:val="22"/>
                <w:szCs w:val="22"/>
              </w:rPr>
            </w:pPr>
            <w:r>
              <w:rPr>
                <w:sz w:val="22"/>
                <w:szCs w:val="22"/>
              </w:rPr>
              <w:t>12. Vizija, misija, tikslai</w:t>
            </w:r>
          </w:p>
        </w:tc>
        <w:tc>
          <w:tcPr>
            <w:tcW w:w="6726" w:type="dxa"/>
            <w:vMerge w:val="restart"/>
            <w:tcBorders>
              <w:top w:val="single" w:sz="4" w:space="0" w:color="auto"/>
              <w:left w:val="single" w:sz="4" w:space="0" w:color="auto"/>
              <w:bottom w:val="single" w:sz="4" w:space="0" w:color="auto"/>
              <w:right w:val="single" w:sz="4" w:space="0" w:color="auto"/>
            </w:tcBorders>
            <w:hideMark/>
          </w:tcPr>
          <w:p w14:paraId="44DACB8C" w14:textId="77777777" w:rsidR="00BA6694" w:rsidRDefault="00624453">
            <w:pPr>
              <w:tabs>
                <w:tab w:val="left" w:pos="317"/>
                <w:tab w:val="left" w:pos="600"/>
              </w:tabs>
              <w:ind w:left="33" w:firstLine="1"/>
              <w:rPr>
                <w:sz w:val="22"/>
                <w:szCs w:val="22"/>
                <w:lang w:eastAsia="lt-LT"/>
              </w:rPr>
            </w:pPr>
            <w:r>
              <w:rPr>
                <w:sz w:val="22"/>
                <w:szCs w:val="22"/>
                <w:lang w:eastAsia="lt-LT"/>
              </w:rPr>
              <w:t>12.1.</w:t>
            </w:r>
            <w:r>
              <w:rPr>
                <w:sz w:val="22"/>
                <w:szCs w:val="22"/>
                <w:lang w:eastAsia="lt-LT"/>
              </w:rPr>
              <w:tab/>
            </w:r>
            <w:r>
              <w:rPr>
                <w:sz w:val="22"/>
                <w:szCs w:val="22"/>
              </w:rPr>
              <w:t>Teikėjo misija, vizija, filosofija ir tikslai atliepia nacionalinius ir savivaldybės strateginius dokumentus bei teisės aktus, reglamentuojančius NVŠ nuostatas.</w:t>
            </w:r>
          </w:p>
          <w:p w14:paraId="44DACB8D" w14:textId="77777777" w:rsidR="00BA6694" w:rsidRDefault="00624453">
            <w:pPr>
              <w:tabs>
                <w:tab w:val="left" w:pos="317"/>
                <w:tab w:val="left" w:pos="600"/>
              </w:tabs>
              <w:ind w:left="33" w:firstLine="1"/>
              <w:rPr>
                <w:sz w:val="22"/>
                <w:szCs w:val="22"/>
                <w:lang w:eastAsia="lt-LT"/>
              </w:rPr>
            </w:pPr>
            <w:r>
              <w:rPr>
                <w:sz w:val="22"/>
                <w:szCs w:val="22"/>
                <w:lang w:eastAsia="lt-LT"/>
              </w:rPr>
              <w:t>12.2.</w:t>
            </w:r>
            <w:r>
              <w:rPr>
                <w:sz w:val="22"/>
                <w:szCs w:val="22"/>
                <w:lang w:eastAsia="lt-LT"/>
              </w:rPr>
              <w:tab/>
            </w:r>
            <w:r>
              <w:rPr>
                <w:sz w:val="22"/>
                <w:szCs w:val="22"/>
              </w:rPr>
              <w:t>Darbuotojai žino veiklos tikslus, pripažįsta ir prisiima atsakomybę už jų įgyvendinimą.</w:t>
            </w:r>
          </w:p>
        </w:tc>
        <w:tc>
          <w:tcPr>
            <w:tcW w:w="6380" w:type="dxa"/>
            <w:tcBorders>
              <w:top w:val="single" w:sz="4" w:space="0" w:color="auto"/>
              <w:left w:val="single" w:sz="4" w:space="0" w:color="auto"/>
              <w:bottom w:val="single" w:sz="4" w:space="0" w:color="auto"/>
              <w:right w:val="single" w:sz="4" w:space="0" w:color="auto"/>
            </w:tcBorders>
          </w:tcPr>
          <w:p w14:paraId="44DACB8E" w14:textId="77777777" w:rsidR="00BA6694" w:rsidRDefault="00BA6694">
            <w:pPr>
              <w:rPr>
                <w:sz w:val="22"/>
                <w:szCs w:val="22"/>
              </w:rPr>
            </w:pPr>
          </w:p>
        </w:tc>
      </w:tr>
      <w:tr w:rsidR="00BA6694" w14:paraId="44DACB93" w14:textId="77777777">
        <w:trPr>
          <w:trHeight w:val="655"/>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90"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91" w14:textId="77777777" w:rsidR="00BA6694" w:rsidRDefault="00BA6694">
            <w:pPr>
              <w:rPr>
                <w:sz w:val="22"/>
                <w:szCs w:val="22"/>
                <w:lang w:eastAsia="lt-LT"/>
              </w:rPr>
            </w:pPr>
          </w:p>
        </w:tc>
        <w:tc>
          <w:tcPr>
            <w:tcW w:w="6380" w:type="dxa"/>
            <w:tcBorders>
              <w:top w:val="single" w:sz="4" w:space="0" w:color="auto"/>
              <w:left w:val="single" w:sz="4" w:space="0" w:color="auto"/>
              <w:bottom w:val="single" w:sz="4" w:space="0" w:color="auto"/>
              <w:right w:val="single" w:sz="4" w:space="0" w:color="auto"/>
            </w:tcBorders>
          </w:tcPr>
          <w:p w14:paraId="44DACB92" w14:textId="77777777" w:rsidR="00BA6694" w:rsidRDefault="00BA6694">
            <w:pPr>
              <w:rPr>
                <w:sz w:val="22"/>
                <w:szCs w:val="22"/>
              </w:rPr>
            </w:pPr>
          </w:p>
        </w:tc>
      </w:tr>
      <w:tr w:rsidR="00BA6694" w14:paraId="44DACB99" w14:textId="77777777">
        <w:trPr>
          <w:trHeight w:val="932"/>
        </w:trPr>
        <w:tc>
          <w:tcPr>
            <w:tcW w:w="1526" w:type="dxa"/>
            <w:vMerge w:val="restart"/>
            <w:tcBorders>
              <w:top w:val="single" w:sz="4" w:space="0" w:color="auto"/>
              <w:left w:val="single" w:sz="4" w:space="0" w:color="auto"/>
              <w:bottom w:val="single" w:sz="4" w:space="0" w:color="auto"/>
              <w:right w:val="single" w:sz="4" w:space="0" w:color="auto"/>
            </w:tcBorders>
            <w:hideMark/>
          </w:tcPr>
          <w:p w14:paraId="44DACB94" w14:textId="77777777" w:rsidR="00BA6694" w:rsidRDefault="00624453">
            <w:pPr>
              <w:rPr>
                <w:sz w:val="22"/>
                <w:szCs w:val="22"/>
              </w:rPr>
            </w:pPr>
            <w:r>
              <w:rPr>
                <w:sz w:val="22"/>
                <w:szCs w:val="22"/>
              </w:rPr>
              <w:t>13. Duomenimis grįstas sprendimų priėmimas</w:t>
            </w:r>
          </w:p>
        </w:tc>
        <w:tc>
          <w:tcPr>
            <w:tcW w:w="6726" w:type="dxa"/>
            <w:vMerge w:val="restart"/>
            <w:tcBorders>
              <w:top w:val="single" w:sz="4" w:space="0" w:color="auto"/>
              <w:left w:val="single" w:sz="4" w:space="0" w:color="auto"/>
              <w:bottom w:val="single" w:sz="4" w:space="0" w:color="auto"/>
              <w:right w:val="single" w:sz="4" w:space="0" w:color="auto"/>
            </w:tcBorders>
            <w:hideMark/>
          </w:tcPr>
          <w:p w14:paraId="44DACB95" w14:textId="77777777" w:rsidR="00BA6694" w:rsidRDefault="00624453">
            <w:pPr>
              <w:tabs>
                <w:tab w:val="left" w:pos="33"/>
                <w:tab w:val="left" w:pos="317"/>
                <w:tab w:val="left" w:pos="600"/>
              </w:tabs>
              <w:ind w:left="33"/>
              <w:rPr>
                <w:sz w:val="22"/>
                <w:szCs w:val="22"/>
              </w:rPr>
            </w:pPr>
            <w:r>
              <w:rPr>
                <w:sz w:val="22"/>
                <w:szCs w:val="22"/>
              </w:rPr>
              <w:t>13.1.</w:t>
            </w:r>
            <w:r>
              <w:rPr>
                <w:sz w:val="22"/>
                <w:szCs w:val="22"/>
              </w:rPr>
              <w:tab/>
              <w:t xml:space="preserve">Tyrimų, anketų, </w:t>
            </w:r>
            <w:proofErr w:type="spellStart"/>
            <w:r>
              <w:rPr>
                <w:sz w:val="22"/>
                <w:szCs w:val="22"/>
              </w:rPr>
              <w:t>į(si)vertinimo</w:t>
            </w:r>
            <w:proofErr w:type="spellEnd"/>
            <w:r>
              <w:rPr>
                <w:sz w:val="22"/>
                <w:szCs w:val="22"/>
              </w:rPr>
              <w:t xml:space="preserve"> ir kt. duomenys naudojami veikloje, remiantis jais tobulinamos ir kuriamos naujos ugdymo programos, gerinama jų kokybė.</w:t>
            </w:r>
          </w:p>
          <w:p w14:paraId="44DACB96" w14:textId="77777777" w:rsidR="00BA6694" w:rsidRDefault="00624453">
            <w:pPr>
              <w:tabs>
                <w:tab w:val="left" w:pos="33"/>
                <w:tab w:val="left" w:pos="317"/>
                <w:tab w:val="left" w:pos="600"/>
              </w:tabs>
              <w:ind w:left="33"/>
              <w:rPr>
                <w:sz w:val="22"/>
                <w:szCs w:val="22"/>
              </w:rPr>
            </w:pPr>
            <w:r>
              <w:rPr>
                <w:sz w:val="22"/>
                <w:szCs w:val="22"/>
              </w:rPr>
              <w:t>13.2.</w:t>
            </w:r>
            <w:r>
              <w:rPr>
                <w:sz w:val="22"/>
                <w:szCs w:val="22"/>
              </w:rPr>
              <w:tab/>
              <w:t>Duomenys naudojami tobulinant NVŠ teikėjo strategiją, metinius veiklos ir ugdymo planus.</w:t>
            </w:r>
          </w:p>
          <w:p w14:paraId="44DACB97" w14:textId="77777777" w:rsidR="00BA6694" w:rsidRDefault="00624453">
            <w:pPr>
              <w:tabs>
                <w:tab w:val="left" w:pos="33"/>
                <w:tab w:val="left" w:pos="141"/>
                <w:tab w:val="left" w:pos="282"/>
                <w:tab w:val="left" w:pos="600"/>
              </w:tabs>
              <w:rPr>
                <w:sz w:val="22"/>
                <w:szCs w:val="22"/>
              </w:rPr>
            </w:pPr>
            <w:r>
              <w:rPr>
                <w:sz w:val="22"/>
                <w:szCs w:val="22"/>
              </w:rPr>
              <w:t>13.3.</w:t>
            </w:r>
            <w:r>
              <w:rPr>
                <w:sz w:val="22"/>
                <w:szCs w:val="22"/>
              </w:rPr>
              <w:tab/>
              <w:t>NVŠ teikėjo biudžetas ir materialiniai ištekliai tvarkomi skaidriai ir tikslingai, laikantis teisės aktų nustatytų reikalavimų.</w:t>
            </w:r>
          </w:p>
        </w:tc>
        <w:tc>
          <w:tcPr>
            <w:tcW w:w="6380" w:type="dxa"/>
            <w:tcBorders>
              <w:top w:val="single" w:sz="4" w:space="0" w:color="auto"/>
              <w:left w:val="single" w:sz="4" w:space="0" w:color="auto"/>
              <w:bottom w:val="single" w:sz="4" w:space="0" w:color="auto"/>
              <w:right w:val="single" w:sz="4" w:space="0" w:color="auto"/>
            </w:tcBorders>
          </w:tcPr>
          <w:p w14:paraId="44DACB98" w14:textId="77777777" w:rsidR="00BA6694" w:rsidRDefault="00BA6694">
            <w:pPr>
              <w:rPr>
                <w:sz w:val="22"/>
                <w:szCs w:val="22"/>
              </w:rPr>
            </w:pPr>
          </w:p>
        </w:tc>
      </w:tr>
      <w:tr w:rsidR="00BA6694" w14:paraId="44DACB9D" w14:textId="77777777">
        <w:trPr>
          <w:trHeight w:val="138"/>
        </w:trPr>
        <w:tc>
          <w:tcPr>
            <w:tcW w:w="14632" w:type="dxa"/>
            <w:vMerge/>
            <w:tcBorders>
              <w:top w:val="single" w:sz="4" w:space="0" w:color="auto"/>
              <w:left w:val="single" w:sz="4" w:space="0" w:color="auto"/>
              <w:bottom w:val="single" w:sz="4" w:space="0" w:color="auto"/>
              <w:right w:val="single" w:sz="4" w:space="0" w:color="auto"/>
            </w:tcBorders>
            <w:vAlign w:val="center"/>
            <w:hideMark/>
          </w:tcPr>
          <w:p w14:paraId="44DACB9A" w14:textId="77777777" w:rsidR="00BA6694" w:rsidRDefault="00BA6694">
            <w:pPr>
              <w:rPr>
                <w:sz w:val="22"/>
                <w:szCs w:val="22"/>
              </w:rPr>
            </w:pPr>
          </w:p>
        </w:tc>
        <w:tc>
          <w:tcPr>
            <w:tcW w:w="6726" w:type="dxa"/>
            <w:vMerge/>
            <w:tcBorders>
              <w:top w:val="single" w:sz="4" w:space="0" w:color="auto"/>
              <w:left w:val="single" w:sz="4" w:space="0" w:color="auto"/>
              <w:bottom w:val="single" w:sz="4" w:space="0" w:color="auto"/>
              <w:right w:val="single" w:sz="4" w:space="0" w:color="auto"/>
            </w:tcBorders>
            <w:vAlign w:val="center"/>
            <w:hideMark/>
          </w:tcPr>
          <w:p w14:paraId="44DACB9B" w14:textId="77777777" w:rsidR="00BA6694" w:rsidRDefault="00BA6694">
            <w:pPr>
              <w:rPr>
                <w:sz w:val="22"/>
                <w:szCs w:val="22"/>
              </w:rPr>
            </w:pPr>
          </w:p>
        </w:tc>
        <w:tc>
          <w:tcPr>
            <w:tcW w:w="6380" w:type="dxa"/>
            <w:tcBorders>
              <w:top w:val="single" w:sz="4" w:space="0" w:color="auto"/>
              <w:left w:val="single" w:sz="4" w:space="0" w:color="auto"/>
              <w:bottom w:val="single" w:sz="4" w:space="0" w:color="auto"/>
              <w:right w:val="single" w:sz="4" w:space="0" w:color="auto"/>
            </w:tcBorders>
          </w:tcPr>
          <w:p w14:paraId="44DACB9C" w14:textId="77777777" w:rsidR="00BA6694" w:rsidRDefault="00BA6694">
            <w:pPr>
              <w:rPr>
                <w:sz w:val="22"/>
                <w:szCs w:val="22"/>
              </w:rPr>
            </w:pPr>
          </w:p>
        </w:tc>
      </w:tr>
    </w:tbl>
    <w:p w14:paraId="44DACB9E" w14:textId="654990C3" w:rsidR="00BA6694" w:rsidRDefault="00BA6694">
      <w:pPr>
        <w:ind w:firstLine="62"/>
        <w:rPr>
          <w:sz w:val="22"/>
          <w:szCs w:val="22"/>
        </w:rPr>
      </w:pPr>
    </w:p>
    <w:p w14:paraId="44DACB9F" w14:textId="2505DDAC" w:rsidR="00BA6694" w:rsidRDefault="00624453">
      <w:pPr>
        <w:rPr>
          <w:sz w:val="22"/>
          <w:szCs w:val="22"/>
        </w:rPr>
      </w:pPr>
      <w:r>
        <w:rPr>
          <w:b/>
          <w:sz w:val="22"/>
          <w:szCs w:val="22"/>
        </w:rPr>
        <w:t>Pastaba.</w:t>
      </w:r>
      <w:r w:rsidR="007E796F">
        <w:rPr>
          <w:sz w:val="22"/>
          <w:szCs w:val="22"/>
        </w:rPr>
        <w:t xml:space="preserve"> </w:t>
      </w:r>
      <w:r>
        <w:rPr>
          <w:sz w:val="22"/>
          <w:szCs w:val="22"/>
        </w:rPr>
        <w:t>*(žvaigždute) pažymėti rodikliai yra privalomi, kiti – pasirenkami.</w:t>
      </w:r>
    </w:p>
    <w:p w14:paraId="44DACBA0" w14:textId="67EBEB1D" w:rsidR="00BA6694" w:rsidRDefault="00624453">
      <w:pPr>
        <w:jc w:val="center"/>
        <w:rPr>
          <w:sz w:val="22"/>
          <w:szCs w:val="22"/>
        </w:rPr>
      </w:pPr>
      <w:r>
        <w:rPr>
          <w:sz w:val="22"/>
          <w:szCs w:val="22"/>
        </w:rPr>
        <w:t>______________________</w:t>
      </w:r>
    </w:p>
    <w:p w14:paraId="44DACBA1" w14:textId="7F3679CF" w:rsidR="00BA6694" w:rsidRDefault="00BA6694">
      <w:pPr>
        <w:tabs>
          <w:tab w:val="center" w:pos="4986"/>
          <w:tab w:val="right" w:pos="9972"/>
        </w:tabs>
      </w:pPr>
    </w:p>
    <w:p w14:paraId="07CABAFF" w14:textId="77777777" w:rsidR="00624453" w:rsidRDefault="00624453">
      <w:pPr>
        <w:widowControl w:val="0"/>
        <w:ind w:left="-100" w:firstLine="5040"/>
        <w:sectPr w:rsidR="00624453" w:rsidSect="00624453">
          <w:pgSz w:w="16840" w:h="11907" w:orient="landscape" w:code="9"/>
          <w:pgMar w:top="1134" w:right="1138" w:bottom="562" w:left="1238" w:header="288" w:footer="720" w:gutter="0"/>
          <w:pgNumType w:start="1"/>
          <w:cols w:space="720"/>
          <w:noEndnote/>
          <w:titlePg/>
          <w:docGrid w:linePitch="326"/>
        </w:sectPr>
      </w:pPr>
    </w:p>
    <w:p w14:paraId="30CB8170" w14:textId="77777777" w:rsidR="00BA0C72" w:rsidRDefault="00BA0C72" w:rsidP="00BA0C72">
      <w:pPr>
        <w:widowControl w:val="0"/>
        <w:ind w:firstLine="4536"/>
        <w:rPr>
          <w:color w:val="000000"/>
          <w:szCs w:val="24"/>
          <w:lang w:eastAsia="lt-LT"/>
        </w:rPr>
      </w:pPr>
      <w:r>
        <w:rPr>
          <w:color w:val="000000"/>
          <w:szCs w:val="24"/>
          <w:lang w:eastAsia="lt-LT"/>
        </w:rPr>
        <w:lastRenderedPageBreak/>
        <w:t>Panevėžio rajono savivaldybės neformaliojo vaikų</w:t>
      </w:r>
      <w:proofErr w:type="gramStart"/>
      <w:r>
        <w:rPr>
          <w:color w:val="000000"/>
          <w:szCs w:val="24"/>
          <w:lang w:eastAsia="lt-LT"/>
        </w:rPr>
        <w:t xml:space="preserve">                                 </w:t>
      </w:r>
      <w:proofErr w:type="gramEnd"/>
    </w:p>
    <w:p w14:paraId="2AEBBCF3" w14:textId="77777777" w:rsidR="00D034A1" w:rsidRDefault="00BA0C72" w:rsidP="00BA0C72">
      <w:pPr>
        <w:widowControl w:val="0"/>
        <w:ind w:firstLine="4536"/>
        <w:rPr>
          <w:color w:val="000000"/>
          <w:szCs w:val="24"/>
          <w:lang w:eastAsia="lt-LT"/>
        </w:rPr>
      </w:pPr>
      <w:r>
        <w:rPr>
          <w:color w:val="000000"/>
          <w:szCs w:val="24"/>
          <w:lang w:eastAsia="lt-LT"/>
        </w:rPr>
        <w:t>švietimo tei</w:t>
      </w:r>
      <w:r w:rsidR="00134BF0">
        <w:rPr>
          <w:color w:val="000000"/>
          <w:szCs w:val="24"/>
          <w:lang w:eastAsia="lt-LT"/>
        </w:rPr>
        <w:t>kėjų veiklos išorinio vertinimo</w:t>
      </w:r>
      <w:r>
        <w:rPr>
          <w:color w:val="000000"/>
          <w:szCs w:val="24"/>
          <w:lang w:eastAsia="lt-LT"/>
        </w:rPr>
        <w:t xml:space="preserve"> tvarkos </w:t>
      </w:r>
      <w:r w:rsidR="00134BF0">
        <w:rPr>
          <w:color w:val="000000"/>
          <w:szCs w:val="24"/>
          <w:lang w:eastAsia="lt-LT"/>
        </w:rPr>
        <w:t>aprašo</w:t>
      </w:r>
    </w:p>
    <w:p w14:paraId="2769560E" w14:textId="3ADE62F4" w:rsidR="00BA0C72" w:rsidRDefault="007E796F" w:rsidP="00BA0C72">
      <w:pPr>
        <w:widowControl w:val="0"/>
        <w:ind w:firstLine="4536"/>
        <w:rPr>
          <w:b/>
          <w:szCs w:val="24"/>
        </w:rPr>
      </w:pPr>
      <w:r>
        <w:rPr>
          <w:color w:val="000000"/>
          <w:szCs w:val="24"/>
          <w:lang w:eastAsia="lt-LT"/>
        </w:rPr>
        <w:t>2</w:t>
      </w:r>
      <w:r w:rsidR="00D034A1">
        <w:rPr>
          <w:color w:val="000000"/>
          <w:szCs w:val="24"/>
          <w:lang w:eastAsia="lt-LT"/>
        </w:rPr>
        <w:t xml:space="preserve"> priedas</w:t>
      </w:r>
      <w:proofErr w:type="gramStart"/>
      <w:r w:rsidR="00134BF0">
        <w:rPr>
          <w:color w:val="000000"/>
          <w:szCs w:val="24"/>
          <w:lang w:eastAsia="lt-LT"/>
        </w:rPr>
        <w:t xml:space="preserve"> </w:t>
      </w:r>
      <w:r w:rsidR="00D034A1">
        <w:rPr>
          <w:color w:val="000000"/>
          <w:szCs w:val="24"/>
          <w:lang w:eastAsia="lt-LT"/>
        </w:rPr>
        <w:t xml:space="preserve">               </w:t>
      </w:r>
      <w:proofErr w:type="gramEnd"/>
    </w:p>
    <w:p w14:paraId="0F17143B" w14:textId="77777777" w:rsidR="00BA0C72" w:rsidRDefault="00BA0C72" w:rsidP="00D034A1">
      <w:pPr>
        <w:rPr>
          <w:b/>
          <w:szCs w:val="24"/>
        </w:rPr>
      </w:pPr>
    </w:p>
    <w:p w14:paraId="44DACBC0" w14:textId="2F66E75A" w:rsidR="00BA6694" w:rsidRDefault="00624453" w:rsidP="00624453">
      <w:pPr>
        <w:widowControl w:val="0"/>
        <w:ind w:left="-100" w:firstLine="242"/>
        <w:jc w:val="center"/>
        <w:rPr>
          <w:b/>
        </w:rPr>
      </w:pPr>
      <w:r>
        <w:rPr>
          <w:b/>
        </w:rPr>
        <w:t>NEFORMALIOJO VAIKŲ ŠVIETIMO TEIKĖJO KOKYBĖS VERTINIMO</w:t>
      </w:r>
    </w:p>
    <w:p w14:paraId="44DACBC1" w14:textId="77777777" w:rsidR="00BA6694" w:rsidRDefault="00624453" w:rsidP="00624453">
      <w:pPr>
        <w:widowControl w:val="0"/>
        <w:jc w:val="center"/>
        <w:rPr>
          <w:b/>
        </w:rPr>
      </w:pPr>
      <w:r>
        <w:rPr>
          <w:b/>
        </w:rPr>
        <w:t>IŠVADA</w:t>
      </w:r>
    </w:p>
    <w:p w14:paraId="44DACBC2" w14:textId="77777777" w:rsidR="00BA6694" w:rsidRDefault="00BA6694">
      <w:pPr>
        <w:widowControl w:val="0"/>
        <w:ind w:left="-100" w:firstLine="4778"/>
        <w:jc w:val="center"/>
        <w:rPr>
          <w:b/>
        </w:rPr>
      </w:pPr>
    </w:p>
    <w:p w14:paraId="44DACBC3" w14:textId="77777777" w:rsidR="00BA6694" w:rsidRDefault="00BA6694">
      <w:pPr>
        <w:widowControl w:val="0"/>
        <w:ind w:left="-100" w:firstLine="5412"/>
        <w:jc w:val="both"/>
        <w:rPr>
          <w:u w:val="single"/>
        </w:rPr>
      </w:pPr>
    </w:p>
    <w:p w14:paraId="44DACBC4" w14:textId="77777777" w:rsidR="00BA6694" w:rsidRDefault="00624453">
      <w:pPr>
        <w:widowControl w:val="0"/>
        <w:ind w:left="-100" w:firstLine="2696"/>
        <w:jc w:val="both"/>
      </w:pPr>
      <w:r>
        <w:t>(visas švietimo teikėjo pavadinimas)</w:t>
      </w:r>
      <w:proofErr w:type="gramStart"/>
      <w:r>
        <w:t xml:space="preserve">  </w:t>
      </w:r>
      <w:proofErr w:type="gramEnd"/>
    </w:p>
    <w:p w14:paraId="44DACBC5" w14:textId="77777777" w:rsidR="00BA6694" w:rsidRDefault="00BA6694">
      <w:pPr>
        <w:widowControl w:val="0"/>
        <w:ind w:left="-100" w:firstLine="4778"/>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495"/>
      </w:tblGrid>
      <w:tr w:rsidR="00BA6694" w14:paraId="44DACBCB" w14:textId="77777777" w:rsidTr="00624453">
        <w:tc>
          <w:tcPr>
            <w:tcW w:w="4927" w:type="dxa"/>
            <w:tcBorders>
              <w:top w:val="single" w:sz="4" w:space="0" w:color="auto"/>
              <w:left w:val="single" w:sz="4" w:space="0" w:color="auto"/>
              <w:bottom w:val="single" w:sz="4" w:space="0" w:color="auto"/>
              <w:right w:val="single" w:sz="4" w:space="0" w:color="auto"/>
            </w:tcBorders>
          </w:tcPr>
          <w:p w14:paraId="44DACBC6" w14:textId="77777777" w:rsidR="00BA6694" w:rsidRDefault="00BA6694">
            <w:pPr>
              <w:widowControl w:val="0"/>
              <w:jc w:val="center"/>
              <w:rPr>
                <w:b/>
              </w:rPr>
            </w:pPr>
          </w:p>
          <w:p w14:paraId="44DACBC7" w14:textId="77777777" w:rsidR="00BA6694" w:rsidRDefault="00624453">
            <w:pPr>
              <w:widowControl w:val="0"/>
              <w:jc w:val="center"/>
              <w:rPr>
                <w:b/>
              </w:rPr>
            </w:pPr>
            <w:r>
              <w:rPr>
                <w:b/>
              </w:rPr>
              <w:t>Stiprieji veiklos rodikliai ir / ar jų aspektai</w:t>
            </w:r>
          </w:p>
          <w:p w14:paraId="44DACBC8" w14:textId="77777777" w:rsidR="00BA6694" w:rsidRDefault="00BA6694">
            <w:pPr>
              <w:widowControl w:val="0"/>
              <w:jc w:val="center"/>
              <w:rPr>
                <w:b/>
              </w:rPr>
            </w:pPr>
          </w:p>
        </w:tc>
        <w:tc>
          <w:tcPr>
            <w:tcW w:w="4495" w:type="dxa"/>
            <w:tcBorders>
              <w:top w:val="single" w:sz="4" w:space="0" w:color="auto"/>
              <w:left w:val="single" w:sz="4" w:space="0" w:color="auto"/>
              <w:bottom w:val="single" w:sz="4" w:space="0" w:color="auto"/>
              <w:right w:val="single" w:sz="4" w:space="0" w:color="auto"/>
            </w:tcBorders>
          </w:tcPr>
          <w:p w14:paraId="44DACBC9" w14:textId="77777777" w:rsidR="00BA6694" w:rsidRDefault="00BA6694">
            <w:pPr>
              <w:widowControl w:val="0"/>
              <w:jc w:val="center"/>
              <w:rPr>
                <w:b/>
              </w:rPr>
            </w:pPr>
          </w:p>
          <w:p w14:paraId="44DACBCA" w14:textId="77777777" w:rsidR="00BA6694" w:rsidRDefault="00624453">
            <w:pPr>
              <w:widowControl w:val="0"/>
              <w:jc w:val="center"/>
              <w:rPr>
                <w:b/>
              </w:rPr>
            </w:pPr>
            <w:r>
              <w:rPr>
                <w:b/>
              </w:rPr>
              <w:t>Tobulintini veiklos rodikliai ir / ar jų aspektai</w:t>
            </w:r>
          </w:p>
        </w:tc>
      </w:tr>
      <w:tr w:rsidR="00BA6694" w14:paraId="44DACBCF" w14:textId="77777777" w:rsidTr="00624453">
        <w:tc>
          <w:tcPr>
            <w:tcW w:w="4927" w:type="dxa"/>
            <w:tcBorders>
              <w:top w:val="single" w:sz="4" w:space="0" w:color="auto"/>
              <w:left w:val="single" w:sz="4" w:space="0" w:color="auto"/>
              <w:bottom w:val="single" w:sz="4" w:space="0" w:color="auto"/>
              <w:right w:val="single" w:sz="4" w:space="0" w:color="auto"/>
            </w:tcBorders>
          </w:tcPr>
          <w:p w14:paraId="44DACBCC" w14:textId="77777777" w:rsidR="00BA6694" w:rsidRDefault="00624453">
            <w:pPr>
              <w:widowControl w:val="0"/>
            </w:pPr>
            <w:r>
              <w:t>1.</w:t>
            </w:r>
          </w:p>
          <w:p w14:paraId="44DACBCD" w14:textId="77777777" w:rsidR="00BA6694" w:rsidRDefault="00BA6694">
            <w:pPr>
              <w:widowControl w:val="0"/>
            </w:pPr>
          </w:p>
        </w:tc>
        <w:tc>
          <w:tcPr>
            <w:tcW w:w="4495" w:type="dxa"/>
            <w:tcBorders>
              <w:top w:val="single" w:sz="4" w:space="0" w:color="auto"/>
              <w:left w:val="single" w:sz="4" w:space="0" w:color="auto"/>
              <w:bottom w:val="single" w:sz="4" w:space="0" w:color="auto"/>
              <w:right w:val="single" w:sz="4" w:space="0" w:color="auto"/>
            </w:tcBorders>
            <w:hideMark/>
          </w:tcPr>
          <w:p w14:paraId="44DACBCE" w14:textId="77777777" w:rsidR="00BA6694" w:rsidRDefault="00624453">
            <w:pPr>
              <w:widowControl w:val="0"/>
            </w:pPr>
            <w:r>
              <w:t>1.</w:t>
            </w:r>
          </w:p>
        </w:tc>
      </w:tr>
      <w:tr w:rsidR="00BA6694" w14:paraId="44DACBD3" w14:textId="77777777" w:rsidTr="00624453">
        <w:tc>
          <w:tcPr>
            <w:tcW w:w="4927" w:type="dxa"/>
            <w:tcBorders>
              <w:top w:val="single" w:sz="4" w:space="0" w:color="auto"/>
              <w:left w:val="single" w:sz="4" w:space="0" w:color="auto"/>
              <w:bottom w:val="single" w:sz="4" w:space="0" w:color="auto"/>
              <w:right w:val="single" w:sz="4" w:space="0" w:color="auto"/>
            </w:tcBorders>
          </w:tcPr>
          <w:p w14:paraId="44DACBD0" w14:textId="77777777" w:rsidR="00BA6694" w:rsidRDefault="00624453">
            <w:pPr>
              <w:widowControl w:val="0"/>
            </w:pPr>
            <w:r>
              <w:t>2.</w:t>
            </w:r>
          </w:p>
          <w:p w14:paraId="44DACBD1" w14:textId="77777777" w:rsidR="00BA6694" w:rsidRDefault="00BA6694">
            <w:pPr>
              <w:widowControl w:val="0"/>
            </w:pPr>
          </w:p>
        </w:tc>
        <w:tc>
          <w:tcPr>
            <w:tcW w:w="4495" w:type="dxa"/>
            <w:tcBorders>
              <w:top w:val="single" w:sz="4" w:space="0" w:color="auto"/>
              <w:left w:val="single" w:sz="4" w:space="0" w:color="auto"/>
              <w:bottom w:val="single" w:sz="4" w:space="0" w:color="auto"/>
              <w:right w:val="single" w:sz="4" w:space="0" w:color="auto"/>
            </w:tcBorders>
            <w:hideMark/>
          </w:tcPr>
          <w:p w14:paraId="44DACBD2" w14:textId="77777777" w:rsidR="00BA6694" w:rsidRDefault="00624453">
            <w:pPr>
              <w:widowControl w:val="0"/>
            </w:pPr>
            <w:r>
              <w:t>2.</w:t>
            </w:r>
          </w:p>
        </w:tc>
      </w:tr>
      <w:tr w:rsidR="00BA6694" w14:paraId="44DACBD7" w14:textId="77777777" w:rsidTr="00624453">
        <w:tc>
          <w:tcPr>
            <w:tcW w:w="4927" w:type="dxa"/>
            <w:tcBorders>
              <w:top w:val="single" w:sz="4" w:space="0" w:color="auto"/>
              <w:left w:val="single" w:sz="4" w:space="0" w:color="auto"/>
              <w:bottom w:val="single" w:sz="4" w:space="0" w:color="auto"/>
              <w:right w:val="single" w:sz="4" w:space="0" w:color="auto"/>
            </w:tcBorders>
          </w:tcPr>
          <w:p w14:paraId="44DACBD4" w14:textId="77777777" w:rsidR="00BA6694" w:rsidRDefault="00624453">
            <w:pPr>
              <w:widowControl w:val="0"/>
            </w:pPr>
            <w:r>
              <w:t>3.</w:t>
            </w:r>
          </w:p>
          <w:p w14:paraId="44DACBD5" w14:textId="77777777" w:rsidR="00BA6694" w:rsidRDefault="00BA6694">
            <w:pPr>
              <w:widowControl w:val="0"/>
            </w:pPr>
          </w:p>
        </w:tc>
        <w:tc>
          <w:tcPr>
            <w:tcW w:w="4495" w:type="dxa"/>
            <w:tcBorders>
              <w:top w:val="single" w:sz="4" w:space="0" w:color="auto"/>
              <w:left w:val="single" w:sz="4" w:space="0" w:color="auto"/>
              <w:bottom w:val="single" w:sz="4" w:space="0" w:color="auto"/>
              <w:right w:val="single" w:sz="4" w:space="0" w:color="auto"/>
            </w:tcBorders>
            <w:hideMark/>
          </w:tcPr>
          <w:p w14:paraId="44DACBD6" w14:textId="77777777" w:rsidR="00BA6694" w:rsidRDefault="00624453">
            <w:pPr>
              <w:widowControl w:val="0"/>
            </w:pPr>
            <w:r>
              <w:t>3.</w:t>
            </w:r>
          </w:p>
        </w:tc>
      </w:tr>
      <w:tr w:rsidR="00BA6694" w14:paraId="44DACBDB" w14:textId="77777777" w:rsidTr="00624453">
        <w:tc>
          <w:tcPr>
            <w:tcW w:w="4927" w:type="dxa"/>
            <w:tcBorders>
              <w:top w:val="single" w:sz="4" w:space="0" w:color="auto"/>
              <w:left w:val="single" w:sz="4" w:space="0" w:color="auto"/>
              <w:bottom w:val="single" w:sz="4" w:space="0" w:color="auto"/>
              <w:right w:val="single" w:sz="4" w:space="0" w:color="auto"/>
            </w:tcBorders>
          </w:tcPr>
          <w:p w14:paraId="44DACBD8" w14:textId="77777777" w:rsidR="00BA6694" w:rsidRDefault="00624453">
            <w:pPr>
              <w:widowControl w:val="0"/>
            </w:pPr>
            <w:r>
              <w:t>4.</w:t>
            </w:r>
          </w:p>
          <w:p w14:paraId="44DACBD9" w14:textId="77777777" w:rsidR="00BA6694" w:rsidRDefault="00BA6694">
            <w:pPr>
              <w:widowControl w:val="0"/>
            </w:pPr>
          </w:p>
        </w:tc>
        <w:tc>
          <w:tcPr>
            <w:tcW w:w="4495" w:type="dxa"/>
            <w:tcBorders>
              <w:top w:val="single" w:sz="4" w:space="0" w:color="auto"/>
              <w:left w:val="single" w:sz="4" w:space="0" w:color="auto"/>
              <w:bottom w:val="single" w:sz="4" w:space="0" w:color="auto"/>
              <w:right w:val="single" w:sz="4" w:space="0" w:color="auto"/>
            </w:tcBorders>
          </w:tcPr>
          <w:p w14:paraId="44DACBDA" w14:textId="77777777" w:rsidR="00BA6694" w:rsidRDefault="00BA6694">
            <w:pPr>
              <w:widowControl w:val="0"/>
            </w:pPr>
          </w:p>
        </w:tc>
      </w:tr>
      <w:tr w:rsidR="00BA6694" w14:paraId="44DACBDF" w14:textId="77777777" w:rsidTr="00624453">
        <w:tc>
          <w:tcPr>
            <w:tcW w:w="4927" w:type="dxa"/>
            <w:tcBorders>
              <w:top w:val="single" w:sz="4" w:space="0" w:color="auto"/>
              <w:left w:val="single" w:sz="4" w:space="0" w:color="auto"/>
              <w:bottom w:val="single" w:sz="4" w:space="0" w:color="auto"/>
              <w:right w:val="single" w:sz="4" w:space="0" w:color="auto"/>
            </w:tcBorders>
          </w:tcPr>
          <w:p w14:paraId="44DACBDC" w14:textId="77777777" w:rsidR="00BA6694" w:rsidRDefault="00624453">
            <w:pPr>
              <w:widowControl w:val="0"/>
            </w:pPr>
            <w:r>
              <w:t>5.</w:t>
            </w:r>
          </w:p>
          <w:p w14:paraId="44DACBDD" w14:textId="77777777" w:rsidR="00BA6694" w:rsidRDefault="00BA6694">
            <w:pPr>
              <w:widowControl w:val="0"/>
            </w:pPr>
          </w:p>
        </w:tc>
        <w:tc>
          <w:tcPr>
            <w:tcW w:w="4495" w:type="dxa"/>
            <w:tcBorders>
              <w:top w:val="single" w:sz="4" w:space="0" w:color="auto"/>
              <w:left w:val="single" w:sz="4" w:space="0" w:color="auto"/>
              <w:bottom w:val="single" w:sz="4" w:space="0" w:color="auto"/>
              <w:right w:val="single" w:sz="4" w:space="0" w:color="auto"/>
            </w:tcBorders>
          </w:tcPr>
          <w:p w14:paraId="44DACBDE" w14:textId="77777777" w:rsidR="00BA6694" w:rsidRDefault="00BA6694">
            <w:pPr>
              <w:widowControl w:val="0"/>
            </w:pPr>
          </w:p>
        </w:tc>
      </w:tr>
    </w:tbl>
    <w:p w14:paraId="500B2167" w14:textId="77777777" w:rsidR="008A06C7" w:rsidRDefault="00624453">
      <w:pPr>
        <w:jc w:val="center"/>
        <w:rPr>
          <w:rFonts w:ascii="Calibri" w:eastAsia="Calibri" w:hAnsi="Calibri" w:cs="Calibri"/>
          <w:color w:val="000000"/>
          <w:lang w:eastAsia="lt-LT"/>
        </w:rPr>
      </w:pPr>
      <w:r>
        <w:rPr>
          <w:rFonts w:ascii="Calibri" w:eastAsia="Calibri" w:hAnsi="Calibri" w:cs="Calibri"/>
          <w:color w:val="000000"/>
          <w:lang w:eastAsia="lt-LT"/>
        </w:rPr>
        <w:t>___________________________________________</w:t>
      </w:r>
    </w:p>
    <w:p w14:paraId="119AC7E7" w14:textId="77777777" w:rsidR="008A06C7" w:rsidRDefault="008A06C7">
      <w:pPr>
        <w:jc w:val="center"/>
        <w:rPr>
          <w:rFonts w:ascii="Calibri" w:eastAsia="Calibri" w:hAnsi="Calibri" w:cs="Calibri"/>
          <w:color w:val="000000"/>
          <w:lang w:eastAsia="lt-LT"/>
        </w:rPr>
      </w:pPr>
    </w:p>
    <w:p w14:paraId="79F3A5FB" w14:textId="77777777" w:rsidR="008A06C7" w:rsidRDefault="008A06C7">
      <w:pPr>
        <w:jc w:val="center"/>
        <w:rPr>
          <w:rFonts w:ascii="Calibri" w:eastAsia="Calibri" w:hAnsi="Calibri" w:cs="Calibri"/>
          <w:color w:val="000000"/>
          <w:lang w:eastAsia="lt-LT"/>
        </w:rPr>
      </w:pPr>
    </w:p>
    <w:p w14:paraId="13338FD0" w14:textId="77777777" w:rsidR="008A06C7" w:rsidRDefault="008A06C7">
      <w:pPr>
        <w:jc w:val="center"/>
        <w:rPr>
          <w:rFonts w:ascii="Calibri" w:eastAsia="Calibri" w:hAnsi="Calibri" w:cs="Calibri"/>
          <w:color w:val="000000"/>
          <w:lang w:eastAsia="lt-LT"/>
        </w:rPr>
      </w:pPr>
    </w:p>
    <w:p w14:paraId="3C20DB2E" w14:textId="77777777" w:rsidR="008A06C7" w:rsidRDefault="008A06C7">
      <w:pPr>
        <w:jc w:val="center"/>
        <w:rPr>
          <w:rFonts w:ascii="Calibri" w:eastAsia="Calibri" w:hAnsi="Calibri" w:cs="Calibri"/>
          <w:color w:val="000000"/>
          <w:lang w:eastAsia="lt-LT"/>
        </w:rPr>
      </w:pPr>
    </w:p>
    <w:p w14:paraId="53854B87" w14:textId="77777777" w:rsidR="008A06C7" w:rsidRDefault="008A06C7">
      <w:pPr>
        <w:jc w:val="center"/>
        <w:rPr>
          <w:rFonts w:ascii="Calibri" w:eastAsia="Calibri" w:hAnsi="Calibri" w:cs="Calibri"/>
          <w:color w:val="000000"/>
          <w:lang w:eastAsia="lt-LT"/>
        </w:rPr>
      </w:pPr>
    </w:p>
    <w:p w14:paraId="3BAF4F63" w14:textId="77777777" w:rsidR="008A06C7" w:rsidRDefault="008A06C7">
      <w:pPr>
        <w:jc w:val="center"/>
        <w:rPr>
          <w:rFonts w:ascii="Calibri" w:eastAsia="Calibri" w:hAnsi="Calibri" w:cs="Calibri"/>
          <w:color w:val="000000"/>
          <w:lang w:eastAsia="lt-LT"/>
        </w:rPr>
      </w:pPr>
    </w:p>
    <w:p w14:paraId="4F855E88" w14:textId="77777777" w:rsidR="008A06C7" w:rsidRDefault="008A06C7">
      <w:pPr>
        <w:jc w:val="center"/>
        <w:rPr>
          <w:rFonts w:ascii="Calibri" w:eastAsia="Calibri" w:hAnsi="Calibri" w:cs="Calibri"/>
          <w:color w:val="000000"/>
          <w:lang w:eastAsia="lt-LT"/>
        </w:rPr>
      </w:pPr>
    </w:p>
    <w:p w14:paraId="4A8871E1" w14:textId="77777777" w:rsidR="008A06C7" w:rsidRDefault="008A06C7">
      <w:pPr>
        <w:jc w:val="center"/>
        <w:rPr>
          <w:rFonts w:ascii="Calibri" w:eastAsia="Calibri" w:hAnsi="Calibri" w:cs="Calibri"/>
          <w:color w:val="000000"/>
          <w:lang w:eastAsia="lt-LT"/>
        </w:rPr>
      </w:pPr>
    </w:p>
    <w:p w14:paraId="6F85A2D8" w14:textId="77777777" w:rsidR="008A06C7" w:rsidRDefault="008A06C7">
      <w:pPr>
        <w:jc w:val="center"/>
        <w:rPr>
          <w:rFonts w:ascii="Calibri" w:eastAsia="Calibri" w:hAnsi="Calibri" w:cs="Calibri"/>
          <w:color w:val="000000"/>
          <w:lang w:eastAsia="lt-LT"/>
        </w:rPr>
      </w:pPr>
    </w:p>
    <w:p w14:paraId="74C53E10" w14:textId="77777777" w:rsidR="008A06C7" w:rsidRDefault="008A06C7">
      <w:pPr>
        <w:jc w:val="center"/>
        <w:rPr>
          <w:rFonts w:ascii="Calibri" w:eastAsia="Calibri" w:hAnsi="Calibri" w:cs="Calibri"/>
          <w:color w:val="000000"/>
          <w:lang w:eastAsia="lt-LT"/>
        </w:rPr>
      </w:pPr>
    </w:p>
    <w:p w14:paraId="4DEAE6EB" w14:textId="77777777" w:rsidR="008A06C7" w:rsidRDefault="008A06C7">
      <w:pPr>
        <w:jc w:val="center"/>
        <w:rPr>
          <w:rFonts w:ascii="Calibri" w:eastAsia="Calibri" w:hAnsi="Calibri" w:cs="Calibri"/>
          <w:color w:val="000000"/>
          <w:lang w:eastAsia="lt-LT"/>
        </w:rPr>
      </w:pPr>
    </w:p>
    <w:p w14:paraId="47A9AFFE" w14:textId="77777777" w:rsidR="008A06C7" w:rsidRDefault="008A06C7">
      <w:pPr>
        <w:jc w:val="center"/>
        <w:rPr>
          <w:rFonts w:ascii="Calibri" w:eastAsia="Calibri" w:hAnsi="Calibri" w:cs="Calibri"/>
          <w:color w:val="000000"/>
          <w:lang w:eastAsia="lt-LT"/>
        </w:rPr>
      </w:pPr>
    </w:p>
    <w:p w14:paraId="53D18F52" w14:textId="77777777" w:rsidR="008A06C7" w:rsidRDefault="008A06C7">
      <w:pPr>
        <w:jc w:val="center"/>
        <w:rPr>
          <w:rFonts w:ascii="Calibri" w:eastAsia="Calibri" w:hAnsi="Calibri" w:cs="Calibri"/>
          <w:color w:val="000000"/>
          <w:lang w:eastAsia="lt-LT"/>
        </w:rPr>
      </w:pPr>
    </w:p>
    <w:p w14:paraId="297413C8" w14:textId="77777777" w:rsidR="008A06C7" w:rsidRDefault="008A06C7">
      <w:pPr>
        <w:jc w:val="center"/>
        <w:rPr>
          <w:rFonts w:ascii="Calibri" w:eastAsia="Calibri" w:hAnsi="Calibri" w:cs="Calibri"/>
          <w:color w:val="000000"/>
          <w:lang w:eastAsia="lt-LT"/>
        </w:rPr>
      </w:pPr>
    </w:p>
    <w:p w14:paraId="6527B513" w14:textId="77777777" w:rsidR="008A06C7" w:rsidRDefault="008A06C7">
      <w:pPr>
        <w:jc w:val="center"/>
        <w:rPr>
          <w:rFonts w:ascii="Calibri" w:eastAsia="Calibri" w:hAnsi="Calibri" w:cs="Calibri"/>
          <w:color w:val="000000"/>
          <w:lang w:eastAsia="lt-LT"/>
        </w:rPr>
      </w:pPr>
    </w:p>
    <w:p w14:paraId="3F5A7670" w14:textId="77777777" w:rsidR="008A06C7" w:rsidRDefault="008A06C7">
      <w:pPr>
        <w:jc w:val="center"/>
        <w:rPr>
          <w:rFonts w:ascii="Calibri" w:eastAsia="Calibri" w:hAnsi="Calibri" w:cs="Calibri"/>
          <w:color w:val="000000"/>
          <w:lang w:eastAsia="lt-LT"/>
        </w:rPr>
      </w:pPr>
    </w:p>
    <w:p w14:paraId="0C7E8D0B" w14:textId="77777777" w:rsidR="008A06C7" w:rsidRDefault="008A06C7">
      <w:pPr>
        <w:jc w:val="center"/>
        <w:rPr>
          <w:rFonts w:ascii="Calibri" w:eastAsia="Calibri" w:hAnsi="Calibri" w:cs="Calibri"/>
          <w:color w:val="000000"/>
          <w:lang w:eastAsia="lt-LT"/>
        </w:rPr>
      </w:pPr>
    </w:p>
    <w:p w14:paraId="6DF5971D" w14:textId="77777777" w:rsidR="008A06C7" w:rsidRDefault="008A06C7">
      <w:pPr>
        <w:jc w:val="center"/>
        <w:rPr>
          <w:rFonts w:ascii="Calibri" w:eastAsia="Calibri" w:hAnsi="Calibri" w:cs="Calibri"/>
          <w:color w:val="000000"/>
          <w:lang w:eastAsia="lt-LT"/>
        </w:rPr>
      </w:pPr>
    </w:p>
    <w:p w14:paraId="01B3359D" w14:textId="77777777" w:rsidR="008A06C7" w:rsidRDefault="008A06C7">
      <w:pPr>
        <w:jc w:val="center"/>
        <w:rPr>
          <w:rFonts w:ascii="Calibri" w:eastAsia="Calibri" w:hAnsi="Calibri" w:cs="Calibri"/>
          <w:color w:val="000000"/>
          <w:lang w:eastAsia="lt-LT"/>
        </w:rPr>
      </w:pPr>
    </w:p>
    <w:p w14:paraId="531C8819" w14:textId="77777777" w:rsidR="008A06C7" w:rsidRDefault="008A06C7">
      <w:pPr>
        <w:jc w:val="center"/>
        <w:rPr>
          <w:rFonts w:ascii="Calibri" w:eastAsia="Calibri" w:hAnsi="Calibri" w:cs="Calibri"/>
          <w:color w:val="000000"/>
          <w:lang w:eastAsia="lt-LT"/>
        </w:rPr>
      </w:pPr>
    </w:p>
    <w:p w14:paraId="089E0C8A" w14:textId="77777777" w:rsidR="008A06C7" w:rsidRDefault="008A06C7">
      <w:pPr>
        <w:jc w:val="center"/>
        <w:rPr>
          <w:rFonts w:ascii="Calibri" w:eastAsia="Calibri" w:hAnsi="Calibri" w:cs="Calibri"/>
          <w:color w:val="000000"/>
          <w:lang w:eastAsia="lt-LT"/>
        </w:rPr>
      </w:pPr>
    </w:p>
    <w:p w14:paraId="3253D25D" w14:textId="77777777" w:rsidR="008A06C7" w:rsidRDefault="008A06C7">
      <w:pPr>
        <w:jc w:val="center"/>
        <w:rPr>
          <w:rFonts w:ascii="Calibri" w:eastAsia="Calibri" w:hAnsi="Calibri" w:cs="Calibri"/>
          <w:color w:val="000000"/>
          <w:lang w:eastAsia="lt-LT"/>
        </w:rPr>
      </w:pPr>
    </w:p>
    <w:p w14:paraId="54BA1785" w14:textId="77777777" w:rsidR="008A06C7" w:rsidRDefault="008A06C7">
      <w:pPr>
        <w:jc w:val="center"/>
        <w:rPr>
          <w:rFonts w:ascii="Calibri" w:eastAsia="Calibri" w:hAnsi="Calibri" w:cs="Calibri"/>
          <w:color w:val="000000"/>
          <w:lang w:eastAsia="lt-LT"/>
        </w:rPr>
      </w:pPr>
    </w:p>
    <w:p w14:paraId="02252C13" w14:textId="77777777" w:rsidR="008A06C7" w:rsidRDefault="008A06C7">
      <w:pPr>
        <w:jc w:val="center"/>
        <w:rPr>
          <w:rFonts w:ascii="Calibri" w:eastAsia="Calibri" w:hAnsi="Calibri" w:cs="Calibri"/>
          <w:color w:val="000000"/>
          <w:lang w:eastAsia="lt-LT"/>
        </w:rPr>
      </w:pPr>
    </w:p>
    <w:p w14:paraId="671897D0" w14:textId="77777777" w:rsidR="008A06C7" w:rsidRDefault="008A06C7">
      <w:pPr>
        <w:jc w:val="center"/>
        <w:rPr>
          <w:rFonts w:ascii="Calibri" w:eastAsia="Calibri" w:hAnsi="Calibri" w:cs="Calibri"/>
          <w:color w:val="000000"/>
          <w:lang w:eastAsia="lt-LT"/>
        </w:rPr>
      </w:pPr>
    </w:p>
    <w:p w14:paraId="4C71E122" w14:textId="77777777" w:rsidR="00AA1440" w:rsidRDefault="00AA1440">
      <w:pPr>
        <w:jc w:val="center"/>
        <w:rPr>
          <w:rFonts w:ascii="Calibri" w:eastAsia="Calibri" w:hAnsi="Calibri" w:cs="Calibri"/>
          <w:color w:val="000000"/>
          <w:lang w:eastAsia="lt-LT"/>
        </w:rPr>
        <w:sectPr w:rsidR="00AA1440" w:rsidSect="00624453">
          <w:pgSz w:w="11907" w:h="16840" w:code="9"/>
          <w:pgMar w:top="1138" w:right="562" w:bottom="1238" w:left="1134" w:header="288" w:footer="720" w:gutter="0"/>
          <w:pgNumType w:start="1"/>
          <w:cols w:space="720"/>
          <w:noEndnote/>
          <w:titlePg/>
          <w:docGrid w:linePitch="326"/>
        </w:sectPr>
      </w:pPr>
    </w:p>
    <w:p w14:paraId="6C167A99" w14:textId="77777777" w:rsidR="00D3655B" w:rsidRDefault="00D3655B" w:rsidP="00D3655B">
      <w:pPr>
        <w:widowControl w:val="0"/>
        <w:ind w:firstLine="4536"/>
        <w:rPr>
          <w:color w:val="000000"/>
          <w:szCs w:val="24"/>
          <w:lang w:eastAsia="lt-LT"/>
        </w:rPr>
      </w:pPr>
      <w:r>
        <w:rPr>
          <w:color w:val="000000"/>
          <w:szCs w:val="24"/>
          <w:lang w:eastAsia="lt-LT"/>
        </w:rPr>
        <w:lastRenderedPageBreak/>
        <w:t>Panevėžio rajono savivaldybės neformaliojo vaikų</w:t>
      </w:r>
      <w:proofErr w:type="gramStart"/>
      <w:r>
        <w:rPr>
          <w:color w:val="000000"/>
          <w:szCs w:val="24"/>
          <w:lang w:eastAsia="lt-LT"/>
        </w:rPr>
        <w:t xml:space="preserve">                                 </w:t>
      </w:r>
      <w:proofErr w:type="gramEnd"/>
    </w:p>
    <w:p w14:paraId="356A20B1" w14:textId="77777777" w:rsidR="00D3655B" w:rsidRDefault="00D3655B" w:rsidP="00D3655B">
      <w:pPr>
        <w:widowControl w:val="0"/>
        <w:ind w:firstLine="4536"/>
        <w:rPr>
          <w:color w:val="000000"/>
          <w:szCs w:val="24"/>
          <w:lang w:eastAsia="lt-LT"/>
        </w:rPr>
      </w:pPr>
      <w:r>
        <w:rPr>
          <w:color w:val="000000"/>
          <w:szCs w:val="24"/>
          <w:lang w:eastAsia="lt-LT"/>
        </w:rPr>
        <w:t xml:space="preserve">švietimo teikėjų veiklos kokybės užtikrinimo tvarkos </w:t>
      </w:r>
    </w:p>
    <w:p w14:paraId="4374E95D" w14:textId="77777777" w:rsidR="00D3655B" w:rsidRDefault="00D3655B" w:rsidP="00D3655B">
      <w:pPr>
        <w:widowControl w:val="0"/>
        <w:ind w:firstLine="4536"/>
        <w:rPr>
          <w:b/>
          <w:szCs w:val="24"/>
        </w:rPr>
      </w:pPr>
      <w:r>
        <w:rPr>
          <w:color w:val="000000"/>
          <w:szCs w:val="24"/>
          <w:lang w:eastAsia="lt-LT"/>
        </w:rPr>
        <w:t>aprašo 3 priedas</w:t>
      </w:r>
    </w:p>
    <w:p w14:paraId="77295E10" w14:textId="77777777" w:rsidR="00D3655B" w:rsidRDefault="00D3655B" w:rsidP="00D3655B">
      <w:pPr>
        <w:jc w:val="center"/>
        <w:rPr>
          <w:b/>
          <w:szCs w:val="24"/>
        </w:rPr>
      </w:pPr>
    </w:p>
    <w:p w14:paraId="090A7E62" w14:textId="77777777" w:rsidR="00D3655B" w:rsidRDefault="00D3655B" w:rsidP="00D3655B">
      <w:pPr>
        <w:jc w:val="center"/>
        <w:rPr>
          <w:rFonts w:ascii="Calibri" w:eastAsia="Calibri" w:hAnsi="Calibri" w:cs="Calibri"/>
          <w:color w:val="000000"/>
          <w:sz w:val="22"/>
          <w:szCs w:val="22"/>
          <w:lang w:eastAsia="lt-LT"/>
        </w:rPr>
      </w:pPr>
    </w:p>
    <w:p w14:paraId="729F1EBC" w14:textId="77777777" w:rsidR="00D3655B" w:rsidRDefault="00D3655B" w:rsidP="00D3655B">
      <w:pPr>
        <w:rPr>
          <w:sz w:val="6"/>
          <w:szCs w:val="6"/>
        </w:rPr>
      </w:pPr>
    </w:p>
    <w:p w14:paraId="5D6B07C8" w14:textId="77777777" w:rsidR="00D3655B" w:rsidRDefault="00D3655B" w:rsidP="00D3655B">
      <w:pPr>
        <w:jc w:val="center"/>
        <w:rPr>
          <w:b/>
          <w:color w:val="000000"/>
          <w:szCs w:val="24"/>
          <w:lang w:eastAsia="lt-LT"/>
        </w:rPr>
      </w:pPr>
      <w:r>
        <w:rPr>
          <w:b/>
          <w:color w:val="000000"/>
          <w:szCs w:val="24"/>
          <w:lang w:eastAsia="lt-LT"/>
        </w:rPr>
        <w:t xml:space="preserve">NEFORMALIOJO VAIKŲ ŠVIETIMO KOKYBĖS </w:t>
      </w:r>
    </w:p>
    <w:p w14:paraId="6E167CAA" w14:textId="77777777" w:rsidR="00D3655B" w:rsidRDefault="00D3655B" w:rsidP="00D3655B">
      <w:pPr>
        <w:rPr>
          <w:sz w:val="6"/>
          <w:szCs w:val="6"/>
        </w:rPr>
      </w:pPr>
    </w:p>
    <w:p w14:paraId="6FB96D02" w14:textId="77777777" w:rsidR="00D3655B" w:rsidRDefault="00D3655B" w:rsidP="00D3655B">
      <w:pPr>
        <w:jc w:val="center"/>
        <w:rPr>
          <w:b/>
          <w:color w:val="000000"/>
          <w:szCs w:val="24"/>
          <w:lang w:eastAsia="lt-LT"/>
        </w:rPr>
      </w:pPr>
      <w:r>
        <w:rPr>
          <w:b/>
          <w:color w:val="000000"/>
          <w:szCs w:val="24"/>
          <w:lang w:eastAsia="lt-LT"/>
        </w:rPr>
        <w:t>IŠORĖS VERTINTOJŲ ETIKOS PRINCIPAI</w:t>
      </w:r>
    </w:p>
    <w:p w14:paraId="3797CB1B" w14:textId="77777777" w:rsidR="00D3655B" w:rsidRDefault="00D3655B" w:rsidP="00D3655B">
      <w:pPr>
        <w:rPr>
          <w:sz w:val="6"/>
          <w:szCs w:val="6"/>
        </w:rPr>
      </w:pPr>
    </w:p>
    <w:p w14:paraId="55579B81" w14:textId="77777777" w:rsidR="00D3655B" w:rsidRDefault="00D3655B" w:rsidP="00D3655B">
      <w:pPr>
        <w:jc w:val="center"/>
        <w:rPr>
          <w:rFonts w:ascii="Calibri" w:eastAsia="Calibri" w:hAnsi="Calibri" w:cs="Calibri"/>
          <w:color w:val="000000"/>
          <w:sz w:val="22"/>
          <w:szCs w:val="22"/>
          <w:lang w:eastAsia="lt-LT"/>
        </w:rPr>
      </w:pPr>
    </w:p>
    <w:p w14:paraId="1CF595C2" w14:textId="77777777" w:rsidR="00D3655B" w:rsidRDefault="00D3655B" w:rsidP="00D3655B">
      <w:pPr>
        <w:rPr>
          <w:sz w:val="6"/>
          <w:szCs w:val="6"/>
        </w:rPr>
      </w:pPr>
    </w:p>
    <w:p w14:paraId="147EEA8D" w14:textId="77777777" w:rsidR="00D3655B" w:rsidRDefault="00D3655B" w:rsidP="00D3655B">
      <w:pPr>
        <w:ind w:firstLine="1080"/>
        <w:jc w:val="both"/>
        <w:rPr>
          <w:color w:val="000000"/>
          <w:szCs w:val="24"/>
          <w:lang w:eastAsia="lt-LT"/>
        </w:rPr>
      </w:pPr>
      <w:r>
        <w:rPr>
          <w:color w:val="000000"/>
          <w:szCs w:val="24"/>
          <w:lang w:eastAsia="lt-LT"/>
        </w:rPr>
        <w:t xml:space="preserve">1. Išorės vertintojai savo pareigas atlieka sąžiningai, savo vertinimus grindžia faktais, vengia nepagrįsto faktų interpretavimo. </w:t>
      </w:r>
    </w:p>
    <w:p w14:paraId="63F8EA1A" w14:textId="77777777" w:rsidR="00D3655B" w:rsidRDefault="00D3655B" w:rsidP="00D3655B">
      <w:pPr>
        <w:tabs>
          <w:tab w:val="left" w:pos="1418"/>
        </w:tabs>
        <w:ind w:firstLine="1134"/>
        <w:jc w:val="both"/>
        <w:rPr>
          <w:color w:val="000000"/>
          <w:szCs w:val="24"/>
          <w:lang w:eastAsia="lt-LT"/>
        </w:rPr>
      </w:pPr>
      <w:r>
        <w:rPr>
          <w:color w:val="000000"/>
          <w:szCs w:val="24"/>
          <w:lang w:eastAsia="lt-LT"/>
        </w:rPr>
        <w:t>2. Išorės vertintojai nešališki ir objektyvūs, jų vertinimo ataskaitoje pateikiamos tiek stipriosios, tiek silpnosios vertinamo NVŠ teikėjo pusės.</w:t>
      </w:r>
    </w:p>
    <w:p w14:paraId="5F39E134" w14:textId="77777777" w:rsidR="00D3655B" w:rsidRDefault="00D3655B" w:rsidP="00D3655B">
      <w:pPr>
        <w:tabs>
          <w:tab w:val="left" w:pos="1418"/>
        </w:tabs>
        <w:ind w:firstLine="1134"/>
        <w:jc w:val="both"/>
        <w:rPr>
          <w:color w:val="000000"/>
          <w:szCs w:val="24"/>
          <w:lang w:eastAsia="lt-LT"/>
        </w:rPr>
      </w:pPr>
      <w:r>
        <w:rPr>
          <w:color w:val="000000"/>
          <w:szCs w:val="24"/>
          <w:lang w:eastAsia="lt-LT"/>
        </w:rPr>
        <w:t xml:space="preserve">3.  Išorės vertintojai nėra ugdymo proceso dalyviai. </w:t>
      </w:r>
    </w:p>
    <w:p w14:paraId="4A816819" w14:textId="77777777" w:rsidR="00D3655B" w:rsidRDefault="00D3655B" w:rsidP="00D3655B">
      <w:pPr>
        <w:tabs>
          <w:tab w:val="left" w:pos="1418"/>
        </w:tabs>
        <w:ind w:firstLine="1134"/>
        <w:jc w:val="both"/>
        <w:rPr>
          <w:color w:val="000000"/>
          <w:szCs w:val="24"/>
          <w:lang w:eastAsia="lt-LT"/>
        </w:rPr>
      </w:pPr>
      <w:r>
        <w:rPr>
          <w:color w:val="000000"/>
          <w:szCs w:val="24"/>
          <w:lang w:eastAsia="lt-LT"/>
        </w:rPr>
        <w:t>4. Išorės vertintojų priimti, užfiksuoti ir ataskaitoje pateikti vertinimai priimami kolektyviai, bendrai susitarus, neišskiriant kurio nors vieno nario nuomonės.</w:t>
      </w:r>
    </w:p>
    <w:p w14:paraId="6183699C" w14:textId="77777777" w:rsidR="00D3655B" w:rsidRDefault="00D3655B" w:rsidP="00D3655B">
      <w:pPr>
        <w:tabs>
          <w:tab w:val="left" w:pos="1418"/>
        </w:tabs>
        <w:ind w:firstLine="1134"/>
        <w:jc w:val="both"/>
        <w:rPr>
          <w:color w:val="000000"/>
          <w:szCs w:val="24"/>
          <w:lang w:eastAsia="lt-LT"/>
        </w:rPr>
      </w:pPr>
      <w:r>
        <w:rPr>
          <w:color w:val="000000"/>
          <w:szCs w:val="24"/>
          <w:lang w:eastAsia="lt-LT"/>
        </w:rPr>
        <w:t>5. Išorės vertintojai išlaiko pagarbą žmogui ir jo pasirinkimams religiniais, rasiniais, nacionaliniais, socialinės padėties ir kitais panašiais klausimais; susilaiko nuo savo nuomonės reiškimo viešai apie konkrečių NVŠ teikėjų išorinio vertinimo eigą ir rezultatus.</w:t>
      </w:r>
    </w:p>
    <w:p w14:paraId="09778068" w14:textId="77777777" w:rsidR="00D3655B" w:rsidRDefault="00D3655B" w:rsidP="00D3655B">
      <w:pPr>
        <w:tabs>
          <w:tab w:val="left" w:pos="1418"/>
        </w:tabs>
        <w:ind w:firstLine="1134"/>
        <w:jc w:val="both"/>
        <w:rPr>
          <w:color w:val="000000"/>
          <w:szCs w:val="24"/>
          <w:lang w:eastAsia="lt-LT"/>
        </w:rPr>
      </w:pPr>
      <w:r>
        <w:rPr>
          <w:color w:val="000000"/>
          <w:szCs w:val="24"/>
          <w:lang w:eastAsia="lt-LT"/>
        </w:rPr>
        <w:t xml:space="preserve">6. Išorės vertintojai vengia viešų ir privačių interesų konflikto, neatstovauja savo, savo šeimos, giminaičių, draugų ir kitų asmenų interesams, </w:t>
      </w:r>
      <w:r>
        <w:rPr>
          <w:szCs w:val="24"/>
          <w:lang w:eastAsia="lt-LT"/>
        </w:rPr>
        <w:t>vertindami</w:t>
      </w:r>
      <w:r>
        <w:rPr>
          <w:color w:val="000000"/>
          <w:szCs w:val="24"/>
          <w:lang w:eastAsia="lt-LT"/>
        </w:rPr>
        <w:t xml:space="preserve"> konkretų NVŠ teikėją. Jei dėl išorės vertintojų ir vertinamo NVŠ teikėjo buvusių ar esamų veiklų galimas interesų konfliktas, jie privalo nurodyti savo ir asmenų, susijusių su jais santuokos, artimosios giminystės ryšiais, interesus ir atvejus.</w:t>
      </w:r>
    </w:p>
    <w:p w14:paraId="4885DD7D" w14:textId="77777777" w:rsidR="00D3655B" w:rsidRDefault="00D3655B" w:rsidP="00D3655B">
      <w:pPr>
        <w:tabs>
          <w:tab w:val="left" w:pos="1418"/>
          <w:tab w:val="left" w:pos="1560"/>
        </w:tabs>
        <w:ind w:firstLine="1134"/>
        <w:jc w:val="both"/>
        <w:rPr>
          <w:color w:val="000000"/>
          <w:szCs w:val="24"/>
          <w:lang w:eastAsia="lt-LT"/>
        </w:rPr>
      </w:pPr>
      <w:r>
        <w:rPr>
          <w:color w:val="000000"/>
          <w:szCs w:val="24"/>
          <w:lang w:eastAsia="lt-LT"/>
        </w:rPr>
        <w:t>7.</w:t>
      </w:r>
      <w:r>
        <w:rPr>
          <w:color w:val="000000"/>
          <w:szCs w:val="24"/>
          <w:lang w:eastAsia="lt-LT"/>
        </w:rPr>
        <w:tab/>
        <w:t xml:space="preserve">Išorės vertintojai pirmiausia paiso vertinamo NVŠ teikėjo interesų ir stengiasi sumažinti išorinio vertinimo proceso sukeliamą įtampą. </w:t>
      </w:r>
    </w:p>
    <w:p w14:paraId="528ED7BB" w14:textId="77777777" w:rsidR="00D3655B" w:rsidRDefault="00D3655B" w:rsidP="00D3655B">
      <w:pPr>
        <w:tabs>
          <w:tab w:val="left" w:pos="1418"/>
          <w:tab w:val="left" w:pos="1560"/>
        </w:tabs>
        <w:ind w:firstLine="1134"/>
        <w:jc w:val="both"/>
        <w:rPr>
          <w:color w:val="000000"/>
          <w:szCs w:val="24"/>
          <w:lang w:eastAsia="lt-LT"/>
        </w:rPr>
      </w:pPr>
      <w:r>
        <w:rPr>
          <w:color w:val="000000"/>
          <w:szCs w:val="24"/>
          <w:lang w:eastAsia="lt-LT"/>
        </w:rPr>
        <w:t>8.</w:t>
      </w:r>
      <w:r>
        <w:rPr>
          <w:color w:val="000000"/>
          <w:szCs w:val="24"/>
          <w:lang w:eastAsia="lt-LT"/>
        </w:rPr>
        <w:tab/>
        <w:t xml:space="preserve">Išorės vertintojai saugo visų duomenų konfidencialumą, o visą vertinimo metu gautą medžiagą ir informaciją naudoja tik vertinimo tikslais ir neskleidžia jos nei vertinamo NVŠ teikėjo atstovams, nei kitiems suinteresuotiems asmenims. </w:t>
      </w:r>
    </w:p>
    <w:p w14:paraId="4CF6FA2C" w14:textId="77777777" w:rsidR="00D3655B" w:rsidRDefault="00D3655B" w:rsidP="00D3655B">
      <w:pPr>
        <w:tabs>
          <w:tab w:val="left" w:pos="1418"/>
          <w:tab w:val="left" w:pos="1560"/>
        </w:tabs>
        <w:ind w:firstLine="1134"/>
        <w:jc w:val="both"/>
        <w:rPr>
          <w:color w:val="000000"/>
          <w:szCs w:val="24"/>
          <w:lang w:eastAsia="lt-LT"/>
        </w:rPr>
      </w:pPr>
      <w:r>
        <w:rPr>
          <w:color w:val="000000"/>
          <w:szCs w:val="24"/>
          <w:lang w:eastAsia="lt-LT"/>
        </w:rPr>
        <w:t>9.</w:t>
      </w:r>
      <w:r>
        <w:rPr>
          <w:color w:val="000000"/>
          <w:szCs w:val="24"/>
          <w:lang w:eastAsia="lt-LT"/>
        </w:rPr>
        <w:tab/>
        <w:t xml:space="preserve">Išorės vertintojai negali priimti dovanų ir kitokių prielankumo ženklų ar paslaugų, jeigu tai daroma siekiant paveikti išorinio vertinimo rezultatus. </w:t>
      </w:r>
    </w:p>
    <w:p w14:paraId="39E850A3" w14:textId="77777777" w:rsidR="00D3655B" w:rsidRDefault="00D3655B" w:rsidP="00D3655B">
      <w:pPr>
        <w:tabs>
          <w:tab w:val="left" w:pos="1418"/>
          <w:tab w:val="left" w:pos="1560"/>
        </w:tabs>
        <w:ind w:firstLine="1134"/>
        <w:jc w:val="both"/>
        <w:rPr>
          <w:color w:val="000000"/>
          <w:szCs w:val="24"/>
          <w:lang w:eastAsia="lt-LT"/>
        </w:rPr>
      </w:pPr>
    </w:p>
    <w:p w14:paraId="29BA4FD9" w14:textId="77777777" w:rsidR="00D3655B" w:rsidRDefault="00D3655B" w:rsidP="00D3655B">
      <w:pPr>
        <w:tabs>
          <w:tab w:val="left" w:pos="1560"/>
        </w:tabs>
        <w:jc w:val="both"/>
        <w:rPr>
          <w:color w:val="000000"/>
          <w:szCs w:val="24"/>
          <w:lang w:eastAsia="lt-LT"/>
        </w:rPr>
      </w:pPr>
      <w:r>
        <w:rPr>
          <w:b/>
          <w:color w:val="000000"/>
          <w:szCs w:val="24"/>
          <w:lang w:eastAsia="lt-LT"/>
        </w:rPr>
        <w:t xml:space="preserve">Pastaba.  </w:t>
      </w:r>
      <w:r>
        <w:rPr>
          <w:color w:val="000000"/>
          <w:szCs w:val="24"/>
          <w:lang w:eastAsia="lt-LT"/>
        </w:rPr>
        <w:t>Etikos principų laikymasis privalomas visiems išorės vertinimo grupės nariams.</w:t>
      </w:r>
    </w:p>
    <w:p w14:paraId="6B95F964" w14:textId="77777777" w:rsidR="00D3655B" w:rsidRDefault="00D3655B" w:rsidP="00D3655B">
      <w:pPr>
        <w:tabs>
          <w:tab w:val="left" w:pos="1560"/>
        </w:tabs>
        <w:jc w:val="both"/>
        <w:rPr>
          <w:color w:val="000000"/>
          <w:szCs w:val="24"/>
          <w:lang w:eastAsia="lt-LT"/>
        </w:rPr>
      </w:pPr>
    </w:p>
    <w:p w14:paraId="738D6F0E" w14:textId="77777777" w:rsidR="00D3655B" w:rsidRDefault="00D3655B" w:rsidP="00D3655B">
      <w:pPr>
        <w:tabs>
          <w:tab w:val="left" w:pos="1560"/>
        </w:tabs>
        <w:jc w:val="center"/>
        <w:rPr>
          <w:color w:val="000000"/>
          <w:szCs w:val="24"/>
          <w:lang w:eastAsia="lt-LT"/>
        </w:rPr>
      </w:pPr>
      <w:r>
        <w:rPr>
          <w:color w:val="000000"/>
          <w:szCs w:val="24"/>
          <w:lang w:eastAsia="lt-LT"/>
        </w:rPr>
        <w:t>___________________</w:t>
      </w:r>
    </w:p>
    <w:p w14:paraId="44DACBE0" w14:textId="75ED7FD7" w:rsidR="00BA6694" w:rsidRDefault="00BA6694" w:rsidP="001547E1">
      <w:pPr>
        <w:autoSpaceDE w:val="0"/>
        <w:jc w:val="center"/>
        <w:rPr>
          <w:rFonts w:ascii="HelveticaLT" w:hAnsi="HelveticaLT"/>
        </w:rPr>
      </w:pPr>
    </w:p>
    <w:sectPr w:rsidR="00BA6694" w:rsidSect="00624453">
      <w:pgSz w:w="11907" w:h="16840" w:code="9"/>
      <w:pgMar w:top="1138" w:right="562" w:bottom="1238" w:left="1134" w:header="28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EF1B1" w14:textId="77777777" w:rsidR="001A5348" w:rsidRDefault="001A5348">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5D7F47B" w14:textId="77777777" w:rsidR="001A5348" w:rsidRDefault="001A5348">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HelveticaLT">
    <w:altName w:val="Arial"/>
    <w:charset w:val="BA"/>
    <w:family w:val="swiss"/>
    <w:pitch w:val="variable"/>
    <w:sig w:usb0="00000001"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36C6B" w14:textId="77777777" w:rsidR="001A5348" w:rsidRDefault="001A5348">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0E5A0A35" w14:textId="77777777" w:rsidR="001A5348" w:rsidRDefault="001A5348">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7208"/>
      <w:docPartObj>
        <w:docPartGallery w:val="Page Numbers (Top of Page)"/>
        <w:docPartUnique/>
      </w:docPartObj>
    </w:sdtPr>
    <w:sdtEndPr/>
    <w:sdtContent>
      <w:p w14:paraId="0FE8627F" w14:textId="5AD6F031" w:rsidR="00AA1440" w:rsidRDefault="00AA1440">
        <w:pPr>
          <w:pStyle w:val="Header"/>
          <w:jc w:val="center"/>
        </w:pPr>
        <w:r>
          <w:fldChar w:fldCharType="begin"/>
        </w:r>
        <w:r>
          <w:instrText>PAGE   \* MERGEFORMAT</w:instrText>
        </w:r>
        <w:r>
          <w:fldChar w:fldCharType="separate"/>
        </w:r>
        <w:r w:rsidR="00177CA2">
          <w:rPr>
            <w:noProof/>
          </w:rPr>
          <w:t>4</w:t>
        </w:r>
        <w:r>
          <w:fldChar w:fldCharType="end"/>
        </w:r>
      </w:p>
    </w:sdtContent>
  </w:sdt>
  <w:p w14:paraId="071424B5" w14:textId="77777777" w:rsidR="00AA1440" w:rsidRDefault="00AA1440">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6958B" w14:textId="34C2DA65" w:rsidR="00AA1440" w:rsidRDefault="00AA1440">
    <w:pPr>
      <w:pStyle w:val="Header"/>
      <w:jc w:val="center"/>
    </w:pPr>
  </w:p>
  <w:p w14:paraId="5613F09A" w14:textId="77777777" w:rsidR="00AA1440" w:rsidRDefault="00AA1440">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BB1"/>
    <w:rsid w:val="00026D3F"/>
    <w:rsid w:val="00034240"/>
    <w:rsid w:val="0007298B"/>
    <w:rsid w:val="000D7C32"/>
    <w:rsid w:val="00107B90"/>
    <w:rsid w:val="00134BF0"/>
    <w:rsid w:val="001547E1"/>
    <w:rsid w:val="00156B9E"/>
    <w:rsid w:val="00166743"/>
    <w:rsid w:val="00177CA2"/>
    <w:rsid w:val="00185BB1"/>
    <w:rsid w:val="001A5348"/>
    <w:rsid w:val="001C6F3E"/>
    <w:rsid w:val="001E3EE2"/>
    <w:rsid w:val="001F21F8"/>
    <w:rsid w:val="00205D3E"/>
    <w:rsid w:val="00251B92"/>
    <w:rsid w:val="002B72A5"/>
    <w:rsid w:val="002C1029"/>
    <w:rsid w:val="002C2619"/>
    <w:rsid w:val="002D231B"/>
    <w:rsid w:val="0031458E"/>
    <w:rsid w:val="00330DDC"/>
    <w:rsid w:val="0033755E"/>
    <w:rsid w:val="00344ED2"/>
    <w:rsid w:val="0034689B"/>
    <w:rsid w:val="00351935"/>
    <w:rsid w:val="003863A5"/>
    <w:rsid w:val="003A586B"/>
    <w:rsid w:val="003D1674"/>
    <w:rsid w:val="0042127E"/>
    <w:rsid w:val="00495666"/>
    <w:rsid w:val="0050351B"/>
    <w:rsid w:val="005557D9"/>
    <w:rsid w:val="00565E85"/>
    <w:rsid w:val="00580228"/>
    <w:rsid w:val="005B4ED6"/>
    <w:rsid w:val="005C33F7"/>
    <w:rsid w:val="00601AA6"/>
    <w:rsid w:val="00624453"/>
    <w:rsid w:val="00624A12"/>
    <w:rsid w:val="00626121"/>
    <w:rsid w:val="00650F5F"/>
    <w:rsid w:val="006C603D"/>
    <w:rsid w:val="006D2F84"/>
    <w:rsid w:val="006F4D8A"/>
    <w:rsid w:val="00703ACF"/>
    <w:rsid w:val="00706E36"/>
    <w:rsid w:val="0071691C"/>
    <w:rsid w:val="00723C38"/>
    <w:rsid w:val="00740FA3"/>
    <w:rsid w:val="007462CC"/>
    <w:rsid w:val="007E04FF"/>
    <w:rsid w:val="007E796F"/>
    <w:rsid w:val="007F21D1"/>
    <w:rsid w:val="007F2E94"/>
    <w:rsid w:val="00800D03"/>
    <w:rsid w:val="008419E4"/>
    <w:rsid w:val="008509A9"/>
    <w:rsid w:val="0085461C"/>
    <w:rsid w:val="008734E7"/>
    <w:rsid w:val="008900B5"/>
    <w:rsid w:val="00895F36"/>
    <w:rsid w:val="008A06C7"/>
    <w:rsid w:val="008B5D0E"/>
    <w:rsid w:val="009223E6"/>
    <w:rsid w:val="00924464"/>
    <w:rsid w:val="00930BDE"/>
    <w:rsid w:val="00941113"/>
    <w:rsid w:val="009678D9"/>
    <w:rsid w:val="00972907"/>
    <w:rsid w:val="00A145A4"/>
    <w:rsid w:val="00A22686"/>
    <w:rsid w:val="00A646F6"/>
    <w:rsid w:val="00A7078A"/>
    <w:rsid w:val="00AA1440"/>
    <w:rsid w:val="00AA1580"/>
    <w:rsid w:val="00AA40E1"/>
    <w:rsid w:val="00AB0F7F"/>
    <w:rsid w:val="00AB717D"/>
    <w:rsid w:val="00AD3A4C"/>
    <w:rsid w:val="00AE3805"/>
    <w:rsid w:val="00AF50BD"/>
    <w:rsid w:val="00B4592A"/>
    <w:rsid w:val="00B52B5D"/>
    <w:rsid w:val="00BA0C72"/>
    <w:rsid w:val="00BA6694"/>
    <w:rsid w:val="00BD5671"/>
    <w:rsid w:val="00BE4260"/>
    <w:rsid w:val="00BF467F"/>
    <w:rsid w:val="00CA23F4"/>
    <w:rsid w:val="00CC16B9"/>
    <w:rsid w:val="00CD0B48"/>
    <w:rsid w:val="00CD3264"/>
    <w:rsid w:val="00D034A1"/>
    <w:rsid w:val="00D15E5D"/>
    <w:rsid w:val="00D3655B"/>
    <w:rsid w:val="00D375B3"/>
    <w:rsid w:val="00D430D2"/>
    <w:rsid w:val="00D90E8B"/>
    <w:rsid w:val="00D953C5"/>
    <w:rsid w:val="00D95D38"/>
    <w:rsid w:val="00DC42B4"/>
    <w:rsid w:val="00E2225F"/>
    <w:rsid w:val="00EA316D"/>
    <w:rsid w:val="00EB5524"/>
    <w:rsid w:val="00F2124E"/>
    <w:rsid w:val="00F214A9"/>
    <w:rsid w:val="00F218D3"/>
    <w:rsid w:val="00F26C8B"/>
    <w:rsid w:val="00F36AA6"/>
    <w:rsid w:val="00F720B6"/>
    <w:rsid w:val="00FA62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A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40FA3"/>
    <w:rPr>
      <w:color w:val="808080"/>
    </w:rPr>
  </w:style>
  <w:style w:type="paragraph" w:styleId="BalloonText">
    <w:name w:val="Balloon Text"/>
    <w:basedOn w:val="Normal"/>
    <w:link w:val="BalloonTextChar"/>
    <w:rsid w:val="00703ACF"/>
    <w:rPr>
      <w:rFonts w:ascii="Tahoma" w:hAnsi="Tahoma" w:cs="Tahoma"/>
      <w:sz w:val="16"/>
      <w:szCs w:val="16"/>
    </w:rPr>
  </w:style>
  <w:style w:type="character" w:customStyle="1" w:styleId="BalloonTextChar">
    <w:name w:val="Balloon Text Char"/>
    <w:basedOn w:val="DefaultParagraphFont"/>
    <w:link w:val="BalloonText"/>
    <w:rsid w:val="00703ACF"/>
    <w:rPr>
      <w:rFonts w:ascii="Tahoma" w:hAnsi="Tahoma" w:cs="Tahoma"/>
      <w:sz w:val="16"/>
      <w:szCs w:val="16"/>
    </w:rPr>
  </w:style>
  <w:style w:type="paragraph" w:styleId="Header">
    <w:name w:val="header"/>
    <w:basedOn w:val="Normal"/>
    <w:link w:val="HeaderChar"/>
    <w:uiPriority w:val="99"/>
    <w:rsid w:val="00CC16B9"/>
    <w:pPr>
      <w:widowControl w:val="0"/>
      <w:tabs>
        <w:tab w:val="center" w:pos="4153"/>
        <w:tab w:val="right" w:pos="8306"/>
      </w:tabs>
      <w:suppressAutoHyphens/>
    </w:pPr>
    <w:rPr>
      <w:rFonts w:eastAsia="SimSun" w:cs="Mangal"/>
      <w:kern w:val="1"/>
      <w:szCs w:val="24"/>
      <w:lang w:eastAsia="hi-IN" w:bidi="hi-IN"/>
    </w:rPr>
  </w:style>
  <w:style w:type="character" w:customStyle="1" w:styleId="HeaderChar">
    <w:name w:val="Header Char"/>
    <w:basedOn w:val="DefaultParagraphFont"/>
    <w:link w:val="Header"/>
    <w:uiPriority w:val="99"/>
    <w:rsid w:val="00CC16B9"/>
    <w:rPr>
      <w:rFonts w:eastAsia="SimSun" w:cs="Mangal"/>
      <w:kern w:val="1"/>
      <w:szCs w:val="24"/>
      <w:lang w:eastAsia="hi-IN" w:bidi="hi-IN"/>
    </w:rPr>
  </w:style>
  <w:style w:type="paragraph" w:styleId="Title">
    <w:name w:val="Title"/>
    <w:basedOn w:val="Normal"/>
    <w:next w:val="Subtitle"/>
    <w:link w:val="TitleChar"/>
    <w:qFormat/>
    <w:rsid w:val="00CC16B9"/>
    <w:pPr>
      <w:widowControl w:val="0"/>
      <w:jc w:val="center"/>
    </w:pPr>
    <w:rPr>
      <w:rFonts w:eastAsia="SimSun" w:cs="Mangal"/>
      <w:b/>
      <w:kern w:val="1"/>
      <w:szCs w:val="24"/>
      <w:lang w:eastAsia="hi-IN" w:bidi="hi-IN"/>
    </w:rPr>
  </w:style>
  <w:style w:type="character" w:customStyle="1" w:styleId="TitleChar">
    <w:name w:val="Title Char"/>
    <w:basedOn w:val="DefaultParagraphFont"/>
    <w:link w:val="Title"/>
    <w:rsid w:val="00CC16B9"/>
    <w:rPr>
      <w:rFonts w:eastAsia="SimSun" w:cs="Mangal"/>
      <w:b/>
      <w:kern w:val="1"/>
      <w:szCs w:val="24"/>
      <w:lang w:eastAsia="hi-IN" w:bidi="hi-IN"/>
    </w:rPr>
  </w:style>
  <w:style w:type="paragraph" w:customStyle="1" w:styleId="prastasistinklapis">
    <w:name w:val="Įprastasis (tinklapis)"/>
    <w:basedOn w:val="Normal"/>
    <w:rsid w:val="00CC16B9"/>
    <w:pPr>
      <w:spacing w:before="100" w:after="119"/>
    </w:pPr>
    <w:rPr>
      <w:rFonts w:cs="Mangal"/>
      <w:kern w:val="1"/>
      <w:szCs w:val="24"/>
      <w:lang w:val="en-US" w:eastAsia="hi-IN" w:bidi="hi-IN"/>
    </w:rPr>
  </w:style>
  <w:style w:type="paragraph" w:customStyle="1" w:styleId="Pagrindiniotekstotrauka31">
    <w:name w:val="Pagrindinio teksto įtrauka 31"/>
    <w:basedOn w:val="Normal"/>
    <w:rsid w:val="00CC16B9"/>
    <w:pPr>
      <w:widowControl w:val="0"/>
      <w:suppressAutoHyphens/>
      <w:spacing w:after="120"/>
      <w:ind w:left="283"/>
    </w:pPr>
    <w:rPr>
      <w:rFonts w:eastAsia="SimSun" w:cs="Mangal"/>
      <w:kern w:val="1"/>
      <w:sz w:val="16"/>
      <w:szCs w:val="16"/>
      <w:lang w:eastAsia="hi-IN" w:bidi="hi-IN"/>
    </w:rPr>
  </w:style>
  <w:style w:type="paragraph" w:styleId="Subtitle">
    <w:name w:val="Subtitle"/>
    <w:basedOn w:val="Normal"/>
    <w:next w:val="Normal"/>
    <w:link w:val="SubtitleChar"/>
    <w:rsid w:val="00CC16B9"/>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rsid w:val="00CC16B9"/>
    <w:rPr>
      <w:rFonts w:asciiTheme="majorHAnsi" w:eastAsiaTheme="majorEastAsia" w:hAnsiTheme="majorHAnsi" w:cstheme="majorBidi"/>
      <w:i/>
      <w:iCs/>
      <w:color w:val="5B9BD5" w:themeColor="accent1"/>
      <w:spacing w:val="15"/>
      <w:szCs w:val="24"/>
    </w:rPr>
  </w:style>
  <w:style w:type="paragraph" w:styleId="Footer">
    <w:name w:val="footer"/>
    <w:basedOn w:val="Normal"/>
    <w:link w:val="FooterChar"/>
    <w:unhideWhenUsed/>
    <w:rsid w:val="00D953C5"/>
    <w:pPr>
      <w:tabs>
        <w:tab w:val="center" w:pos="4819"/>
        <w:tab w:val="right" w:pos="9638"/>
      </w:tabs>
    </w:pPr>
  </w:style>
  <w:style w:type="character" w:customStyle="1" w:styleId="FooterChar">
    <w:name w:val="Footer Char"/>
    <w:basedOn w:val="DefaultParagraphFont"/>
    <w:link w:val="Footer"/>
    <w:rsid w:val="00D953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40FA3"/>
    <w:rPr>
      <w:color w:val="808080"/>
    </w:rPr>
  </w:style>
  <w:style w:type="paragraph" w:styleId="BalloonText">
    <w:name w:val="Balloon Text"/>
    <w:basedOn w:val="Normal"/>
    <w:link w:val="BalloonTextChar"/>
    <w:rsid w:val="00703ACF"/>
    <w:rPr>
      <w:rFonts w:ascii="Tahoma" w:hAnsi="Tahoma" w:cs="Tahoma"/>
      <w:sz w:val="16"/>
      <w:szCs w:val="16"/>
    </w:rPr>
  </w:style>
  <w:style w:type="character" w:customStyle="1" w:styleId="BalloonTextChar">
    <w:name w:val="Balloon Text Char"/>
    <w:basedOn w:val="DefaultParagraphFont"/>
    <w:link w:val="BalloonText"/>
    <w:rsid w:val="00703ACF"/>
    <w:rPr>
      <w:rFonts w:ascii="Tahoma" w:hAnsi="Tahoma" w:cs="Tahoma"/>
      <w:sz w:val="16"/>
      <w:szCs w:val="16"/>
    </w:rPr>
  </w:style>
  <w:style w:type="paragraph" w:styleId="Header">
    <w:name w:val="header"/>
    <w:basedOn w:val="Normal"/>
    <w:link w:val="HeaderChar"/>
    <w:uiPriority w:val="99"/>
    <w:rsid w:val="00CC16B9"/>
    <w:pPr>
      <w:widowControl w:val="0"/>
      <w:tabs>
        <w:tab w:val="center" w:pos="4153"/>
        <w:tab w:val="right" w:pos="8306"/>
      </w:tabs>
      <w:suppressAutoHyphens/>
    </w:pPr>
    <w:rPr>
      <w:rFonts w:eastAsia="SimSun" w:cs="Mangal"/>
      <w:kern w:val="1"/>
      <w:szCs w:val="24"/>
      <w:lang w:eastAsia="hi-IN" w:bidi="hi-IN"/>
    </w:rPr>
  </w:style>
  <w:style w:type="character" w:customStyle="1" w:styleId="HeaderChar">
    <w:name w:val="Header Char"/>
    <w:basedOn w:val="DefaultParagraphFont"/>
    <w:link w:val="Header"/>
    <w:uiPriority w:val="99"/>
    <w:rsid w:val="00CC16B9"/>
    <w:rPr>
      <w:rFonts w:eastAsia="SimSun" w:cs="Mangal"/>
      <w:kern w:val="1"/>
      <w:szCs w:val="24"/>
      <w:lang w:eastAsia="hi-IN" w:bidi="hi-IN"/>
    </w:rPr>
  </w:style>
  <w:style w:type="paragraph" w:styleId="Title">
    <w:name w:val="Title"/>
    <w:basedOn w:val="Normal"/>
    <w:next w:val="Subtitle"/>
    <w:link w:val="TitleChar"/>
    <w:qFormat/>
    <w:rsid w:val="00CC16B9"/>
    <w:pPr>
      <w:widowControl w:val="0"/>
      <w:jc w:val="center"/>
    </w:pPr>
    <w:rPr>
      <w:rFonts w:eastAsia="SimSun" w:cs="Mangal"/>
      <w:b/>
      <w:kern w:val="1"/>
      <w:szCs w:val="24"/>
      <w:lang w:eastAsia="hi-IN" w:bidi="hi-IN"/>
    </w:rPr>
  </w:style>
  <w:style w:type="character" w:customStyle="1" w:styleId="TitleChar">
    <w:name w:val="Title Char"/>
    <w:basedOn w:val="DefaultParagraphFont"/>
    <w:link w:val="Title"/>
    <w:rsid w:val="00CC16B9"/>
    <w:rPr>
      <w:rFonts w:eastAsia="SimSun" w:cs="Mangal"/>
      <w:b/>
      <w:kern w:val="1"/>
      <w:szCs w:val="24"/>
      <w:lang w:eastAsia="hi-IN" w:bidi="hi-IN"/>
    </w:rPr>
  </w:style>
  <w:style w:type="paragraph" w:customStyle="1" w:styleId="prastasistinklapis">
    <w:name w:val="Įprastasis (tinklapis)"/>
    <w:basedOn w:val="Normal"/>
    <w:rsid w:val="00CC16B9"/>
    <w:pPr>
      <w:spacing w:before="100" w:after="119"/>
    </w:pPr>
    <w:rPr>
      <w:rFonts w:cs="Mangal"/>
      <w:kern w:val="1"/>
      <w:szCs w:val="24"/>
      <w:lang w:val="en-US" w:eastAsia="hi-IN" w:bidi="hi-IN"/>
    </w:rPr>
  </w:style>
  <w:style w:type="paragraph" w:customStyle="1" w:styleId="Pagrindiniotekstotrauka31">
    <w:name w:val="Pagrindinio teksto įtrauka 31"/>
    <w:basedOn w:val="Normal"/>
    <w:rsid w:val="00CC16B9"/>
    <w:pPr>
      <w:widowControl w:val="0"/>
      <w:suppressAutoHyphens/>
      <w:spacing w:after="120"/>
      <w:ind w:left="283"/>
    </w:pPr>
    <w:rPr>
      <w:rFonts w:eastAsia="SimSun" w:cs="Mangal"/>
      <w:kern w:val="1"/>
      <w:sz w:val="16"/>
      <w:szCs w:val="16"/>
      <w:lang w:eastAsia="hi-IN" w:bidi="hi-IN"/>
    </w:rPr>
  </w:style>
  <w:style w:type="paragraph" w:styleId="Subtitle">
    <w:name w:val="Subtitle"/>
    <w:basedOn w:val="Normal"/>
    <w:next w:val="Normal"/>
    <w:link w:val="SubtitleChar"/>
    <w:rsid w:val="00CC16B9"/>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rsid w:val="00CC16B9"/>
    <w:rPr>
      <w:rFonts w:asciiTheme="majorHAnsi" w:eastAsiaTheme="majorEastAsia" w:hAnsiTheme="majorHAnsi" w:cstheme="majorBidi"/>
      <w:i/>
      <w:iCs/>
      <w:color w:val="5B9BD5" w:themeColor="accent1"/>
      <w:spacing w:val="15"/>
      <w:szCs w:val="24"/>
    </w:rPr>
  </w:style>
  <w:style w:type="paragraph" w:styleId="Footer">
    <w:name w:val="footer"/>
    <w:basedOn w:val="Normal"/>
    <w:link w:val="FooterChar"/>
    <w:unhideWhenUsed/>
    <w:rsid w:val="00D953C5"/>
    <w:pPr>
      <w:tabs>
        <w:tab w:val="center" w:pos="4819"/>
        <w:tab w:val="right" w:pos="9638"/>
      </w:tabs>
    </w:pPr>
  </w:style>
  <w:style w:type="character" w:customStyle="1" w:styleId="FooterChar">
    <w:name w:val="Footer Char"/>
    <w:basedOn w:val="DefaultParagraphFont"/>
    <w:link w:val="Footer"/>
    <w:rsid w:val="00D95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8038">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627613669">
      <w:bodyDiv w:val="1"/>
      <w:marLeft w:val="0"/>
      <w:marRight w:val="0"/>
      <w:marTop w:val="0"/>
      <w:marBottom w:val="0"/>
      <w:divBdr>
        <w:top w:val="none" w:sz="0" w:space="0" w:color="auto"/>
        <w:left w:val="none" w:sz="0" w:space="0" w:color="auto"/>
        <w:bottom w:val="none" w:sz="0" w:space="0" w:color="auto"/>
        <w:right w:val="none" w:sz="0" w:space="0" w:color="auto"/>
      </w:divBdr>
      <w:divsChild>
        <w:div w:id="5983577">
          <w:marLeft w:val="0"/>
          <w:marRight w:val="0"/>
          <w:marTop w:val="0"/>
          <w:marBottom w:val="0"/>
          <w:divBdr>
            <w:top w:val="none" w:sz="0" w:space="0" w:color="auto"/>
            <w:left w:val="none" w:sz="0" w:space="0" w:color="auto"/>
            <w:bottom w:val="none" w:sz="0" w:space="0" w:color="auto"/>
            <w:right w:val="none" w:sz="0" w:space="0" w:color="auto"/>
          </w:divBdr>
          <w:divsChild>
            <w:div w:id="169006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6FF5D-7A51-4F53-86BB-7A58F40F69E1}">
  <ds:schemaRefs>
    <ds:schemaRef ds:uri="http://schemas.microsoft.com/sharepoint/v3/contenttype/forms"/>
  </ds:schemaRefs>
</ds:datastoreItem>
</file>

<file path=customXml/itemProps2.xml><?xml version="1.0" encoding="utf-8"?>
<ds:datastoreItem xmlns:ds="http://schemas.openxmlformats.org/officeDocument/2006/customXml" ds:itemID="{87C77B6B-BCAC-4ACE-A023-A7CB793083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79475B-9565-40CA-BBA2-CDE828779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DC1F83B-D095-4202-80DD-49D58DCA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10563</Words>
  <Characters>6021</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01e76996-a5eb-4891-9c75-879dde0ccfee</vt:lpstr>
      <vt:lpstr>01e76996-a5eb-4891-9c75-879dde0ccfee</vt:lpstr>
    </vt:vector>
  </TitlesOfParts>
  <Company>VKS</Company>
  <LinksUpToDate>false</LinksUpToDate>
  <CharactersWithSpaces>16551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01e76996-a5eb-4891-9c75-879dde0ccfee</dc:title>
  <dc:creator>Birietienė Aušra</dc:creator>
  <cp:lastModifiedBy>Sigita</cp:lastModifiedBy>
  <cp:revision>7</cp:revision>
  <cp:lastPrinted>2020-06-15T11:32:00Z</cp:lastPrinted>
  <dcterms:created xsi:type="dcterms:W3CDTF">2020-07-02T08:46:00Z</dcterms:created>
  <dcterms:modified xsi:type="dcterms:W3CDTF">2020-07-02T11:51:00Z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