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540BA7" w:rsidP="00F635A2">
            <w:pPr>
              <w:snapToGrid w:val="0"/>
              <w:rPr>
                <w:b/>
              </w:rPr>
            </w:pPr>
            <w:r>
              <w:rPr>
                <w:b/>
              </w:rPr>
              <w:t>2020</w:t>
            </w:r>
            <w:r w:rsidR="00C04E15">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rsidR="00F57B81" w:rsidRPr="00733840" w:rsidRDefault="00F57B81" w:rsidP="00157961">
            <w:pPr>
              <w:ind w:firstLine="611"/>
              <w:jc w:val="both"/>
              <w:rPr>
                <w:b/>
              </w:rPr>
            </w:pPr>
            <w:r w:rsidRPr="00733840">
              <w:t>Tikslui įgyvendinti iškeltas 1 uždavinys</w:t>
            </w:r>
            <w:r w:rsidRPr="00733840">
              <w:rPr>
                <w:b/>
              </w:rPr>
              <w:t>.</w:t>
            </w:r>
          </w:p>
          <w:p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rsidR="008C500D" w:rsidRPr="00733840" w:rsidRDefault="008C500D" w:rsidP="008C500D">
            <w:pPr>
              <w:ind w:firstLine="611"/>
              <w:jc w:val="both"/>
            </w:pPr>
            <w:r w:rsidRPr="00733840">
              <w:t xml:space="preserve">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w:t>
            </w:r>
            <w:r>
              <w:t xml:space="preserve">Tinkamos finansuoti išlaidų kategorijos: projekto įgyvendinimui būtinų kanceliarinių prekių, prizų, suvenyrų, sveikatinimo inventoriaus įsigijimas, sveikatinimo stovyklų organizavimas, transporto išlaidų (nuoma, degalai, bilietai) kompensavimas, samdomų darbuotojų (lektorių) paskaitų, praktinių užsiėmimų, seminarų, konsultacijų apmokėjimas, projekto dalyvių maitinimas, projektui būtinos viešinimo priemonės (skrajutės, bukletai, ryšio paslaugos ir kt.), higienos, medicinos priemonių, dezinfekcinių, </w:t>
            </w:r>
            <w:proofErr w:type="spellStart"/>
            <w:r>
              <w:t>dezinsekcinių</w:t>
            </w:r>
            <w:proofErr w:type="spellEnd"/>
            <w:r>
              <w:t xml:space="preserve"> ir </w:t>
            </w:r>
            <w:proofErr w:type="spellStart"/>
            <w:r>
              <w:t>deratizacinių</w:t>
            </w:r>
            <w:proofErr w:type="spellEnd"/>
            <w:r>
              <w:t xml:space="preserve"> medžiagų įsigijimas ir kitos, tiesiogiai su projekto įgyvendinimu susijusios, išlaidos. </w:t>
            </w:r>
            <w:r w:rsidRPr="00733840">
              <w:t>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t>iasklaidą bei rajono gyventojus, skatinant rajono asmens sveikatos priežiūros darbuotojus.</w:t>
            </w:r>
            <w:r w:rsidRPr="00733840">
              <w:t xml:space="preserve"> Panevėžio rajono savivaldybės visuomenės sveikatos rėmimo specialiosios programos prioritetinių krypčių sąrašas 20</w:t>
            </w:r>
            <w:r w:rsidR="00592011">
              <w:t>20</w:t>
            </w:r>
            <w:r w:rsidRPr="00733840">
              <w:t xml:space="preserve"> m.:</w:t>
            </w:r>
          </w:p>
          <w:p w:rsidR="008C500D" w:rsidRPr="00733840" w:rsidRDefault="008C500D" w:rsidP="008C500D">
            <w:pPr>
              <w:ind w:firstLine="1296"/>
              <w:jc w:val="both"/>
            </w:pPr>
            <w:r w:rsidRPr="00733840">
              <w:t>1. Alkoholio, tabako ir kitų psichoaktyviųjų medžiagų vartojimo prevencija;</w:t>
            </w:r>
          </w:p>
          <w:p w:rsidR="008C500D" w:rsidRPr="00733840" w:rsidRDefault="008C500D" w:rsidP="008C500D">
            <w:pPr>
              <w:ind w:firstLine="1296"/>
              <w:jc w:val="both"/>
            </w:pPr>
            <w:r w:rsidRPr="00733840">
              <w:t>2. Užkrečiamųjų ligų profilaktika ir kontrolė;</w:t>
            </w:r>
          </w:p>
          <w:p w:rsidR="008C500D" w:rsidRPr="00733840" w:rsidRDefault="008C500D" w:rsidP="008C500D">
            <w:pPr>
              <w:ind w:firstLine="1296"/>
              <w:jc w:val="both"/>
            </w:pPr>
            <w:r w:rsidRPr="00733840">
              <w:lastRenderedPageBreak/>
              <w:t>3. Aplinkos sveikata (triukšmo prevencija, geriamojo vandens, maudyklų vandens stebėsena);</w:t>
            </w:r>
          </w:p>
          <w:p w:rsidR="008C500D" w:rsidRPr="00733840" w:rsidRDefault="008C500D" w:rsidP="008C500D">
            <w:pPr>
              <w:ind w:firstLine="1296"/>
              <w:jc w:val="both"/>
            </w:pPr>
            <w:r w:rsidRPr="00733840">
              <w:t>4. Psichikos sveikatos stiprinimas, savižudybių, patyčių ir smurto prevencija;</w:t>
            </w:r>
          </w:p>
          <w:p w:rsidR="008C500D" w:rsidRPr="00733840" w:rsidRDefault="008C500D" w:rsidP="008C500D">
            <w:pPr>
              <w:ind w:left="1296"/>
              <w:jc w:val="both"/>
            </w:pPr>
            <w:r w:rsidRPr="00733840">
              <w:t>5. Gyventojų sveikos mitybos ir fizinio aktyvumo skatinimas;</w:t>
            </w:r>
          </w:p>
          <w:p w:rsidR="008C500D" w:rsidRPr="00733840" w:rsidRDefault="008C500D" w:rsidP="008C500D">
            <w:pPr>
              <w:ind w:left="1296"/>
              <w:jc w:val="both"/>
            </w:pPr>
            <w:r w:rsidRPr="00733840">
              <w:t>6. Burnos higiena ir sveikata;</w:t>
            </w:r>
          </w:p>
          <w:p w:rsidR="008C500D" w:rsidRPr="00733840" w:rsidRDefault="008C500D" w:rsidP="008C500D">
            <w:pPr>
              <w:ind w:firstLine="1296"/>
              <w:jc w:val="both"/>
            </w:pPr>
            <w:r w:rsidRPr="00733840">
              <w:t>7. Bendruomenės sveikatos stiprinimas, sveikatos mokymas, sveikatos žinių populiarinimas ir visuomenės sveikatos propagavimas;</w:t>
            </w:r>
          </w:p>
          <w:p w:rsidR="008C500D" w:rsidRPr="00733840" w:rsidRDefault="008C500D" w:rsidP="008C500D">
            <w:pPr>
              <w:ind w:left="1296"/>
              <w:jc w:val="both"/>
            </w:pPr>
            <w:r w:rsidRPr="00733840">
              <w:t>8. Lytinė sveikata;</w:t>
            </w:r>
          </w:p>
          <w:p w:rsidR="008C500D" w:rsidRPr="00733840" w:rsidRDefault="008C500D" w:rsidP="008C500D">
            <w:pPr>
              <w:ind w:left="1296"/>
              <w:jc w:val="both"/>
            </w:pPr>
            <w:r w:rsidRPr="00733840">
              <w:t>9. Nelaimingų atsitikimų ir traumų (tarp jų ir pirmosios pagalbos teikimo) prevencija;</w:t>
            </w:r>
          </w:p>
          <w:p w:rsidR="008C500D" w:rsidRPr="00733840" w:rsidRDefault="008C500D" w:rsidP="008C500D">
            <w:pPr>
              <w:ind w:left="1296"/>
              <w:jc w:val="both"/>
            </w:pPr>
            <w:r w:rsidRPr="00733840">
              <w:t>10. Visuomenės sveikatos stebėsena.</w:t>
            </w:r>
          </w:p>
          <w:p w:rsidR="008C500D" w:rsidRPr="00733840" w:rsidRDefault="008C500D" w:rsidP="008C500D">
            <w:pPr>
              <w:ind w:firstLine="611"/>
              <w:jc w:val="both"/>
            </w:pPr>
            <w:r w:rsidRPr="00733840">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t>jų gyvenimo kokybę. Pasikeitus Lietuvos Respublikos v</w:t>
            </w:r>
            <w:r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rsidR="008C500D" w:rsidRPr="00733840" w:rsidRDefault="006D1744" w:rsidP="008C500D">
            <w:pPr>
              <w:ind w:firstLine="611"/>
              <w:jc w:val="both"/>
            </w:pPr>
            <w:r>
              <w:t>2020</w:t>
            </w:r>
            <w:r w:rsidR="008C500D" w:rsidRPr="00733840">
              <w:t xml:space="preserve"> m. 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iš Valstybės biudžeto skirta </w:t>
            </w:r>
            <w:r>
              <w:t>360,3</w:t>
            </w:r>
            <w:r w:rsidR="008C500D" w:rsidRPr="00733840">
              <w:t xml:space="preserve"> tūkst. Eur.</w:t>
            </w:r>
          </w:p>
          <w:p w:rsidR="008C500D" w:rsidRPr="00733840" w:rsidRDefault="008C500D" w:rsidP="008C500D">
            <w:pPr>
              <w:ind w:firstLine="611"/>
              <w:jc w:val="both"/>
            </w:pPr>
            <w:r w:rsidRPr="00733840">
              <w:rPr>
                <w:b/>
              </w:rPr>
              <w:t>Pro</w:t>
            </w:r>
            <w:r w:rsidR="006D1744">
              <w:rPr>
                <w:b/>
              </w:rPr>
              <w:t>dukto kriterijai (2020</w:t>
            </w:r>
            <w:r w:rsidRPr="00733840">
              <w:rPr>
                <w:b/>
              </w:rPr>
              <w:t xml:space="preserve"> m.):</w:t>
            </w:r>
            <w:r w:rsidRPr="00733840">
              <w:t xml:space="preserve"> </w:t>
            </w:r>
          </w:p>
          <w:p w:rsidR="008C500D" w:rsidRPr="00733840" w:rsidRDefault="008C500D" w:rsidP="008C500D">
            <w:pPr>
              <w:pStyle w:val="Pagrindinistekstas"/>
              <w:ind w:firstLine="611"/>
              <w:jc w:val="both"/>
              <w:rPr>
                <w:lang w:val="lt-LT"/>
              </w:rPr>
            </w:pPr>
            <w:r w:rsidRPr="00733840">
              <w:rPr>
                <w:lang w:val="lt-LT"/>
              </w:rPr>
              <w:t xml:space="preserve">1. Visuomenės sveikatos biuro vienai pareigybei tenkančių vaikų skaičius – iki </w:t>
            </w:r>
            <w:r w:rsidR="00E43343">
              <w:rPr>
                <w:lang w:val="lt-LT"/>
              </w:rPr>
              <w:t>360.</w:t>
            </w:r>
          </w:p>
          <w:p w:rsidR="008C500D" w:rsidRPr="00733840" w:rsidRDefault="008C500D" w:rsidP="008C500D">
            <w:pPr>
              <w:pStyle w:val="Pagrindinistekstas"/>
              <w:ind w:firstLine="611"/>
              <w:jc w:val="both"/>
              <w:rPr>
                <w:lang w:val="lt-LT"/>
              </w:rPr>
            </w:pPr>
            <w:r w:rsidRPr="00733840">
              <w:rPr>
                <w:lang w:val="lt-LT"/>
              </w:rPr>
              <w:t xml:space="preserve">2. Visuomenės sveikatos rėmimo specialiosios programos įgyvendinimas – </w:t>
            </w:r>
            <w:r w:rsidR="00394223">
              <w:rPr>
                <w:lang w:val="lt-LT"/>
              </w:rPr>
              <w:t xml:space="preserve">100 </w:t>
            </w:r>
            <w:r w:rsidR="00E43343">
              <w:rPr>
                <w:lang w:val="lt-LT"/>
              </w:rPr>
              <w:t>proc.</w:t>
            </w:r>
          </w:p>
          <w:p w:rsidR="00F017F5" w:rsidRDefault="008C500D" w:rsidP="00F017F5">
            <w:pPr>
              <w:pStyle w:val="Pagrindinistekstas"/>
              <w:ind w:firstLine="611"/>
              <w:jc w:val="both"/>
              <w:rPr>
                <w:lang w:val="lt-LT"/>
              </w:rPr>
            </w:pPr>
            <w:r w:rsidRPr="00733840">
              <w:rPr>
                <w:lang w:val="lt-LT"/>
              </w:rPr>
              <w:t xml:space="preserve">3. Visuomenės informavimo sveikatos klausimais organizuotų </w:t>
            </w:r>
            <w:r w:rsidR="006D1744">
              <w:rPr>
                <w:lang w:val="lt-LT"/>
              </w:rPr>
              <w:t xml:space="preserve">veiklos viešinimo </w:t>
            </w:r>
            <w:r w:rsidRPr="00733840">
              <w:rPr>
                <w:lang w:val="lt-LT"/>
              </w:rPr>
              <w:t>priemonių skaičius</w:t>
            </w:r>
            <w:r w:rsidR="006D1744">
              <w:rPr>
                <w:lang w:val="lt-LT"/>
              </w:rPr>
              <w:t xml:space="preserve"> – 1</w:t>
            </w:r>
            <w:r w:rsidR="00394223">
              <w:rPr>
                <w:lang w:val="lt-LT"/>
              </w:rPr>
              <w:t>00</w:t>
            </w:r>
            <w:r w:rsidR="00E43343">
              <w:rPr>
                <w:lang w:val="lt-LT"/>
              </w:rPr>
              <w:t>.</w:t>
            </w:r>
          </w:p>
          <w:p w:rsidR="0032684F" w:rsidRDefault="008C500D" w:rsidP="00F017F5">
            <w:pPr>
              <w:pStyle w:val="Pagrindinistekstas"/>
              <w:ind w:firstLine="611"/>
              <w:jc w:val="both"/>
              <w:rPr>
                <w:lang w:val="lt-LT"/>
              </w:rPr>
            </w:pPr>
            <w:r w:rsidRPr="00394223">
              <w:rPr>
                <w:lang w:val="lt-LT"/>
              </w:rPr>
              <w:t xml:space="preserve">4. Asmenų, dalyvavusių sveikatinimo priemonėse, skaičius – </w:t>
            </w:r>
            <w:r w:rsidR="00394223">
              <w:rPr>
                <w:lang w:val="lt-LT"/>
              </w:rPr>
              <w:t>20</w:t>
            </w:r>
            <w:r w:rsidR="0002571C">
              <w:rPr>
                <w:lang w:val="lt-LT"/>
              </w:rPr>
              <w:t> </w:t>
            </w:r>
            <w:r w:rsidR="00E43343">
              <w:rPr>
                <w:lang w:val="lt-LT"/>
              </w:rPr>
              <w:t>000.</w:t>
            </w:r>
          </w:p>
          <w:p w:rsidR="0002571C" w:rsidRPr="00394223" w:rsidRDefault="0002571C" w:rsidP="00F017F5">
            <w:pPr>
              <w:pStyle w:val="Pagrindinistekstas"/>
              <w:ind w:firstLine="611"/>
              <w:jc w:val="both"/>
              <w:rPr>
                <w:lang w:val="lt-LT"/>
              </w:rPr>
            </w:pPr>
            <w:r>
              <w:rPr>
                <w:lang w:val="lt-LT"/>
              </w:rPr>
              <w:t>5. Neveiksnių asmenų tam tikroje srityje b</w:t>
            </w:r>
            <w:r w:rsidR="002321E2">
              <w:rPr>
                <w:lang w:val="lt-LT"/>
              </w:rPr>
              <w:t>ūklės peržiūrėtas skaičius – 150</w:t>
            </w:r>
            <w:r w:rsidR="00E43343">
              <w:rPr>
                <w:lang w:val="lt-LT"/>
              </w:rPr>
              <w:t>.</w:t>
            </w:r>
          </w:p>
          <w:p w:rsidR="00394223" w:rsidRDefault="0002571C" w:rsidP="00F017F5">
            <w:pPr>
              <w:pStyle w:val="Pagrindinistekstas"/>
              <w:ind w:firstLine="611"/>
              <w:jc w:val="both"/>
              <w:rPr>
                <w:lang w:val="lt-LT"/>
              </w:rPr>
            </w:pPr>
            <w:r>
              <w:rPr>
                <w:lang w:val="lt-LT"/>
              </w:rPr>
              <w:t>6</w:t>
            </w:r>
            <w:r w:rsidR="00394223">
              <w:rPr>
                <w:lang w:val="lt-LT"/>
              </w:rPr>
              <w:t xml:space="preserve">. Asmenų, dalyvavusių </w:t>
            </w:r>
            <w:r w:rsidR="00E43343">
              <w:rPr>
                <w:lang w:val="lt-LT"/>
              </w:rPr>
              <w:t xml:space="preserve">įgyvendinant </w:t>
            </w:r>
            <w:r w:rsidR="00394223">
              <w:rPr>
                <w:lang w:val="lt-LT"/>
              </w:rPr>
              <w:t>visuomenės psichi</w:t>
            </w:r>
            <w:r w:rsidR="00E43343">
              <w:rPr>
                <w:lang w:val="lt-LT"/>
              </w:rPr>
              <w:t>kos sveikatos gerinimo priemonę</w:t>
            </w:r>
            <w:r w:rsidR="00394223">
              <w:rPr>
                <w:lang w:val="lt-LT"/>
              </w:rPr>
              <w:t>, skaičius – 100</w:t>
            </w:r>
            <w:r w:rsidR="00E43343">
              <w:rPr>
                <w:lang w:val="lt-LT"/>
              </w:rPr>
              <w:t>.</w:t>
            </w:r>
          </w:p>
          <w:p w:rsidR="006D1744" w:rsidRDefault="006D1744" w:rsidP="00F017F5">
            <w:pPr>
              <w:pStyle w:val="Pagrindinistekstas"/>
              <w:ind w:firstLine="611"/>
              <w:jc w:val="both"/>
              <w:rPr>
                <w:lang w:val="lt-LT"/>
              </w:rPr>
            </w:pPr>
            <w:r>
              <w:rPr>
                <w:lang w:val="lt-LT"/>
              </w:rPr>
              <w:t>7. Apsilankymų pas priklausom</w:t>
            </w:r>
            <w:r w:rsidR="00E43343">
              <w:rPr>
                <w:lang w:val="lt-LT"/>
              </w:rPr>
              <w:t>ybės konsultantą skaičius – 300.</w:t>
            </w:r>
          </w:p>
          <w:p w:rsidR="00856074" w:rsidRPr="00394223" w:rsidRDefault="00856074" w:rsidP="00F017F5">
            <w:pPr>
              <w:pStyle w:val="Pagrindinistekstas"/>
              <w:ind w:firstLine="611"/>
              <w:jc w:val="both"/>
              <w:rPr>
                <w:lang w:val="lt-LT"/>
              </w:rPr>
            </w:pPr>
            <w:r>
              <w:rPr>
                <w:lang w:val="lt-LT"/>
              </w:rPr>
              <w:t>8. Medicinos darbuotojų dienos organizavimas.</w:t>
            </w:r>
          </w:p>
        </w:tc>
      </w:tr>
      <w:tr w:rsidR="00EA2224"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rsidR="008C500D" w:rsidRPr="00733840" w:rsidRDefault="008C500D" w:rsidP="008C500D">
            <w:pPr>
              <w:jc w:val="both"/>
            </w:pPr>
            <w:r w:rsidRPr="00733840">
              <w:rPr>
                <w:b/>
              </w:rPr>
              <w:lastRenderedPageBreak/>
              <w:t>Rez</w:t>
            </w:r>
            <w:r w:rsidR="006D1744">
              <w:rPr>
                <w:b/>
              </w:rPr>
              <w:t>ultato vertinimo kriterijai (2020</w:t>
            </w:r>
            <w:r w:rsidRPr="00733840">
              <w:rPr>
                <w:b/>
              </w:rPr>
              <w:t xml:space="preserve"> m.):</w:t>
            </w:r>
          </w:p>
          <w:p w:rsidR="008C500D" w:rsidRPr="00733840" w:rsidRDefault="008C500D" w:rsidP="008C500D">
            <w:pPr>
              <w:jc w:val="both"/>
            </w:pPr>
            <w:r w:rsidRPr="00733840">
              <w:t>1. Visuomenės sveikatos priežiūros paslaugų stiprinimas;</w:t>
            </w:r>
          </w:p>
          <w:p w:rsidR="008C500D" w:rsidRPr="00733840" w:rsidRDefault="008C500D" w:rsidP="008C500D">
            <w:pPr>
              <w:jc w:val="both"/>
            </w:pPr>
            <w:r w:rsidRPr="00733840">
              <w:t>2. Didesnė visuomenės dalis vadovaujasi sveikos gyvensenos principais;</w:t>
            </w:r>
          </w:p>
          <w:p w:rsidR="008C500D" w:rsidRPr="00733840" w:rsidRDefault="008C500D" w:rsidP="008C500D">
            <w:pPr>
              <w:jc w:val="both"/>
            </w:pPr>
            <w:r w:rsidRPr="00733840">
              <w:t>3. Sveikatos statistikos rodiklių gerėjimas (mažėjantis gyventojų sergamumas, mirštamumas ir kt.);</w:t>
            </w:r>
          </w:p>
          <w:p w:rsidR="008C500D" w:rsidRPr="00733840" w:rsidRDefault="008C500D" w:rsidP="008C500D">
            <w:pPr>
              <w:pStyle w:val="Pagrindinistekstas"/>
              <w:jc w:val="both"/>
              <w:rPr>
                <w:lang w:val="lt-LT"/>
              </w:rPr>
            </w:pPr>
            <w:r w:rsidRPr="00733840">
              <w:rPr>
                <w:lang w:val="lt-LT"/>
              </w:rPr>
              <w:t>4. Valstybinių sveikatos priežiūros programų, finansuojamų iš PSDF lėšų, įgyvendinimas, proc.:</w:t>
            </w:r>
          </w:p>
          <w:p w:rsidR="008C500D" w:rsidRPr="00733840" w:rsidRDefault="008C500D" w:rsidP="008C500D">
            <w:pPr>
              <w:pStyle w:val="Pagrindinistekstas"/>
              <w:jc w:val="both"/>
              <w:rPr>
                <w:lang w:val="lt-LT"/>
              </w:rPr>
            </w:pPr>
            <w:r>
              <w:rPr>
                <w:lang w:val="lt-LT"/>
              </w:rPr>
              <w:t>5</w:t>
            </w:r>
            <w:r w:rsidRPr="00733840">
              <w:rPr>
                <w:lang w:val="lt-LT"/>
              </w:rPr>
              <w:t>. Gimdos kaklelio vėžio profilaktinė programa;</w:t>
            </w:r>
          </w:p>
          <w:p w:rsidR="008C500D" w:rsidRPr="00733840" w:rsidRDefault="008C500D" w:rsidP="008C500D">
            <w:pPr>
              <w:pStyle w:val="Pagrindinistekstas"/>
              <w:jc w:val="both"/>
              <w:rPr>
                <w:lang w:val="lt-LT"/>
              </w:rPr>
            </w:pPr>
            <w:r>
              <w:rPr>
                <w:lang w:val="lt-LT"/>
              </w:rPr>
              <w:t>6</w:t>
            </w:r>
            <w:r w:rsidRPr="00733840">
              <w:rPr>
                <w:lang w:val="lt-LT"/>
              </w:rPr>
              <w:t>. Krūties vėžio profilaktinė programa;</w:t>
            </w:r>
          </w:p>
          <w:p w:rsidR="008C500D" w:rsidRPr="00733840" w:rsidRDefault="008C500D" w:rsidP="008C500D">
            <w:pPr>
              <w:pStyle w:val="Pagrindinistekstas"/>
              <w:jc w:val="both"/>
              <w:rPr>
                <w:lang w:val="lt-LT"/>
              </w:rPr>
            </w:pPr>
            <w:r>
              <w:rPr>
                <w:lang w:val="lt-LT"/>
              </w:rPr>
              <w:t>7</w:t>
            </w:r>
            <w:r w:rsidRPr="00733840">
              <w:rPr>
                <w:lang w:val="lt-LT"/>
              </w:rPr>
              <w:t>. Priešinės liaukos vėžio profilaktinė programa;</w:t>
            </w:r>
          </w:p>
          <w:p w:rsidR="00EA2224" w:rsidRDefault="008C500D" w:rsidP="008C500D">
            <w:pPr>
              <w:jc w:val="both"/>
            </w:pPr>
            <w:r>
              <w:t>8</w:t>
            </w:r>
            <w:r w:rsidRPr="00733840">
              <w:t>. Širdies ir kraujagyslių ligų prevencinė programa</w:t>
            </w:r>
            <w:r w:rsidR="006D1744">
              <w:t>;</w:t>
            </w:r>
          </w:p>
          <w:p w:rsidR="006D1744" w:rsidRPr="00733840" w:rsidRDefault="006D1744" w:rsidP="008C500D">
            <w:pPr>
              <w:jc w:val="both"/>
            </w:pPr>
            <w:r>
              <w:t>9. Storosios žarnos vėžio ankstyvosios diagnostikos programa.</w:t>
            </w:r>
          </w:p>
        </w:tc>
      </w:tr>
      <w:tr w:rsidR="00C04E15" w:rsidTr="00D003CD">
        <w:tc>
          <w:tcPr>
            <w:tcW w:w="3195" w:type="dxa"/>
            <w:tcBorders>
              <w:top w:val="single" w:sz="4" w:space="0" w:color="000000"/>
              <w:left w:val="single" w:sz="4" w:space="0" w:color="000000"/>
              <w:bottom w:val="single" w:sz="4" w:space="0" w:color="000000"/>
            </w:tcBorders>
          </w:tcPr>
          <w:p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rsidR="00C04E15" w:rsidRPr="00733840" w:rsidRDefault="00C04E15" w:rsidP="00F635A2">
            <w:pPr>
              <w:snapToGrid w:val="0"/>
            </w:pPr>
            <w:r w:rsidRPr="00733840">
              <w:t>Didinti sveikatos apsaugos paslaugų prieinamumą ir kokybę</w:t>
            </w:r>
          </w:p>
        </w:tc>
        <w:tc>
          <w:tcPr>
            <w:tcW w:w="1392" w:type="dxa"/>
            <w:tcBorders>
              <w:top w:val="single" w:sz="4" w:space="0" w:color="000000"/>
              <w:left w:val="single" w:sz="4" w:space="0" w:color="000000"/>
              <w:bottom w:val="single" w:sz="4" w:space="0" w:color="000000"/>
            </w:tcBorders>
          </w:tcPr>
          <w:p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733840" w:rsidRDefault="00C04E15" w:rsidP="00F635A2">
            <w:pPr>
              <w:snapToGrid w:val="0"/>
              <w:jc w:val="center"/>
              <w:rPr>
                <w:b/>
              </w:rPr>
            </w:pPr>
            <w:r w:rsidRPr="00733840">
              <w:rPr>
                <w:b/>
              </w:rPr>
              <w:t>02</w:t>
            </w:r>
          </w:p>
        </w:tc>
      </w:tr>
      <w:tr w:rsidR="00C04E15" w:rsidTr="00C0538C">
        <w:trPr>
          <w:trHeight w:val="8040"/>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733840" w:rsidRDefault="00CB489D" w:rsidP="00CB489D">
            <w:pPr>
              <w:pStyle w:val="Pagrindinistekstas"/>
              <w:snapToGrid w:val="0"/>
              <w:ind w:firstLine="374"/>
              <w:rPr>
                <w:lang w:val="lt-LT"/>
              </w:rPr>
            </w:pPr>
            <w:r w:rsidRPr="00733840">
              <w:rPr>
                <w:b/>
                <w:lang w:val="lt-LT"/>
              </w:rPr>
              <w:lastRenderedPageBreak/>
              <w:t>Tikslo įgyvendinimo aprašymas:</w:t>
            </w:r>
          </w:p>
          <w:p w:rsidR="00EA2224" w:rsidRPr="00733840" w:rsidRDefault="00CB489D" w:rsidP="00232808">
            <w:pPr>
              <w:pStyle w:val="Pagrindinistekstas"/>
              <w:ind w:firstLine="374"/>
              <w:rPr>
                <w:lang w:val="lt-LT"/>
              </w:rPr>
            </w:pPr>
            <w:r w:rsidRPr="00733840">
              <w:rPr>
                <w:lang w:val="lt-LT"/>
              </w:rPr>
              <w:t>Tikslui įgyvendinti iškelti 2 uždaviniai.</w:t>
            </w:r>
          </w:p>
          <w:p w:rsidR="00CB489D" w:rsidRPr="00336FF3" w:rsidRDefault="00CB489D" w:rsidP="00CB489D">
            <w:pPr>
              <w:pStyle w:val="Pagrindinistekstas"/>
              <w:ind w:firstLine="374"/>
              <w:rPr>
                <w:lang w:val="lt-LT"/>
              </w:rPr>
            </w:pPr>
            <w:r w:rsidRPr="00336FF3">
              <w:rPr>
                <w:b/>
                <w:lang w:val="lt-LT"/>
              </w:rPr>
              <w:t>01 uždavinys. Remti sveikatos priežiūros paslaugas nustatytų kategorijų žmonėms.</w:t>
            </w:r>
          </w:p>
          <w:p w:rsidR="00216FD7" w:rsidRPr="00AF6594" w:rsidRDefault="00216FD7" w:rsidP="00216FD7">
            <w:pPr>
              <w:ind w:firstLine="374"/>
              <w:jc w:val="both"/>
            </w:pPr>
            <w:r w:rsidRPr="00AF6594">
              <w:t xml:space="preserve">Lėšos, 2020 m. neplanuojamos skirti </w:t>
            </w:r>
            <w:r w:rsidR="00AF6594" w:rsidRPr="00AF6594">
              <w:t>dantų protezavimo išlaidų dengimui vykdyti</w:t>
            </w:r>
            <w:r w:rsidR="00AF6594" w:rsidRPr="00AF6594">
              <w:t xml:space="preserve"> </w:t>
            </w:r>
            <w:r w:rsidRPr="00AF6594">
              <w:t>Panevėžio rajono asmenims, kuriems sukako senatvės pensijos amžius, kurie pripažinti nedarbingais arba iš dalies darbingais</w:t>
            </w:r>
            <w:r w:rsidR="00AF6594" w:rsidRPr="00AF6594">
              <w:t>,</w:t>
            </w:r>
            <w:r w:rsidRPr="00AF6594">
              <w:t xml:space="preserve"> kuriems buvo taikytas gy</w:t>
            </w:r>
            <w:bookmarkStart w:id="0" w:name="_GoBack"/>
            <w:bookmarkEnd w:id="0"/>
            <w:r w:rsidRPr="00AF6594">
              <w:t>dymas dėl burnos, veido ir žandikaulių onkologinės ligos</w:t>
            </w:r>
            <w:r w:rsidR="00AF6594" w:rsidRPr="00AF6594">
              <w:t xml:space="preserve">, </w:t>
            </w:r>
            <w:r w:rsidR="00AF6594" w:rsidRPr="00AF6594">
              <w:t>vaikams</w:t>
            </w:r>
            <w:r w:rsidR="00AF6594" w:rsidRPr="00AF6594">
              <w:t>.</w:t>
            </w:r>
          </w:p>
          <w:p w:rsidR="008C500D" w:rsidRPr="00336FF3" w:rsidRDefault="00110DC8" w:rsidP="008C500D">
            <w:pPr>
              <w:ind w:firstLine="374"/>
              <w:jc w:val="both"/>
              <w:rPr>
                <w:b/>
              </w:rPr>
            </w:pPr>
            <w:r w:rsidRPr="00336FF3">
              <w:rPr>
                <w:b/>
              </w:rPr>
              <w:t xml:space="preserve">Produkto kriterijus </w:t>
            </w:r>
            <w:proofErr w:type="gramStart"/>
            <w:r w:rsidRPr="00336FF3">
              <w:rPr>
                <w:b/>
              </w:rPr>
              <w:t>(</w:t>
            </w:r>
            <w:proofErr w:type="gramEnd"/>
            <w:r w:rsidRPr="00336FF3">
              <w:rPr>
                <w:b/>
              </w:rPr>
              <w:t>2020</w:t>
            </w:r>
            <w:r w:rsidR="008C500D" w:rsidRPr="00336FF3">
              <w:rPr>
                <w:b/>
              </w:rPr>
              <w:t xml:space="preserve"> m.):</w:t>
            </w:r>
          </w:p>
          <w:p w:rsidR="008C500D" w:rsidRPr="00E43343" w:rsidRDefault="008C500D" w:rsidP="008C500D">
            <w:pPr>
              <w:ind w:firstLine="374"/>
              <w:jc w:val="both"/>
              <w:rPr>
                <w:b/>
                <w:color w:val="FF0000"/>
              </w:rPr>
            </w:pPr>
            <w:r w:rsidRPr="0006351A">
              <w:t>Pacientų, kuriems suteiktos dantų pr</w:t>
            </w:r>
            <w:r w:rsidR="00336FF3" w:rsidRPr="0006351A">
              <w:t>otezavimo paslaugos</w:t>
            </w:r>
            <w:r w:rsidR="00C91BC7" w:rsidRPr="0006351A">
              <w:t>, skaičius</w:t>
            </w:r>
          </w:p>
          <w:p w:rsidR="008C500D" w:rsidRPr="00733840" w:rsidRDefault="008C500D" w:rsidP="008C500D">
            <w:pPr>
              <w:ind w:firstLine="374"/>
              <w:jc w:val="both"/>
              <w:rPr>
                <w:b/>
              </w:rPr>
            </w:pPr>
            <w:r w:rsidRPr="00733840">
              <w:rPr>
                <w:b/>
              </w:rPr>
              <w:t>02 uždavinys. Didinti rajono gyventojams teikiamų sveikatos priežiūros paslaugų kokybę, spektrą ir aprėptį.</w:t>
            </w:r>
          </w:p>
          <w:p w:rsidR="002321E2" w:rsidRDefault="006D1744" w:rsidP="008C500D">
            <w:pPr>
              <w:ind w:firstLine="374"/>
              <w:jc w:val="both"/>
            </w:pPr>
            <w:r>
              <w:t>Planuojama</w:t>
            </w:r>
            <w:r w:rsidR="002321E2">
              <w:t xml:space="preserve"> toliau įgyvendinti projektą</w:t>
            </w:r>
            <w:r w:rsidR="008C500D" w:rsidRPr="00733840">
              <w:t xml:space="preserve"> pagal 2014–2020 metų Europos Sąjungos fondų investicijų veiksmų programos 8 prioritetą „Socialinės įtrauktiems didinimas ir kova su skurdu“: priemonės Nr. 08.4.2-ESFA-R-615 „Priemonių, gerinančių ambulatorinių sveikatos priežiūros paslaugų prieinamumą tuberkulioze sergan</w:t>
            </w:r>
            <w:r w:rsidR="002321E2">
              <w:t>tiems asmenims, įgyvendinimas“. Planuojama baigti įgyvendinti</w:t>
            </w:r>
            <w:r w:rsidR="005C7DD5">
              <w:t xml:space="preserve"> projektą</w:t>
            </w:r>
            <w:r w:rsidR="002321E2" w:rsidRPr="00733840">
              <w:t xml:space="preserve"> 2014–2020 metų Europos Sąjungos fondų investicijų veiksmų programos </w:t>
            </w:r>
            <w:r w:rsidR="00E43343">
              <w:br/>
            </w:r>
            <w:r w:rsidR="002321E2" w:rsidRPr="00733840">
              <w:t>8 prioritetą „Socialinės įtrauktiems didinimas ir kova su skurdu“</w:t>
            </w:r>
            <w:r w:rsidR="002321E2">
              <w:t xml:space="preserve"> </w:t>
            </w:r>
            <w:r w:rsidR="008C500D" w:rsidRPr="00733840">
              <w:t>priemonės Nr. 08.4.2-ESFA-R-630 „Sveikos gyvensenos skatinimas regioniniu lygiu“.</w:t>
            </w:r>
            <w:r w:rsidR="008C500D">
              <w:t xml:space="preserve"> </w:t>
            </w:r>
          </w:p>
          <w:p w:rsidR="008C500D" w:rsidRPr="00733840" w:rsidRDefault="002321E2" w:rsidP="008C500D">
            <w:pPr>
              <w:ind w:firstLine="374"/>
              <w:jc w:val="both"/>
            </w:pPr>
            <w:r>
              <w:t>Kiekvienais metais s</w:t>
            </w:r>
            <w:r w:rsidR="008C500D">
              <w:t>kiriamos lėšos daliniam kelionės į darbą išlaidų kompensavimui sveikatos priežiūros įstaigų gydytojams, slaugytojams ir kitiems sveikatos priežiūros specialistams.</w:t>
            </w:r>
          </w:p>
          <w:p w:rsidR="008C500D" w:rsidRPr="00733840" w:rsidRDefault="00BB29CD" w:rsidP="008C500D">
            <w:pPr>
              <w:ind w:firstLine="374"/>
              <w:jc w:val="both"/>
              <w:rPr>
                <w:b/>
              </w:rPr>
            </w:pPr>
            <w:r>
              <w:rPr>
                <w:b/>
              </w:rPr>
              <w:t>Produkto kriterijus (2020</w:t>
            </w:r>
            <w:r w:rsidR="008C500D" w:rsidRPr="00733840">
              <w:rPr>
                <w:b/>
              </w:rPr>
              <w:t xml:space="preserve"> m.):</w:t>
            </w:r>
          </w:p>
          <w:p w:rsidR="008C500D" w:rsidRPr="00733840" w:rsidRDefault="008C500D" w:rsidP="008C500D">
            <w:pPr>
              <w:ind w:firstLine="374"/>
              <w:jc w:val="both"/>
            </w:pPr>
            <w:r w:rsidRPr="00733840">
              <w:t>1</w:t>
            </w:r>
            <w:r w:rsidR="00F017F5">
              <w:t>. Projekto</w:t>
            </w:r>
            <w:r w:rsidRPr="00733840">
              <w:t xml:space="preserve"> „Priemonių, gerinančių ambulatorinių sveikatos priežiūros paslaugų prieinamumą tuberkulioze sergantiems asmenims, įgyvendinimas Panevėžio rajono savivaldybėje“ įgyvendinimas – </w:t>
            </w:r>
            <w:r w:rsidR="005C7DD5">
              <w:t>50</w:t>
            </w:r>
            <w:r w:rsidRPr="00733840">
              <w:t xml:space="preserve"> proc.</w:t>
            </w:r>
          </w:p>
          <w:p w:rsidR="008C500D" w:rsidRPr="00733840" w:rsidRDefault="008C500D" w:rsidP="008C500D">
            <w:pPr>
              <w:ind w:firstLine="374"/>
              <w:jc w:val="both"/>
            </w:pPr>
            <w:r w:rsidRPr="00733840">
              <w:t xml:space="preserve">2. Projekto „Sveikos gyvensenos skatinimas Panevėžio rajone“ įgyvendinimas – </w:t>
            </w:r>
            <w:r w:rsidR="005C7DD5">
              <w:t>100</w:t>
            </w:r>
            <w:r w:rsidRPr="00733840">
              <w:t xml:space="preserve"> proc.</w:t>
            </w:r>
          </w:p>
          <w:p w:rsidR="008C500D" w:rsidRPr="00733840" w:rsidRDefault="008C500D" w:rsidP="008C500D">
            <w:pPr>
              <w:ind w:firstLine="374"/>
              <w:jc w:val="both"/>
            </w:pPr>
            <w:r w:rsidRPr="00733840">
              <w:rPr>
                <w:b/>
              </w:rPr>
              <w:t>03 uždavinys. Modernizuoti savivaldybės asmens ir visuomenės sveikatos priežiūros įstaigų materialinę bazę.</w:t>
            </w:r>
          </w:p>
          <w:p w:rsidR="008C500D" w:rsidRPr="00733840" w:rsidRDefault="008C500D" w:rsidP="008C500D">
            <w:pPr>
              <w:pStyle w:val="Pagrindinistekstas"/>
              <w:ind w:firstLine="374"/>
              <w:jc w:val="both"/>
              <w:rPr>
                <w:lang w:val="lt-LT"/>
              </w:rPr>
            </w:pPr>
            <w:r w:rsidRPr="00733840">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8C500D" w:rsidRDefault="008C500D" w:rsidP="008C500D">
            <w:pPr>
              <w:ind w:firstLine="374"/>
              <w:jc w:val="both"/>
            </w:pPr>
            <w:r w:rsidRPr="00733840">
              <w:t xml:space="preserve">VšĮ Panevėžio rajono savivaldybės poliklinika ir VšĮ Krekenavos pirminės sveikatos priežiūros centras </w:t>
            </w:r>
            <w:r w:rsidR="005C7DD5">
              <w:t>toliau įgyvendina</w:t>
            </w:r>
            <w:r w:rsidRPr="00733840">
              <w:t xml:space="preserve"> projektus pagal 2014–2020 metų Europos Sąjungos fondų investicijų veiksmų programos 8 prioriteto „Socialinės įtrauktiems didinimas ir kova su skurdu“ priemonę </w:t>
            </w:r>
            <w:r w:rsidR="005F2473">
              <w:br/>
            </w:r>
            <w:r w:rsidRPr="00733840">
              <w:t>Nr. 08.1.3-CPVA-R-609 „Pirminės asmens sveikatos priežiūros veiklos efektyvumo didinimas“.</w:t>
            </w:r>
          </w:p>
          <w:p w:rsidR="008C500D" w:rsidRPr="00733840" w:rsidRDefault="008C500D" w:rsidP="008C500D">
            <w:pPr>
              <w:ind w:firstLine="374"/>
              <w:jc w:val="both"/>
            </w:pPr>
            <w:r>
              <w:t xml:space="preserve">VšĮ Panevėžio rajono savivaldybės poliklinika </w:t>
            </w:r>
            <w:r w:rsidR="005C7DD5">
              <w:t>toliau įgyvendina</w:t>
            </w:r>
            <w:r>
              <w:t xml:space="preserve"> projektą „Saulės fotovoltinės jėgainės diegimas VšĮ Panevėžio rajono savivaldybės poliklinikos padalinyje Naujamiesčio palaikomojo gydymo ir slaugos ligoninėje“.</w:t>
            </w:r>
          </w:p>
          <w:p w:rsidR="008C500D" w:rsidRPr="00733840" w:rsidRDefault="008C500D" w:rsidP="008C500D">
            <w:pPr>
              <w:pStyle w:val="Pagrindinistekstas"/>
              <w:tabs>
                <w:tab w:val="left" w:pos="299"/>
                <w:tab w:val="left" w:pos="441"/>
                <w:tab w:val="left" w:pos="1155"/>
              </w:tabs>
              <w:ind w:firstLine="374"/>
              <w:jc w:val="both"/>
              <w:rPr>
                <w:lang w:val="lt-LT"/>
              </w:rPr>
            </w:pPr>
            <w:r w:rsidRPr="00733840">
              <w:rPr>
                <w:b/>
                <w:lang w:val="lt-LT"/>
              </w:rPr>
              <w:t>Produkt</w:t>
            </w:r>
            <w:r w:rsidR="005C7DD5">
              <w:rPr>
                <w:b/>
                <w:lang w:val="lt-LT"/>
              </w:rPr>
              <w:t>o kriterijai (2020</w:t>
            </w:r>
            <w:r w:rsidRPr="00733840">
              <w:rPr>
                <w:b/>
                <w:lang w:val="lt-LT"/>
              </w:rPr>
              <w:t xml:space="preserve"> m.):</w:t>
            </w:r>
          </w:p>
          <w:p w:rsidR="008C500D" w:rsidRPr="00733840" w:rsidRDefault="008C500D" w:rsidP="008C500D">
            <w:pPr>
              <w:pStyle w:val="Pagrindinistekstas"/>
              <w:tabs>
                <w:tab w:val="left" w:pos="299"/>
                <w:tab w:val="left" w:pos="441"/>
              </w:tabs>
              <w:ind w:left="-98" w:firstLine="426"/>
              <w:jc w:val="both"/>
              <w:rPr>
                <w:lang w:val="lt-LT"/>
              </w:rPr>
            </w:pPr>
            <w:r w:rsidRPr="00733840">
              <w:rPr>
                <w:lang w:val="lt-LT"/>
              </w:rPr>
              <w:t xml:space="preserve">1. Projekto „Pirminės asmens sveikatos priežiūros veiklos efektyvumo didinimas VšĮ Panevėžio rajono savivaldybės poliklinikoje“ įgyvendinimas – </w:t>
            </w:r>
            <w:r>
              <w:rPr>
                <w:lang w:val="lt-LT"/>
              </w:rPr>
              <w:t>80</w:t>
            </w:r>
            <w:r w:rsidRPr="00733840">
              <w:rPr>
                <w:lang w:val="lt-LT"/>
              </w:rPr>
              <w:t xml:space="preserve"> proc.</w:t>
            </w:r>
          </w:p>
          <w:p w:rsidR="008C500D" w:rsidRPr="00733840" w:rsidRDefault="008C500D" w:rsidP="008C500D">
            <w:pPr>
              <w:pStyle w:val="Pagrindinistekstas"/>
              <w:tabs>
                <w:tab w:val="left" w:pos="299"/>
                <w:tab w:val="left" w:pos="441"/>
              </w:tabs>
              <w:ind w:left="-98" w:firstLine="426"/>
              <w:jc w:val="both"/>
              <w:rPr>
                <w:lang w:val="lt-LT"/>
              </w:rPr>
            </w:pPr>
            <w:r w:rsidRPr="00733840">
              <w:rPr>
                <w:lang w:val="lt-LT"/>
              </w:rPr>
              <w:t xml:space="preserve">2. Projekto „Pirminės asmens sveikatos priežiūros veiklos efektyvumo didinimas VšĮ Krekenavos pirminės sveikatos priežiūros centre“ įgyvendinimas – </w:t>
            </w:r>
            <w:r>
              <w:rPr>
                <w:lang w:val="lt-LT"/>
              </w:rPr>
              <w:t>10</w:t>
            </w:r>
            <w:r w:rsidRPr="00733840">
              <w:rPr>
                <w:lang w:val="lt-LT"/>
              </w:rPr>
              <w:t>0 proc.</w:t>
            </w:r>
          </w:p>
          <w:p w:rsidR="00EC4CE8" w:rsidRPr="008C500D" w:rsidRDefault="005C7DD5" w:rsidP="005C7DD5">
            <w:pPr>
              <w:pStyle w:val="Pagrindinistekstas"/>
              <w:tabs>
                <w:tab w:val="left" w:pos="299"/>
                <w:tab w:val="left" w:pos="441"/>
              </w:tabs>
              <w:ind w:left="-98" w:firstLine="426"/>
              <w:jc w:val="both"/>
              <w:rPr>
                <w:lang w:val="lt-LT"/>
              </w:rPr>
            </w:pPr>
            <w:r>
              <w:rPr>
                <w:lang w:val="lt-LT"/>
              </w:rPr>
              <w:t>3</w:t>
            </w:r>
            <w:r w:rsidR="008C500D" w:rsidRPr="008C500D">
              <w:rPr>
                <w:lang w:val="lt-LT"/>
              </w:rPr>
              <w:t xml:space="preserve">. Projekto „Saulės fotovoltinės jėgainės diegimas VšĮ Panevėžio rajono savivaldybės poliklinikos padalinyje Naujamiesčio palaikomojo gydymo ir slaugos ligoninėje“ įgyvendinimas – </w:t>
            </w:r>
            <w:r>
              <w:rPr>
                <w:lang w:val="lt-LT"/>
              </w:rPr>
              <w:t>100</w:t>
            </w:r>
            <w:r w:rsidR="008C500D" w:rsidRPr="008C500D">
              <w:rPr>
                <w:lang w:val="lt-LT"/>
              </w:rPr>
              <w:t xml:space="preserve"> proc.</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733840" w:rsidRDefault="000A2E4A" w:rsidP="000A2E4A">
            <w:pPr>
              <w:tabs>
                <w:tab w:val="left" w:pos="299"/>
                <w:tab w:val="left" w:pos="441"/>
                <w:tab w:val="left" w:pos="1155"/>
              </w:tabs>
              <w:ind w:left="15"/>
              <w:jc w:val="both"/>
            </w:pPr>
            <w:r w:rsidRPr="00733840">
              <w:rPr>
                <w:b/>
                <w:bCs/>
              </w:rPr>
              <w:t>Rezu</w:t>
            </w:r>
            <w:r w:rsidR="005C7DD5">
              <w:rPr>
                <w:b/>
                <w:bCs/>
              </w:rPr>
              <w:t>ltato vertinimo kriterijai (2020</w:t>
            </w:r>
            <w:r w:rsidR="008062EF" w:rsidRPr="00733840">
              <w:rPr>
                <w:b/>
                <w:bCs/>
              </w:rPr>
              <w:t xml:space="preserve"> </w:t>
            </w:r>
            <w:r w:rsidRPr="00733840">
              <w:rPr>
                <w:b/>
                <w:bCs/>
              </w:rPr>
              <w:t>m.):</w:t>
            </w:r>
          </w:p>
          <w:p w:rsidR="000A2E4A" w:rsidRPr="0006351A" w:rsidRDefault="000A2E4A" w:rsidP="000A2E4A">
            <w:pPr>
              <w:tabs>
                <w:tab w:val="left" w:pos="299"/>
                <w:tab w:val="left" w:pos="441"/>
                <w:tab w:val="left" w:pos="1155"/>
              </w:tabs>
              <w:ind w:left="15"/>
              <w:jc w:val="both"/>
            </w:pPr>
            <w:r w:rsidRPr="00733840">
              <w:t>1</w:t>
            </w:r>
            <w:r w:rsidRPr="0006351A">
              <w:t xml:space="preserve">. </w:t>
            </w:r>
            <w:r w:rsidR="000C4192" w:rsidRPr="0006351A">
              <w:t>Įgy</w:t>
            </w:r>
            <w:r w:rsidR="00E43343" w:rsidRPr="0006351A">
              <w:t>vendintų projektų skaičius.</w:t>
            </w:r>
          </w:p>
          <w:p w:rsidR="000A2E4A" w:rsidRPr="00733840" w:rsidRDefault="00BD3BA4" w:rsidP="000A2E4A">
            <w:pPr>
              <w:tabs>
                <w:tab w:val="left" w:pos="299"/>
                <w:tab w:val="left" w:pos="441"/>
                <w:tab w:val="left" w:pos="1155"/>
              </w:tabs>
              <w:ind w:firstLine="15"/>
              <w:jc w:val="both"/>
              <w:rPr>
                <w:b/>
              </w:rPr>
            </w:pPr>
            <w:r w:rsidRPr="0006351A">
              <w:t>2. Remontuojamų patalpų plotas, kv</w:t>
            </w:r>
            <w:r w:rsidR="000A2E4A" w:rsidRPr="0006351A">
              <w:t>.</w:t>
            </w:r>
            <w:r w:rsidRPr="0006351A">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lastRenderedPageBreak/>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lastRenderedPageBreak/>
              <w:t>Susiję Lietuvos Respublikos ir Savivaldybės teisės aktai:</w:t>
            </w:r>
          </w:p>
          <w:p w:rsidR="00C04E15" w:rsidRDefault="008C500D" w:rsidP="00157FB3">
            <w:pPr>
              <w:pStyle w:val="Pagrindinistekstas"/>
              <w:jc w:val="both"/>
              <w:rPr>
                <w:lang w:val="pt-BR"/>
              </w:rPr>
            </w:pPr>
            <w:r>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Pr>
                <w:lang w:val="pt-BR"/>
              </w:rPr>
              <w:t>gų restruktūrizavimo strategija.</w:t>
            </w:r>
          </w:p>
        </w:tc>
      </w:tr>
    </w:tbl>
    <w:p w:rsidR="00C04E15" w:rsidRPr="00F57B81" w:rsidRDefault="001D48E5" w:rsidP="00D251D7">
      <w:pPr>
        <w:jc w:val="center"/>
      </w:pPr>
      <w:r>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7CC" w:rsidRDefault="000837CC">
      <w:r>
        <w:separator/>
      </w:r>
    </w:p>
  </w:endnote>
  <w:endnote w:type="continuationSeparator" w:id="0">
    <w:p w:rsidR="000837CC" w:rsidRDefault="0008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7CC" w:rsidRDefault="000837CC">
      <w:r>
        <w:separator/>
      </w:r>
    </w:p>
  </w:footnote>
  <w:footnote w:type="continuationSeparator" w:id="0">
    <w:p w:rsidR="000837CC" w:rsidRDefault="00083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4CA6"/>
    <w:rsid w:val="0002571C"/>
    <w:rsid w:val="00027308"/>
    <w:rsid w:val="00032DFE"/>
    <w:rsid w:val="000568BE"/>
    <w:rsid w:val="0006351A"/>
    <w:rsid w:val="00080853"/>
    <w:rsid w:val="000837CC"/>
    <w:rsid w:val="000842CB"/>
    <w:rsid w:val="00085FCA"/>
    <w:rsid w:val="0009484D"/>
    <w:rsid w:val="000A03E5"/>
    <w:rsid w:val="000A2E4A"/>
    <w:rsid w:val="000A659A"/>
    <w:rsid w:val="000A7A89"/>
    <w:rsid w:val="000B5507"/>
    <w:rsid w:val="000C4192"/>
    <w:rsid w:val="000F0341"/>
    <w:rsid w:val="001070A7"/>
    <w:rsid w:val="00110DC8"/>
    <w:rsid w:val="001160B8"/>
    <w:rsid w:val="001210D0"/>
    <w:rsid w:val="001322D0"/>
    <w:rsid w:val="00135882"/>
    <w:rsid w:val="00151CF4"/>
    <w:rsid w:val="00156793"/>
    <w:rsid w:val="00157961"/>
    <w:rsid w:val="00157FB3"/>
    <w:rsid w:val="00162CDC"/>
    <w:rsid w:val="001761DC"/>
    <w:rsid w:val="001851B8"/>
    <w:rsid w:val="0019040A"/>
    <w:rsid w:val="001C32E3"/>
    <w:rsid w:val="001D48E5"/>
    <w:rsid w:val="001F2DEB"/>
    <w:rsid w:val="001F4BB3"/>
    <w:rsid w:val="002134C2"/>
    <w:rsid w:val="00216FD7"/>
    <w:rsid w:val="00220D25"/>
    <w:rsid w:val="00230108"/>
    <w:rsid w:val="002321E2"/>
    <w:rsid w:val="00232808"/>
    <w:rsid w:val="002370D0"/>
    <w:rsid w:val="00270A8D"/>
    <w:rsid w:val="00274F1F"/>
    <w:rsid w:val="002A350E"/>
    <w:rsid w:val="002A4258"/>
    <w:rsid w:val="002A71ED"/>
    <w:rsid w:val="002E1BB8"/>
    <w:rsid w:val="002E2E53"/>
    <w:rsid w:val="002E3EDE"/>
    <w:rsid w:val="002F14CA"/>
    <w:rsid w:val="002F7950"/>
    <w:rsid w:val="002F7EF5"/>
    <w:rsid w:val="0030431B"/>
    <w:rsid w:val="00307E34"/>
    <w:rsid w:val="00315D06"/>
    <w:rsid w:val="003244B4"/>
    <w:rsid w:val="0032684F"/>
    <w:rsid w:val="00333FE9"/>
    <w:rsid w:val="00336FF3"/>
    <w:rsid w:val="0034167F"/>
    <w:rsid w:val="00343F08"/>
    <w:rsid w:val="00347EB7"/>
    <w:rsid w:val="00353BA0"/>
    <w:rsid w:val="003710A7"/>
    <w:rsid w:val="00384E90"/>
    <w:rsid w:val="00394223"/>
    <w:rsid w:val="003A4F35"/>
    <w:rsid w:val="003A511C"/>
    <w:rsid w:val="003A7855"/>
    <w:rsid w:val="003C233C"/>
    <w:rsid w:val="003C758C"/>
    <w:rsid w:val="003D5605"/>
    <w:rsid w:val="003D5A9E"/>
    <w:rsid w:val="003D6D92"/>
    <w:rsid w:val="003E3034"/>
    <w:rsid w:val="003E49E0"/>
    <w:rsid w:val="003E78B4"/>
    <w:rsid w:val="003F0781"/>
    <w:rsid w:val="00403D35"/>
    <w:rsid w:val="00405B26"/>
    <w:rsid w:val="004344E2"/>
    <w:rsid w:val="00435A7D"/>
    <w:rsid w:val="0044387D"/>
    <w:rsid w:val="00454737"/>
    <w:rsid w:val="00470ABE"/>
    <w:rsid w:val="00477633"/>
    <w:rsid w:val="00477735"/>
    <w:rsid w:val="004A2781"/>
    <w:rsid w:val="004A3733"/>
    <w:rsid w:val="004B24D0"/>
    <w:rsid w:val="004C407B"/>
    <w:rsid w:val="004D3481"/>
    <w:rsid w:val="004D398B"/>
    <w:rsid w:val="004D61B5"/>
    <w:rsid w:val="004E69A9"/>
    <w:rsid w:val="004F055F"/>
    <w:rsid w:val="004F2653"/>
    <w:rsid w:val="004F3407"/>
    <w:rsid w:val="005073BD"/>
    <w:rsid w:val="00517137"/>
    <w:rsid w:val="00523057"/>
    <w:rsid w:val="00540BA7"/>
    <w:rsid w:val="005457B4"/>
    <w:rsid w:val="005545C3"/>
    <w:rsid w:val="0055570F"/>
    <w:rsid w:val="00591B23"/>
    <w:rsid w:val="00592011"/>
    <w:rsid w:val="005A1283"/>
    <w:rsid w:val="005A16F7"/>
    <w:rsid w:val="005A2735"/>
    <w:rsid w:val="005A40B2"/>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552D"/>
    <w:rsid w:val="0064561B"/>
    <w:rsid w:val="00646910"/>
    <w:rsid w:val="006519F8"/>
    <w:rsid w:val="00651BAC"/>
    <w:rsid w:val="00654057"/>
    <w:rsid w:val="00662FE3"/>
    <w:rsid w:val="00666D16"/>
    <w:rsid w:val="006759CE"/>
    <w:rsid w:val="006A566F"/>
    <w:rsid w:val="006A5B83"/>
    <w:rsid w:val="006C2B00"/>
    <w:rsid w:val="006C6FBA"/>
    <w:rsid w:val="006D0C42"/>
    <w:rsid w:val="006D1744"/>
    <w:rsid w:val="006D4C7B"/>
    <w:rsid w:val="006E22EA"/>
    <w:rsid w:val="006E6377"/>
    <w:rsid w:val="006F2E1F"/>
    <w:rsid w:val="006F76B6"/>
    <w:rsid w:val="00703924"/>
    <w:rsid w:val="00712847"/>
    <w:rsid w:val="00714C91"/>
    <w:rsid w:val="00732819"/>
    <w:rsid w:val="00733840"/>
    <w:rsid w:val="00737D6F"/>
    <w:rsid w:val="00743631"/>
    <w:rsid w:val="00743F61"/>
    <w:rsid w:val="00760989"/>
    <w:rsid w:val="007615B4"/>
    <w:rsid w:val="00771CF2"/>
    <w:rsid w:val="007808A0"/>
    <w:rsid w:val="00784561"/>
    <w:rsid w:val="007863D6"/>
    <w:rsid w:val="007B0386"/>
    <w:rsid w:val="007B195B"/>
    <w:rsid w:val="007B2773"/>
    <w:rsid w:val="007C432F"/>
    <w:rsid w:val="007C5F25"/>
    <w:rsid w:val="007C634E"/>
    <w:rsid w:val="007C69A3"/>
    <w:rsid w:val="007D6D51"/>
    <w:rsid w:val="007D7975"/>
    <w:rsid w:val="007E3201"/>
    <w:rsid w:val="0080458F"/>
    <w:rsid w:val="008062EF"/>
    <w:rsid w:val="00811A13"/>
    <w:rsid w:val="00813EDC"/>
    <w:rsid w:val="00821CCE"/>
    <w:rsid w:val="00825285"/>
    <w:rsid w:val="008341F7"/>
    <w:rsid w:val="00841CA2"/>
    <w:rsid w:val="00854E11"/>
    <w:rsid w:val="00856074"/>
    <w:rsid w:val="00857752"/>
    <w:rsid w:val="00870B48"/>
    <w:rsid w:val="00896AD1"/>
    <w:rsid w:val="008C0C35"/>
    <w:rsid w:val="008C39A1"/>
    <w:rsid w:val="008C500D"/>
    <w:rsid w:val="008C7E68"/>
    <w:rsid w:val="008D7E83"/>
    <w:rsid w:val="008E4EEF"/>
    <w:rsid w:val="008F26AA"/>
    <w:rsid w:val="008F5793"/>
    <w:rsid w:val="008F6341"/>
    <w:rsid w:val="00912E7A"/>
    <w:rsid w:val="00914C12"/>
    <w:rsid w:val="009322A4"/>
    <w:rsid w:val="00946652"/>
    <w:rsid w:val="00952A60"/>
    <w:rsid w:val="00953610"/>
    <w:rsid w:val="009674CD"/>
    <w:rsid w:val="009A6FF2"/>
    <w:rsid w:val="009B3294"/>
    <w:rsid w:val="009B5EEC"/>
    <w:rsid w:val="009C5523"/>
    <w:rsid w:val="009D5744"/>
    <w:rsid w:val="009E155D"/>
    <w:rsid w:val="009E2094"/>
    <w:rsid w:val="009E640C"/>
    <w:rsid w:val="00A41B39"/>
    <w:rsid w:val="00A434C7"/>
    <w:rsid w:val="00A80343"/>
    <w:rsid w:val="00A82FDD"/>
    <w:rsid w:val="00A960A0"/>
    <w:rsid w:val="00A96C51"/>
    <w:rsid w:val="00AA617E"/>
    <w:rsid w:val="00AC1F96"/>
    <w:rsid w:val="00AC4B5A"/>
    <w:rsid w:val="00AF6594"/>
    <w:rsid w:val="00B01863"/>
    <w:rsid w:val="00B052C2"/>
    <w:rsid w:val="00B21099"/>
    <w:rsid w:val="00B22E83"/>
    <w:rsid w:val="00B26D00"/>
    <w:rsid w:val="00B32F90"/>
    <w:rsid w:val="00B348CB"/>
    <w:rsid w:val="00B542CF"/>
    <w:rsid w:val="00B67A35"/>
    <w:rsid w:val="00B94626"/>
    <w:rsid w:val="00B97C05"/>
    <w:rsid w:val="00BA7020"/>
    <w:rsid w:val="00BB29CD"/>
    <w:rsid w:val="00BC5E47"/>
    <w:rsid w:val="00BD3818"/>
    <w:rsid w:val="00BD3BA4"/>
    <w:rsid w:val="00BF0A8A"/>
    <w:rsid w:val="00BF3DD4"/>
    <w:rsid w:val="00C04E15"/>
    <w:rsid w:val="00C0538C"/>
    <w:rsid w:val="00C13A3B"/>
    <w:rsid w:val="00C304C4"/>
    <w:rsid w:val="00C349C3"/>
    <w:rsid w:val="00C5365D"/>
    <w:rsid w:val="00C53F51"/>
    <w:rsid w:val="00C56846"/>
    <w:rsid w:val="00C6586F"/>
    <w:rsid w:val="00C65C76"/>
    <w:rsid w:val="00C87917"/>
    <w:rsid w:val="00C91BC7"/>
    <w:rsid w:val="00CA071C"/>
    <w:rsid w:val="00CA78B5"/>
    <w:rsid w:val="00CB3761"/>
    <w:rsid w:val="00CB489D"/>
    <w:rsid w:val="00CB4F31"/>
    <w:rsid w:val="00CB6F75"/>
    <w:rsid w:val="00CC043B"/>
    <w:rsid w:val="00CE5846"/>
    <w:rsid w:val="00D003CD"/>
    <w:rsid w:val="00D00C75"/>
    <w:rsid w:val="00D01D26"/>
    <w:rsid w:val="00D21DCF"/>
    <w:rsid w:val="00D251D7"/>
    <w:rsid w:val="00D2702E"/>
    <w:rsid w:val="00D405F5"/>
    <w:rsid w:val="00D6281A"/>
    <w:rsid w:val="00D801F9"/>
    <w:rsid w:val="00D96718"/>
    <w:rsid w:val="00DB036B"/>
    <w:rsid w:val="00DB6D30"/>
    <w:rsid w:val="00DC0156"/>
    <w:rsid w:val="00DC27E7"/>
    <w:rsid w:val="00DC6178"/>
    <w:rsid w:val="00DC6F94"/>
    <w:rsid w:val="00DD2926"/>
    <w:rsid w:val="00E3265C"/>
    <w:rsid w:val="00E43343"/>
    <w:rsid w:val="00E73FA1"/>
    <w:rsid w:val="00E82980"/>
    <w:rsid w:val="00E96B67"/>
    <w:rsid w:val="00E973A8"/>
    <w:rsid w:val="00EA2224"/>
    <w:rsid w:val="00EA39FB"/>
    <w:rsid w:val="00EB77E5"/>
    <w:rsid w:val="00EC2665"/>
    <w:rsid w:val="00EC4CE8"/>
    <w:rsid w:val="00F017F5"/>
    <w:rsid w:val="00F1604A"/>
    <w:rsid w:val="00F27048"/>
    <w:rsid w:val="00F3156E"/>
    <w:rsid w:val="00F51B3F"/>
    <w:rsid w:val="00F57B81"/>
    <w:rsid w:val="00F60640"/>
    <w:rsid w:val="00F60E47"/>
    <w:rsid w:val="00F6215E"/>
    <w:rsid w:val="00F635A2"/>
    <w:rsid w:val="00F7076F"/>
    <w:rsid w:val="00F74180"/>
    <w:rsid w:val="00F77A1C"/>
    <w:rsid w:val="00F813EE"/>
    <w:rsid w:val="00F90515"/>
    <w:rsid w:val="00F913E1"/>
    <w:rsid w:val="00FA04C7"/>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4689-A8E2-49F9-AFF0-2B86828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6AF4-AFB2-4BE3-AA7A-E80786AC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1699</Words>
  <Characters>9688</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18</cp:revision>
  <cp:lastPrinted>2020-01-20T08:56:00Z</cp:lastPrinted>
  <dcterms:created xsi:type="dcterms:W3CDTF">2020-01-20T08:54:00Z</dcterms:created>
  <dcterms:modified xsi:type="dcterms:W3CDTF">2020-02-04T06:45:00Z</dcterms:modified>
</cp:coreProperties>
</file>