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PANEVĖŽIO RAJONO SAVIVALDYBĖS 201</w:t>
      </w:r>
      <w:r w:rsidR="00120BB0">
        <w:rPr>
          <w:b/>
          <w:bCs/>
          <w:color w:val="000000"/>
          <w:sz w:val="24"/>
          <w:szCs w:val="24"/>
          <w:lang w:eastAsia="lt-LT"/>
        </w:rPr>
        <w:t>8</w:t>
      </w:r>
      <w:r>
        <w:rPr>
          <w:b/>
          <w:bCs/>
          <w:color w:val="000000"/>
          <w:sz w:val="24"/>
          <w:szCs w:val="24"/>
          <w:lang w:eastAsia="lt-LT"/>
        </w:rPr>
        <w:t>–20</w:t>
      </w:r>
      <w:r w:rsidR="00FB1058">
        <w:rPr>
          <w:b/>
          <w:bCs/>
          <w:color w:val="000000"/>
          <w:sz w:val="24"/>
          <w:szCs w:val="24"/>
          <w:lang w:eastAsia="lt-LT"/>
        </w:rPr>
        <w:t>2</w:t>
      </w:r>
      <w:r w:rsidR="00120BB0">
        <w:rPr>
          <w:b/>
          <w:bCs/>
          <w:color w:val="000000"/>
          <w:sz w:val="24"/>
          <w:szCs w:val="24"/>
          <w:lang w:eastAsia="lt-LT"/>
        </w:rPr>
        <w:t>0</w:t>
      </w:r>
      <w:r>
        <w:rPr>
          <w:b/>
          <w:bCs/>
          <w:color w:val="000000"/>
          <w:sz w:val="24"/>
          <w:szCs w:val="24"/>
          <w:lang w:eastAsia="lt-LT"/>
        </w:rPr>
        <w:t xml:space="preserve"> METŲ STRATEGINIO VEIKLOS PLANO </w:t>
      </w:r>
      <w:r w:rsidR="00120BB0">
        <w:rPr>
          <w:b/>
          <w:bCs/>
          <w:color w:val="000000"/>
          <w:sz w:val="24"/>
          <w:szCs w:val="24"/>
          <w:lang w:eastAsia="lt-LT"/>
        </w:rPr>
        <w:t xml:space="preserve">ĮGYVENDINIMO 2018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7B1F15" w:rsidP="007B1F15">
      <w:pPr>
        <w:jc w:val="center"/>
        <w:rPr>
          <w:sz w:val="24"/>
          <w:szCs w:val="24"/>
        </w:rPr>
      </w:pPr>
      <w:r>
        <w:rPr>
          <w:sz w:val="24"/>
          <w:szCs w:val="24"/>
        </w:rPr>
        <w:t>201</w:t>
      </w:r>
      <w:r w:rsidR="00A20792">
        <w:rPr>
          <w:sz w:val="24"/>
          <w:szCs w:val="24"/>
        </w:rPr>
        <w:t>9</w:t>
      </w:r>
      <w:r>
        <w:rPr>
          <w:sz w:val="24"/>
          <w:szCs w:val="24"/>
        </w:rPr>
        <w:t xml:space="preserve"> m. </w:t>
      </w:r>
      <w:r w:rsidR="001B3501">
        <w:rPr>
          <w:sz w:val="24"/>
          <w:szCs w:val="24"/>
        </w:rPr>
        <w:t>birželio 20</w:t>
      </w:r>
      <w:r w:rsidR="00111F4D">
        <w:rPr>
          <w:sz w:val="24"/>
          <w:szCs w:val="24"/>
        </w:rPr>
        <w:t xml:space="preserve"> </w:t>
      </w:r>
      <w:r>
        <w:rPr>
          <w:sz w:val="24"/>
          <w:szCs w:val="24"/>
        </w:rPr>
        <w:t>d. Nr. T-</w:t>
      </w:r>
      <w:r w:rsidR="00567D0B">
        <w:rPr>
          <w:sz w:val="24"/>
          <w:szCs w:val="24"/>
        </w:rPr>
        <w:t>124</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w:t>
      </w:r>
      <w:proofErr w:type="gramStart"/>
      <w:r w:rsidRPr="00120BB0">
        <w:rPr>
          <w:sz w:val="24"/>
          <w:szCs w:val="24"/>
          <w:lang w:eastAsia="lt-LT"/>
        </w:rPr>
        <w:t>savivaldybės</w:t>
      </w:r>
      <w:r>
        <w:rPr>
          <w:sz w:val="24"/>
          <w:szCs w:val="24"/>
          <w:lang w:eastAsia="lt-LT"/>
        </w:rPr>
        <w:t xml:space="preserve"> tarybos</w:t>
      </w:r>
      <w:proofErr w:type="gramEnd"/>
      <w:r>
        <w:rPr>
          <w:sz w:val="24"/>
          <w:szCs w:val="24"/>
          <w:lang w:eastAsia="lt-LT"/>
        </w:rPr>
        <w:t xml:space="preserve">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Default="00120BB0" w:rsidP="0014309C">
      <w:pPr>
        <w:pStyle w:val="Betarp"/>
        <w:ind w:firstLine="993"/>
        <w:jc w:val="both"/>
        <w:rPr>
          <w:sz w:val="24"/>
          <w:szCs w:val="24"/>
          <w:lang w:eastAsia="lt-LT"/>
        </w:rPr>
      </w:pPr>
      <w:r w:rsidRPr="00C126D3">
        <w:rPr>
          <w:sz w:val="24"/>
          <w:szCs w:val="24"/>
          <w:lang w:eastAsia="lt-LT"/>
        </w:rPr>
        <w:t>Patvirtinti Panevėžio rajono savivaldybės 2018–2020 metų strateginio veiklos plano įgyvendinimo 2018 metais ataskaitą (pridedama).</w:t>
      </w:r>
    </w:p>
    <w:p w:rsidR="00567D0B" w:rsidRDefault="00567D0B" w:rsidP="0014309C">
      <w:pPr>
        <w:pStyle w:val="Betarp"/>
        <w:ind w:firstLine="993"/>
        <w:jc w:val="both"/>
        <w:rPr>
          <w:sz w:val="24"/>
          <w:szCs w:val="24"/>
          <w:lang w:eastAsia="lt-LT"/>
        </w:rPr>
      </w:pPr>
    </w:p>
    <w:p w:rsidR="00567D0B" w:rsidRDefault="00567D0B" w:rsidP="0014309C">
      <w:pPr>
        <w:pStyle w:val="Betarp"/>
        <w:ind w:firstLine="993"/>
        <w:jc w:val="both"/>
        <w:rPr>
          <w:sz w:val="24"/>
          <w:szCs w:val="24"/>
          <w:lang w:eastAsia="lt-LT"/>
        </w:rPr>
      </w:pPr>
    </w:p>
    <w:p w:rsidR="00567D0B" w:rsidRPr="00C126D3" w:rsidRDefault="00567D0B" w:rsidP="00567D0B">
      <w:pPr>
        <w:pStyle w:val="Betarp"/>
        <w:jc w:val="both"/>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Povilas </w:t>
      </w:r>
      <w:proofErr w:type="spellStart"/>
      <w:r>
        <w:rPr>
          <w:sz w:val="24"/>
          <w:szCs w:val="24"/>
          <w:lang w:eastAsia="lt-LT"/>
        </w:rPr>
        <w:t>Žagunis</w:t>
      </w:r>
      <w:proofErr w:type="spellEnd"/>
    </w:p>
    <w:p w:rsidR="00120BB0" w:rsidRPr="00C126D3" w:rsidRDefault="00120BB0" w:rsidP="00B24674">
      <w:pPr>
        <w:pStyle w:val="Betarp"/>
        <w:ind w:firstLine="1296"/>
        <w:jc w:val="both"/>
        <w:rPr>
          <w:sz w:val="24"/>
          <w:szCs w:val="24"/>
          <w:lang w:eastAsia="lt-LT"/>
        </w:rPr>
      </w:pPr>
    </w:p>
    <w:p w:rsidR="007B1F15" w:rsidRPr="00C126D3" w:rsidRDefault="007B1F15" w:rsidP="007B1F15">
      <w:pPr>
        <w:tabs>
          <w:tab w:val="left" w:pos="720"/>
        </w:tabs>
        <w:jc w:val="both"/>
        <w:rPr>
          <w:sz w:val="24"/>
          <w:szCs w:val="24"/>
        </w:rPr>
      </w:pPr>
    </w:p>
    <w:p w:rsidR="007B1F15" w:rsidRPr="00C126D3" w:rsidRDefault="007B1F15" w:rsidP="007B1F15">
      <w:pPr>
        <w:pStyle w:val="Pagrindinistekstas"/>
        <w:tabs>
          <w:tab w:val="left" w:pos="720"/>
        </w:tabs>
        <w:spacing w:after="0"/>
        <w:jc w:val="both"/>
        <w:rPr>
          <w:sz w:val="24"/>
          <w:szCs w:val="24"/>
        </w:rPr>
      </w:pPr>
    </w:p>
    <w:p w:rsidR="007B1F15" w:rsidRPr="00C126D3" w:rsidRDefault="007B1F15" w:rsidP="007B1F15">
      <w:pP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3D5230" w:rsidRPr="00C126D3" w:rsidRDefault="003D5230" w:rsidP="003D5230">
      <w:pPr>
        <w:tabs>
          <w:tab w:val="left" w:pos="7371"/>
        </w:tabs>
        <w:suppressAutoHyphens w:val="0"/>
        <w:ind w:firstLine="5387"/>
        <w:jc w:val="both"/>
        <w:rPr>
          <w:sz w:val="24"/>
          <w:szCs w:val="24"/>
          <w:lang w:eastAsia="en-US"/>
        </w:rPr>
      </w:pPr>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 xml:space="preserve">rajono </w:t>
      </w:r>
      <w:proofErr w:type="gramStart"/>
      <w:r w:rsidR="003D5230" w:rsidRPr="00C126D3">
        <w:rPr>
          <w:sz w:val="24"/>
          <w:szCs w:val="24"/>
          <w:lang w:eastAsia="en-US"/>
        </w:rPr>
        <w:t>savivaldybės tarybos</w:t>
      </w:r>
      <w:proofErr w:type="gramEnd"/>
    </w:p>
    <w:p w:rsidR="003D5230" w:rsidRPr="00C126D3" w:rsidRDefault="003D5230" w:rsidP="003D5230">
      <w:pPr>
        <w:suppressAutoHyphens w:val="0"/>
        <w:ind w:firstLine="5398"/>
        <w:jc w:val="both"/>
        <w:rPr>
          <w:sz w:val="24"/>
          <w:szCs w:val="24"/>
          <w:lang w:eastAsia="en-US"/>
        </w:rPr>
      </w:pPr>
      <w:r w:rsidRPr="00C126D3">
        <w:rPr>
          <w:sz w:val="24"/>
          <w:szCs w:val="24"/>
          <w:lang w:eastAsia="en-US"/>
        </w:rPr>
        <w:t>201</w:t>
      </w:r>
      <w:r w:rsidR="00017651" w:rsidRPr="00C126D3">
        <w:rPr>
          <w:sz w:val="24"/>
          <w:szCs w:val="24"/>
          <w:lang w:eastAsia="en-US"/>
        </w:rPr>
        <w:t>9</w:t>
      </w:r>
      <w:r w:rsidRPr="00C126D3">
        <w:rPr>
          <w:sz w:val="24"/>
          <w:szCs w:val="24"/>
          <w:lang w:eastAsia="en-US"/>
        </w:rPr>
        <w:t xml:space="preserve"> m. </w:t>
      </w:r>
      <w:r w:rsidR="000F6A86" w:rsidRPr="00C126D3">
        <w:rPr>
          <w:sz w:val="24"/>
          <w:szCs w:val="24"/>
          <w:lang w:eastAsia="en-US"/>
        </w:rPr>
        <w:t>birželio 20</w:t>
      </w:r>
      <w:r w:rsidRPr="00C126D3">
        <w:rPr>
          <w:sz w:val="24"/>
          <w:szCs w:val="24"/>
          <w:lang w:eastAsia="en-US"/>
        </w:rPr>
        <w:t xml:space="preserve"> 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r w:rsidR="006A61F0">
        <w:rPr>
          <w:sz w:val="24"/>
          <w:szCs w:val="24"/>
          <w:lang w:eastAsia="en-US"/>
        </w:rPr>
        <w:t>124</w:t>
      </w:r>
      <w:bookmarkStart w:id="0" w:name="_GoBack"/>
      <w:bookmarkEnd w:id="0"/>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C126D3" w:rsidRDefault="00D37589" w:rsidP="003D5230">
      <w:pPr>
        <w:suppressAutoHyphens w:val="0"/>
        <w:jc w:val="center"/>
        <w:rPr>
          <w:b/>
          <w:sz w:val="28"/>
          <w:szCs w:val="28"/>
          <w:lang w:eastAsia="en-US"/>
        </w:rPr>
      </w:pPr>
      <w:r w:rsidRPr="00C126D3">
        <w:rPr>
          <w:b/>
          <w:sz w:val="28"/>
          <w:szCs w:val="28"/>
          <w:lang w:eastAsia="en-US"/>
        </w:rPr>
        <w:t xml:space="preserve">PANEVĖŽIO </w:t>
      </w:r>
      <w:r w:rsidR="003D5230" w:rsidRPr="00C126D3">
        <w:rPr>
          <w:b/>
          <w:sz w:val="28"/>
          <w:szCs w:val="28"/>
          <w:lang w:eastAsia="en-US"/>
        </w:rPr>
        <w:t>RAJONO SAVIVALDYBĖS 201</w:t>
      </w:r>
      <w:r w:rsidRPr="00C126D3">
        <w:rPr>
          <w:b/>
          <w:sz w:val="28"/>
          <w:szCs w:val="28"/>
          <w:lang w:eastAsia="en-US"/>
        </w:rPr>
        <w:t>8</w:t>
      </w:r>
      <w:r w:rsidR="003D5230" w:rsidRPr="00C126D3">
        <w:rPr>
          <w:b/>
          <w:sz w:val="28"/>
          <w:szCs w:val="28"/>
          <w:lang w:eastAsia="en-US"/>
        </w:rPr>
        <w:t>–20</w:t>
      </w:r>
      <w:r w:rsidRPr="00C126D3">
        <w:rPr>
          <w:b/>
          <w:sz w:val="28"/>
          <w:szCs w:val="28"/>
          <w:lang w:eastAsia="en-US"/>
        </w:rPr>
        <w:t>20</w:t>
      </w:r>
      <w:r w:rsidR="003D5230" w:rsidRPr="00C126D3">
        <w:rPr>
          <w:b/>
          <w:sz w:val="28"/>
          <w:szCs w:val="28"/>
          <w:lang w:eastAsia="en-US"/>
        </w:rPr>
        <w:t xml:space="preserve"> METŲ STRATEGINIO VEIKLOS PLANO ĮGYVENDINIMO 201</w:t>
      </w:r>
      <w:r w:rsidRPr="00C126D3">
        <w:rPr>
          <w:b/>
          <w:sz w:val="28"/>
          <w:szCs w:val="28"/>
          <w:lang w:eastAsia="en-US"/>
        </w:rPr>
        <w:t>8</w:t>
      </w:r>
      <w:r w:rsidR="003D5230" w:rsidRPr="00C126D3">
        <w:rPr>
          <w:b/>
          <w:sz w:val="28"/>
          <w:szCs w:val="28"/>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201</w:t>
      </w:r>
      <w:r w:rsidR="00D37589" w:rsidRPr="00C126D3">
        <w:rPr>
          <w:sz w:val="24"/>
          <w:szCs w:val="24"/>
          <w:lang w:eastAsia="en-US"/>
        </w:rPr>
        <w:t>8</w:t>
      </w:r>
      <w:r w:rsidRPr="00C126D3">
        <w:rPr>
          <w:sz w:val="24"/>
          <w:szCs w:val="24"/>
          <w:lang w:eastAsia="en-US"/>
        </w:rPr>
        <w:t xml:space="preserve"> 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D37589" w:rsidRPr="00C126D3">
        <w:rPr>
          <w:sz w:val="24"/>
          <w:szCs w:val="24"/>
          <w:lang w:eastAsia="en-US"/>
        </w:rPr>
        <w:t>18</w:t>
      </w:r>
      <w:r w:rsidRPr="00C126D3">
        <w:rPr>
          <w:sz w:val="24"/>
          <w:szCs w:val="24"/>
          <w:lang w:eastAsia="en-US"/>
        </w:rPr>
        <w:t>–20</w:t>
      </w:r>
      <w:r w:rsidR="00D37589" w:rsidRPr="00C126D3">
        <w:rPr>
          <w:sz w:val="24"/>
          <w:szCs w:val="24"/>
          <w:lang w:eastAsia="en-US"/>
        </w:rPr>
        <w:t>20</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 xml:space="preserve">rajono </w:t>
      </w:r>
      <w:proofErr w:type="gramStart"/>
      <w:r w:rsidRPr="00C126D3">
        <w:rPr>
          <w:sz w:val="24"/>
          <w:szCs w:val="24"/>
          <w:lang w:eastAsia="en-US"/>
        </w:rPr>
        <w:t>savivaldybės tarybos</w:t>
      </w:r>
      <w:proofErr w:type="gramEnd"/>
      <w:r w:rsidRPr="00C126D3">
        <w:rPr>
          <w:sz w:val="24"/>
          <w:szCs w:val="24"/>
          <w:lang w:eastAsia="en-US"/>
        </w:rPr>
        <w:t xml:space="preserve"> 201</w:t>
      </w:r>
      <w:r w:rsidR="00D37589" w:rsidRPr="00C126D3">
        <w:rPr>
          <w:sz w:val="24"/>
          <w:szCs w:val="24"/>
          <w:lang w:eastAsia="en-US"/>
        </w:rPr>
        <w:t>8</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573CE2" w:rsidRPr="00C126D3">
        <w:rPr>
          <w:sz w:val="24"/>
          <w:szCs w:val="24"/>
          <w:lang w:eastAsia="en-US"/>
        </w:rPr>
        <w:t>22</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573CE2" w:rsidRPr="00C126D3">
        <w:rPr>
          <w:sz w:val="24"/>
          <w:szCs w:val="24"/>
          <w:lang w:eastAsia="en-US"/>
        </w:rPr>
        <w:t>19 „Dėl Panevėžio rajono savivaldybės 2018–2020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190D9F" w:rsidRPr="00C126D3">
        <w:rPr>
          <w:sz w:val="24"/>
          <w:szCs w:val="24"/>
          <w:lang w:eastAsia="en-US"/>
        </w:rPr>
        <w:t xml:space="preserve">2018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190D9F" w:rsidRPr="00C126D3">
        <w:rPr>
          <w:sz w:val="24"/>
          <w:szCs w:val="24"/>
          <w:lang w:eastAsia="en-US"/>
        </w:rPr>
        <w:t xml:space="preserve">2018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190D9F" w:rsidRPr="00C126D3">
        <w:rPr>
          <w:sz w:val="24"/>
          <w:szCs w:val="24"/>
          <w:lang w:eastAsia="en-US"/>
        </w:rPr>
        <w:t xml:space="preserve">2018 metų </w:t>
      </w:r>
      <w:r w:rsidRPr="00C126D3">
        <w:rPr>
          <w:sz w:val="24"/>
          <w:szCs w:val="24"/>
          <w:lang w:eastAsia="en-US"/>
        </w:rPr>
        <w:t>asignavimų planas, 201</w:t>
      </w:r>
      <w:r w:rsidR="00806A8E" w:rsidRPr="00C126D3">
        <w:rPr>
          <w:sz w:val="24"/>
          <w:szCs w:val="24"/>
          <w:lang w:eastAsia="en-US"/>
        </w:rPr>
        <w:t>8</w:t>
      </w:r>
      <w:r w:rsidR="00190D9F" w:rsidRPr="00C126D3">
        <w:rPr>
          <w:sz w:val="24"/>
          <w:szCs w:val="24"/>
          <w:lang w:eastAsia="en-US"/>
        </w:rPr>
        <w:t xml:space="preserve"> metų</w:t>
      </w:r>
      <w:r w:rsidRPr="00C126D3">
        <w:rPr>
          <w:sz w:val="24"/>
          <w:szCs w:val="24"/>
          <w:lang w:eastAsia="en-US"/>
        </w:rPr>
        <w:t xml:space="preserve"> patikslintas asignavimų planas bei 201</w:t>
      </w:r>
      <w:r w:rsidR="00806A8E" w:rsidRPr="00C126D3">
        <w:rPr>
          <w:sz w:val="24"/>
          <w:szCs w:val="24"/>
          <w:lang w:eastAsia="en-US"/>
        </w:rPr>
        <w:t>8</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proofErr w:type="gramStart"/>
            <w:r w:rsidR="00190D9F" w:rsidRPr="00C126D3">
              <w:rPr>
                <w:sz w:val="24"/>
              </w:rPr>
              <w:t>,</w:t>
            </w:r>
            <w:r w:rsidRPr="00C126D3">
              <w:rPr>
                <w:sz w:val="24"/>
              </w:rPr>
              <w:t xml:space="preserve"> bei</w:t>
            </w:r>
            <w:proofErr w:type="gramEnd"/>
            <w:r w:rsidRPr="00C126D3">
              <w:rPr>
                <w:sz w:val="24"/>
              </w:rPr>
              <w:t xml:space="preserve">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w:t>
            </w:r>
            <w:proofErr w:type="gramStart"/>
            <w:r w:rsidRPr="00C126D3">
              <w:rPr>
                <w:sz w:val="24"/>
              </w:rPr>
              <w:t>-</w:t>
            </w:r>
            <w:proofErr w:type="gramEnd"/>
            <w:r w:rsidRPr="00C126D3">
              <w:rPr>
                <w:sz w:val="24"/>
              </w:rPr>
              <w:t>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E-01</w:t>
            </w:r>
            <w:proofErr w:type="gramStart"/>
            <w:r w:rsidRPr="00C126D3">
              <w:rPr>
                <w:sz w:val="24"/>
              </w:rPr>
              <w:t>-</w:t>
            </w:r>
            <w:proofErr w:type="gramEnd"/>
            <w:r w:rsidRPr="00C126D3">
              <w:rPr>
                <w:sz w:val="24"/>
              </w:rPr>
              <w:t xml:space="preserve">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w:t>
            </w:r>
            <w:proofErr w:type="gramStart"/>
            <w:r w:rsidRPr="00C126D3">
              <w:rPr>
                <w:sz w:val="24"/>
              </w:rPr>
              <w:t>-</w:t>
            </w:r>
            <w:proofErr w:type="gramEnd"/>
            <w:r w:rsidRPr="00C126D3">
              <w:rPr>
                <w:sz w:val="24"/>
              </w:rPr>
              <w:t>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 xml:space="preserve">01 </w:t>
            </w:r>
            <w:proofErr w:type="gramStart"/>
            <w:r w:rsidRPr="00C126D3">
              <w:rPr>
                <w:sz w:val="24"/>
              </w:rPr>
              <w:t>Savivaldybės</w:t>
            </w:r>
            <w:proofErr w:type="gramEnd"/>
            <w:r w:rsidRPr="00C126D3">
              <w:rPr>
                <w:sz w:val="24"/>
              </w:rPr>
              <w:t xml:space="preserve">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w:t>
            </w:r>
            <w:proofErr w:type="gramStart"/>
            <w:r w:rsidRPr="00A73A81">
              <w:rPr>
                <w:sz w:val="24"/>
              </w:rPr>
              <w:t>-</w:t>
            </w:r>
            <w:proofErr w:type="gramEnd"/>
            <w:r w:rsidRPr="00A73A81">
              <w:rPr>
                <w:sz w:val="24"/>
              </w:rPr>
              <w:t>01 – gyventojų skaičiaus metinė kaita (proc.);</w:t>
            </w:r>
          </w:p>
          <w:p w:rsidR="00A73A81" w:rsidRPr="00A73A81" w:rsidRDefault="00A73A81" w:rsidP="00A73A81">
            <w:pPr>
              <w:snapToGrid w:val="0"/>
              <w:jc w:val="both"/>
              <w:rPr>
                <w:sz w:val="24"/>
              </w:rPr>
            </w:pPr>
            <w:r w:rsidRPr="00A73A81">
              <w:rPr>
                <w:sz w:val="24"/>
              </w:rPr>
              <w:t>E-02</w:t>
            </w:r>
            <w:proofErr w:type="gramStart"/>
            <w:r w:rsidRPr="00A73A81">
              <w:rPr>
                <w:sz w:val="24"/>
              </w:rPr>
              <w:t>-</w:t>
            </w:r>
            <w:proofErr w:type="gramEnd"/>
            <w:r w:rsidRPr="00A73A81">
              <w:rPr>
                <w:sz w:val="24"/>
              </w:rPr>
              <w:t>02 – mirtingumas (1 000-iui gyventojų);</w:t>
            </w:r>
          </w:p>
          <w:p w:rsidR="00A73A81" w:rsidRPr="00A73A81" w:rsidRDefault="00A73A81" w:rsidP="00A73A81">
            <w:pPr>
              <w:snapToGrid w:val="0"/>
              <w:jc w:val="both"/>
              <w:rPr>
                <w:sz w:val="24"/>
              </w:rPr>
            </w:pPr>
            <w:r w:rsidRPr="00A73A81">
              <w:rPr>
                <w:sz w:val="24"/>
              </w:rPr>
              <w:t>E-02</w:t>
            </w:r>
            <w:proofErr w:type="gramStart"/>
            <w:r w:rsidRPr="00A73A81">
              <w:rPr>
                <w:sz w:val="24"/>
              </w:rPr>
              <w:t>-</w:t>
            </w:r>
            <w:proofErr w:type="gramEnd"/>
            <w:r w:rsidRPr="00A73A81">
              <w:rPr>
                <w:sz w:val="24"/>
              </w:rPr>
              <w:t>03 – gimstamumas (1 000-iui gyventojų);</w:t>
            </w:r>
          </w:p>
          <w:p w:rsidR="00A73A81" w:rsidRPr="00A73A81" w:rsidRDefault="00A73A81" w:rsidP="00A73A81">
            <w:pPr>
              <w:snapToGrid w:val="0"/>
              <w:jc w:val="both"/>
              <w:rPr>
                <w:b/>
                <w:sz w:val="24"/>
              </w:rPr>
            </w:pPr>
            <w:r w:rsidRPr="00A73A81">
              <w:rPr>
                <w:sz w:val="24"/>
              </w:rPr>
              <w:t>E-02</w:t>
            </w:r>
            <w:proofErr w:type="gramStart"/>
            <w:r w:rsidRPr="00A73A81">
              <w:rPr>
                <w:sz w:val="24"/>
              </w:rPr>
              <w:t>-</w:t>
            </w:r>
            <w:proofErr w:type="gramEnd"/>
            <w:r w:rsidRPr="00A73A81">
              <w:rPr>
                <w:sz w:val="24"/>
              </w:rPr>
              <w:t>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w:t>
            </w:r>
            <w:proofErr w:type="gramStart"/>
            <w:r w:rsidRPr="00A73A81">
              <w:rPr>
                <w:sz w:val="24"/>
              </w:rPr>
              <w:t>-</w:t>
            </w:r>
            <w:proofErr w:type="gramEnd"/>
            <w:r w:rsidRPr="00A73A81">
              <w:rPr>
                <w:sz w:val="24"/>
              </w:rPr>
              <w:t>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w:t>
            </w:r>
            <w:proofErr w:type="gramStart"/>
            <w:r w:rsidRPr="00A73A81">
              <w:rPr>
                <w:sz w:val="24"/>
              </w:rPr>
              <w:t>-</w:t>
            </w:r>
            <w:proofErr w:type="gramEnd"/>
            <w:r w:rsidRPr="00A73A81">
              <w:rPr>
                <w:sz w:val="24"/>
              </w:rPr>
              <w:t>02 – nedarbo lygis (registruotų bedarbių ir darbingo amžiaus žmonių santykis, proc.);</w:t>
            </w:r>
          </w:p>
          <w:p w:rsidR="00A73A81" w:rsidRPr="00A73A81" w:rsidRDefault="00A73A81" w:rsidP="00A73A81">
            <w:pPr>
              <w:snapToGrid w:val="0"/>
              <w:jc w:val="both"/>
              <w:rPr>
                <w:sz w:val="24"/>
              </w:rPr>
            </w:pPr>
            <w:r w:rsidRPr="00A73A81">
              <w:rPr>
                <w:sz w:val="24"/>
              </w:rPr>
              <w:t>E-03</w:t>
            </w:r>
            <w:proofErr w:type="gramStart"/>
            <w:r w:rsidRPr="00A73A81">
              <w:rPr>
                <w:sz w:val="24"/>
              </w:rPr>
              <w:t>-</w:t>
            </w:r>
            <w:proofErr w:type="gramEnd"/>
            <w:r w:rsidRPr="00A73A81">
              <w:rPr>
                <w:sz w:val="24"/>
              </w:rPr>
              <w:t xml:space="preserve">03 – vidutinis mėnesinis </w:t>
            </w:r>
            <w:proofErr w:type="spellStart"/>
            <w:r w:rsidRPr="00A73A81">
              <w:rPr>
                <w:sz w:val="24"/>
              </w:rPr>
              <w:t>bruto</w:t>
            </w:r>
            <w:proofErr w:type="spellEnd"/>
            <w:r w:rsidRPr="00A73A81">
              <w:rPr>
                <w:sz w:val="24"/>
              </w:rPr>
              <w:t xml:space="preserve"> darbo užmokestis (</w:t>
            </w:r>
            <w:proofErr w:type="spellStart"/>
            <w:r w:rsidRPr="00A73A81">
              <w:rPr>
                <w:sz w:val="24"/>
              </w:rPr>
              <w:t>Eur</w:t>
            </w:r>
            <w:proofErr w:type="spellEnd"/>
            <w:r w:rsidRPr="00A73A81">
              <w:rPr>
                <w:sz w:val="24"/>
              </w:rPr>
              <w:t>).</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Pr="003D5230">
        <w:rPr>
          <w:color w:val="000000"/>
          <w:sz w:val="24"/>
          <w:szCs w:val="24"/>
          <w:lang w:eastAsia="en-US"/>
        </w:rPr>
        <w:t>201</w:t>
      </w:r>
      <w:r w:rsidR="007767CF">
        <w:rPr>
          <w:color w:val="000000"/>
          <w:sz w:val="24"/>
          <w:szCs w:val="24"/>
          <w:lang w:eastAsia="en-US"/>
        </w:rPr>
        <w:t>8</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3D5230" w:rsidP="003D5230">
      <w:pPr>
        <w:suppressAutoHyphens w:val="0"/>
        <w:jc w:val="center"/>
        <w:rPr>
          <w:b/>
          <w:sz w:val="24"/>
          <w:szCs w:val="24"/>
          <w:lang w:eastAsia="en-US"/>
        </w:rPr>
      </w:pPr>
      <w:r w:rsidRPr="003D5230">
        <w:rPr>
          <w:b/>
          <w:sz w:val="24"/>
          <w:szCs w:val="24"/>
          <w:lang w:eastAsia="en-US"/>
        </w:rPr>
        <w:t>201</w:t>
      </w:r>
      <w:r w:rsidR="007767CF" w:rsidRPr="006B01E9">
        <w:rPr>
          <w:b/>
          <w:sz w:val="24"/>
          <w:szCs w:val="24"/>
          <w:lang w:eastAsia="en-US"/>
        </w:rPr>
        <w:t>8</w:t>
      </w:r>
      <w:r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Lėšos 201</w:t>
            </w:r>
            <w:r w:rsidR="007767CF" w:rsidRPr="001E68B9">
              <w:rPr>
                <w:b/>
                <w:sz w:val="24"/>
                <w:szCs w:val="24"/>
                <w:lang w:eastAsia="en-US"/>
              </w:rPr>
              <w:t>8</w:t>
            </w:r>
            <w:r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6 858,90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-35,60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6 730,14</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14 803,40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764,20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15 347,49</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3D5230" w:rsidRDefault="00333E4E" w:rsidP="003D5230">
            <w:pPr>
              <w:suppressAutoHyphens w:val="0"/>
              <w:jc w:val="center"/>
              <w:rPr>
                <w:sz w:val="24"/>
                <w:szCs w:val="24"/>
                <w:lang w:eastAsia="en-US"/>
              </w:rPr>
            </w:pPr>
            <w:r>
              <w:rPr>
                <w:sz w:val="24"/>
                <w:szCs w:val="24"/>
                <w:lang w:eastAsia="en-US"/>
              </w:rPr>
              <w:t>3 539,80</w:t>
            </w:r>
          </w:p>
        </w:tc>
        <w:tc>
          <w:tcPr>
            <w:tcW w:w="1375" w:type="dxa"/>
            <w:shd w:val="clear" w:color="auto" w:fill="auto"/>
          </w:tcPr>
          <w:p w:rsidR="003D5230" w:rsidRPr="003D5230" w:rsidRDefault="00333E4E" w:rsidP="003D5230">
            <w:pPr>
              <w:suppressAutoHyphens w:val="0"/>
              <w:jc w:val="center"/>
              <w:rPr>
                <w:sz w:val="24"/>
                <w:szCs w:val="24"/>
                <w:lang w:eastAsia="en-US"/>
              </w:rPr>
            </w:pPr>
            <w:r>
              <w:rPr>
                <w:sz w:val="24"/>
                <w:szCs w:val="24"/>
                <w:lang w:eastAsia="en-US"/>
              </w:rPr>
              <w:t>1 335,50</w:t>
            </w:r>
          </w:p>
        </w:tc>
        <w:tc>
          <w:tcPr>
            <w:tcW w:w="1323" w:type="dxa"/>
            <w:shd w:val="clear" w:color="auto" w:fill="auto"/>
          </w:tcPr>
          <w:p w:rsidR="003D5230" w:rsidRPr="007B5268" w:rsidRDefault="00333E4E" w:rsidP="003D5230">
            <w:pPr>
              <w:suppressAutoHyphens w:val="0"/>
              <w:jc w:val="center"/>
              <w:rPr>
                <w:sz w:val="24"/>
                <w:szCs w:val="24"/>
                <w:lang w:eastAsia="en-US"/>
              </w:rPr>
            </w:pPr>
            <w:r w:rsidRPr="007B5268">
              <w:rPr>
                <w:sz w:val="24"/>
                <w:szCs w:val="24"/>
                <w:lang w:eastAsia="en-US"/>
              </w:rPr>
              <w:t>4 439,45</w:t>
            </w:r>
          </w:p>
        </w:tc>
      </w:tr>
      <w:tr w:rsidR="003D5230" w:rsidRPr="007B5268" w:rsidTr="007767CF">
        <w:tc>
          <w:tcPr>
            <w:tcW w:w="9572" w:type="dxa"/>
            <w:gridSpan w:val="5"/>
            <w:shd w:val="clear" w:color="auto" w:fill="auto"/>
          </w:tcPr>
          <w:p w:rsidR="003D5230" w:rsidRPr="007B5268" w:rsidRDefault="003D5230" w:rsidP="003D5230">
            <w:pPr>
              <w:suppressAutoHyphens w:val="0"/>
              <w:jc w:val="both"/>
              <w:rPr>
                <w:sz w:val="24"/>
                <w:szCs w:val="24"/>
                <w:lang w:eastAsia="en-US"/>
              </w:rPr>
            </w:pPr>
            <w:r w:rsidRPr="007B5268">
              <w:rPr>
                <w:sz w:val="24"/>
                <w:szCs w:val="24"/>
                <w:lang w:eastAsia="en-US"/>
              </w:rPr>
              <w:t xml:space="preserve">02 </w:t>
            </w:r>
            <w:r w:rsidR="00830185">
              <w:rPr>
                <w:sz w:val="24"/>
                <w:szCs w:val="24"/>
                <w:lang w:eastAsia="en-US"/>
              </w:rPr>
              <w:t>S</w:t>
            </w:r>
            <w:r w:rsidR="00830185" w:rsidRPr="007B5268">
              <w:rPr>
                <w:sz w:val="24"/>
                <w:szCs w:val="24"/>
                <w:lang w:eastAsia="en-US"/>
              </w:rPr>
              <w:t xml:space="preserve">trateginis tikslas </w:t>
            </w:r>
            <w:r w:rsidRPr="007B5268">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1D7CA3" w:rsidP="003D5230">
            <w:pPr>
              <w:suppressAutoHyphens w:val="0"/>
              <w:jc w:val="center"/>
              <w:rPr>
                <w:sz w:val="24"/>
                <w:szCs w:val="24"/>
                <w:lang w:eastAsia="en-US"/>
              </w:rPr>
            </w:pPr>
            <w:r>
              <w:rPr>
                <w:sz w:val="24"/>
                <w:szCs w:val="24"/>
                <w:lang w:eastAsia="en-US"/>
              </w:rPr>
              <w:t>1 546,00</w:t>
            </w:r>
          </w:p>
        </w:tc>
        <w:tc>
          <w:tcPr>
            <w:tcW w:w="1375" w:type="dxa"/>
            <w:shd w:val="clear" w:color="auto" w:fill="auto"/>
          </w:tcPr>
          <w:p w:rsidR="003D5230" w:rsidRPr="003D5230" w:rsidRDefault="001D7CA3" w:rsidP="003D5230">
            <w:pPr>
              <w:suppressAutoHyphens w:val="0"/>
              <w:jc w:val="center"/>
              <w:rPr>
                <w:sz w:val="24"/>
                <w:szCs w:val="24"/>
                <w:lang w:eastAsia="en-US"/>
              </w:rPr>
            </w:pPr>
            <w:r>
              <w:rPr>
                <w:sz w:val="24"/>
                <w:szCs w:val="24"/>
                <w:lang w:eastAsia="en-US"/>
              </w:rPr>
              <w:t>2 376,40</w:t>
            </w:r>
          </w:p>
        </w:tc>
        <w:tc>
          <w:tcPr>
            <w:tcW w:w="1323" w:type="dxa"/>
            <w:shd w:val="clear" w:color="auto" w:fill="auto"/>
          </w:tcPr>
          <w:p w:rsidR="003D5230" w:rsidRPr="007B5268" w:rsidRDefault="001D7CA3" w:rsidP="003D5230">
            <w:pPr>
              <w:suppressAutoHyphens w:val="0"/>
              <w:jc w:val="center"/>
              <w:rPr>
                <w:sz w:val="24"/>
                <w:szCs w:val="24"/>
                <w:lang w:eastAsia="en-US"/>
              </w:rPr>
            </w:pPr>
            <w:r w:rsidRPr="007B5268">
              <w:rPr>
                <w:sz w:val="24"/>
                <w:szCs w:val="24"/>
                <w:lang w:eastAsia="en-US"/>
              </w:rPr>
              <w:t>3 648,42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647EC8" w:rsidP="003D5230">
            <w:pPr>
              <w:suppressAutoHyphens w:val="0"/>
              <w:jc w:val="center"/>
              <w:rPr>
                <w:sz w:val="24"/>
                <w:szCs w:val="24"/>
                <w:lang w:eastAsia="en-US"/>
              </w:rPr>
            </w:pPr>
            <w:r>
              <w:rPr>
                <w:sz w:val="24"/>
                <w:szCs w:val="24"/>
                <w:lang w:eastAsia="en-US"/>
              </w:rPr>
              <w:t>4 781,80</w:t>
            </w:r>
          </w:p>
        </w:tc>
        <w:tc>
          <w:tcPr>
            <w:tcW w:w="1375" w:type="dxa"/>
            <w:shd w:val="clear" w:color="auto" w:fill="auto"/>
          </w:tcPr>
          <w:p w:rsidR="003D5230" w:rsidRPr="003D5230" w:rsidRDefault="00647EC8" w:rsidP="003D5230">
            <w:pPr>
              <w:suppressAutoHyphens w:val="0"/>
              <w:jc w:val="center"/>
              <w:rPr>
                <w:sz w:val="24"/>
                <w:szCs w:val="24"/>
                <w:lang w:eastAsia="en-US"/>
              </w:rPr>
            </w:pPr>
            <w:r>
              <w:rPr>
                <w:sz w:val="24"/>
                <w:szCs w:val="24"/>
                <w:lang w:eastAsia="en-US"/>
              </w:rPr>
              <w:t>-55,60</w:t>
            </w:r>
          </w:p>
        </w:tc>
        <w:tc>
          <w:tcPr>
            <w:tcW w:w="1323" w:type="dxa"/>
            <w:shd w:val="clear" w:color="auto" w:fill="auto"/>
          </w:tcPr>
          <w:p w:rsidR="003D5230" w:rsidRPr="007B5268" w:rsidRDefault="00647EC8" w:rsidP="003D5230">
            <w:pPr>
              <w:suppressAutoHyphens w:val="0"/>
              <w:jc w:val="center"/>
              <w:rPr>
                <w:sz w:val="24"/>
                <w:szCs w:val="24"/>
                <w:lang w:eastAsia="en-US"/>
              </w:rPr>
            </w:pPr>
            <w:r w:rsidRPr="007B5268">
              <w:rPr>
                <w:sz w:val="24"/>
                <w:szCs w:val="24"/>
                <w:lang w:eastAsia="en-US"/>
              </w:rPr>
              <w:t>11 582,86</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305,10</w:t>
            </w:r>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50,10</w:t>
            </w:r>
          </w:p>
        </w:tc>
        <w:tc>
          <w:tcPr>
            <w:tcW w:w="1323" w:type="dxa"/>
            <w:shd w:val="clear" w:color="auto" w:fill="auto"/>
          </w:tcPr>
          <w:p w:rsidR="007767CF" w:rsidRPr="007B5268" w:rsidRDefault="00296C57" w:rsidP="003D5230">
            <w:pPr>
              <w:suppressAutoHyphens w:val="0"/>
              <w:jc w:val="center"/>
              <w:rPr>
                <w:sz w:val="24"/>
                <w:szCs w:val="24"/>
                <w:lang w:eastAsia="en-US"/>
              </w:rPr>
            </w:pPr>
            <w:r w:rsidRPr="007B5268">
              <w:rPr>
                <w:sz w:val="24"/>
                <w:szCs w:val="24"/>
                <w:lang w:eastAsia="en-US"/>
              </w:rPr>
              <w:t>332,99</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1 332,30</w:t>
            </w:r>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-53,90</w:t>
            </w:r>
          </w:p>
        </w:tc>
        <w:tc>
          <w:tcPr>
            <w:tcW w:w="1323" w:type="dxa"/>
            <w:shd w:val="clear" w:color="auto" w:fill="auto"/>
          </w:tcPr>
          <w:p w:rsidR="007767CF" w:rsidRPr="007B5268" w:rsidRDefault="00296C57" w:rsidP="003D5230">
            <w:pPr>
              <w:suppressAutoHyphens w:val="0"/>
              <w:jc w:val="center"/>
              <w:rPr>
                <w:sz w:val="24"/>
                <w:szCs w:val="24"/>
                <w:lang w:eastAsia="en-US"/>
              </w:rPr>
            </w:pPr>
            <w:r w:rsidRPr="007B5268">
              <w:rPr>
                <w:sz w:val="24"/>
                <w:szCs w:val="24"/>
                <w:lang w:eastAsia="en-US"/>
              </w:rPr>
              <w:t>1 223,73</w:t>
            </w:r>
          </w:p>
        </w:tc>
      </w:tr>
      <w:tr w:rsidR="003D5230" w:rsidRPr="007B5268" w:rsidTr="007767CF">
        <w:tc>
          <w:tcPr>
            <w:tcW w:w="9572" w:type="dxa"/>
            <w:gridSpan w:val="5"/>
            <w:shd w:val="clear" w:color="auto" w:fill="auto"/>
          </w:tcPr>
          <w:p w:rsidR="003D5230" w:rsidRPr="007B5268" w:rsidRDefault="003D5230" w:rsidP="007767CF">
            <w:pPr>
              <w:suppressAutoHyphens w:val="0"/>
              <w:jc w:val="both"/>
              <w:rPr>
                <w:sz w:val="24"/>
                <w:szCs w:val="24"/>
                <w:lang w:eastAsia="en-US"/>
              </w:rPr>
            </w:pPr>
            <w:r w:rsidRPr="007B5268">
              <w:rPr>
                <w:sz w:val="24"/>
                <w:szCs w:val="24"/>
                <w:lang w:eastAsia="en-US"/>
              </w:rPr>
              <w:t xml:space="preserve">03 </w:t>
            </w:r>
            <w:r w:rsidR="00830185">
              <w:rPr>
                <w:sz w:val="24"/>
                <w:szCs w:val="24"/>
                <w:lang w:eastAsia="en-US"/>
              </w:rPr>
              <w:t>S</w:t>
            </w:r>
            <w:r w:rsidR="00830185" w:rsidRPr="007B5268">
              <w:rPr>
                <w:sz w:val="24"/>
                <w:szCs w:val="24"/>
                <w:lang w:eastAsia="en-US"/>
              </w:rPr>
              <w:t xml:space="preserve">trateginis tikslas </w:t>
            </w:r>
            <w:r w:rsidRPr="007B5268">
              <w:rPr>
                <w:sz w:val="24"/>
                <w:szCs w:val="24"/>
                <w:lang w:eastAsia="en-US"/>
              </w:rPr>
              <w:t xml:space="preserve">– </w:t>
            </w:r>
            <w:r w:rsidR="007767CF" w:rsidRPr="007B5268">
              <w:rPr>
                <w:sz w:val="24"/>
                <w:szCs w:val="24"/>
                <w:lang w:eastAsia="en-US"/>
              </w:rPr>
              <w:t>s</w:t>
            </w:r>
            <w:r w:rsidR="007767CF" w:rsidRPr="007B5268">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517,10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125,70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633,50</w:t>
            </w:r>
          </w:p>
        </w:tc>
      </w:tr>
      <w:tr w:rsidR="003D5230" w:rsidRPr="007B5268" w:rsidTr="007767CF">
        <w:trPr>
          <w:trHeight w:val="78"/>
        </w:trPr>
        <w:tc>
          <w:tcPr>
            <w:tcW w:w="5499" w:type="dxa"/>
            <w:gridSpan w:val="2"/>
            <w:shd w:val="clear" w:color="auto" w:fill="auto"/>
          </w:tcPr>
          <w:p w:rsidR="003D5230" w:rsidRPr="003D5230" w:rsidRDefault="003D5230" w:rsidP="003D5230">
            <w:pPr>
              <w:suppressAutoHyphens w:val="0"/>
              <w:jc w:val="right"/>
              <w:rPr>
                <w:b/>
                <w:sz w:val="24"/>
                <w:szCs w:val="24"/>
                <w:lang w:eastAsia="en-US"/>
              </w:rPr>
            </w:pPr>
            <w:r w:rsidRPr="003D5230">
              <w:rPr>
                <w:b/>
                <w:sz w:val="24"/>
                <w:szCs w:val="24"/>
                <w:lang w:eastAsia="en-US"/>
              </w:rPr>
              <w:t>Iš viso:</w:t>
            </w:r>
          </w:p>
        </w:tc>
        <w:tc>
          <w:tcPr>
            <w:tcW w:w="1375" w:type="dxa"/>
            <w:shd w:val="clear" w:color="auto" w:fill="auto"/>
          </w:tcPr>
          <w:p w:rsidR="003D5230" w:rsidRPr="003D5230" w:rsidRDefault="007B5268" w:rsidP="003D5230">
            <w:pPr>
              <w:suppressAutoHyphens w:val="0"/>
              <w:jc w:val="center"/>
              <w:rPr>
                <w:b/>
                <w:color w:val="000000"/>
                <w:sz w:val="24"/>
                <w:lang w:eastAsia="en-US"/>
              </w:rPr>
            </w:pPr>
            <w:r>
              <w:rPr>
                <w:b/>
                <w:color w:val="000000"/>
                <w:sz w:val="24"/>
                <w:lang w:eastAsia="en-US"/>
              </w:rPr>
              <w:t>33 684,40</w:t>
            </w:r>
          </w:p>
        </w:tc>
        <w:tc>
          <w:tcPr>
            <w:tcW w:w="1375" w:type="dxa"/>
            <w:shd w:val="clear" w:color="auto" w:fill="auto"/>
          </w:tcPr>
          <w:p w:rsidR="003D5230" w:rsidRPr="003D5230" w:rsidRDefault="007B5268" w:rsidP="003D5230">
            <w:pPr>
              <w:suppressAutoHyphens w:val="0"/>
              <w:jc w:val="center"/>
              <w:rPr>
                <w:b/>
                <w:color w:val="000000"/>
                <w:sz w:val="24"/>
                <w:lang w:eastAsia="en-US"/>
              </w:rPr>
            </w:pPr>
            <w:r>
              <w:rPr>
                <w:b/>
                <w:color w:val="000000"/>
                <w:sz w:val="24"/>
                <w:lang w:eastAsia="en-US"/>
              </w:rPr>
              <w:t>4 506,80</w:t>
            </w:r>
          </w:p>
        </w:tc>
        <w:tc>
          <w:tcPr>
            <w:tcW w:w="1323" w:type="dxa"/>
            <w:shd w:val="clear" w:color="auto" w:fill="auto"/>
          </w:tcPr>
          <w:p w:rsidR="003D5230" w:rsidRPr="007B5268" w:rsidRDefault="007B5268" w:rsidP="003D5230">
            <w:pPr>
              <w:suppressAutoHyphens w:val="0"/>
              <w:jc w:val="center"/>
              <w:rPr>
                <w:b/>
                <w:sz w:val="24"/>
                <w:szCs w:val="24"/>
                <w:lang w:eastAsia="en-US"/>
              </w:rPr>
            </w:pPr>
            <w:r w:rsidRPr="007B5268">
              <w:rPr>
                <w:b/>
                <w:sz w:val="24"/>
                <w:szCs w:val="24"/>
                <w:lang w:eastAsia="en-US"/>
              </w:rPr>
              <w:t>43 938,58</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Pr>
          <w:sz w:val="24"/>
          <w:szCs w:val="24"/>
          <w:lang w:eastAsia="en-US"/>
        </w:rPr>
        <w:t>rajono savivaldybės 2018</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2D4094" w:rsidRPr="00C67278">
        <w:rPr>
          <w:rFonts w:eastAsia="Calibri"/>
          <w:color w:val="000000"/>
          <w:sz w:val="24"/>
          <w:szCs w:val="24"/>
          <w:lang w:eastAsia="en-US"/>
        </w:rPr>
        <w:t>onstatuotina, kad 2018</w:t>
      </w:r>
      <w:r w:rsidRPr="00C67278">
        <w:rPr>
          <w:rFonts w:eastAsia="Calibri"/>
          <w:color w:val="000000"/>
          <w:sz w:val="24"/>
          <w:szCs w:val="24"/>
          <w:lang w:eastAsia="en-US"/>
        </w:rPr>
        <w:t xml:space="preserve"> metais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xml:space="preserve">) įgyvendinti, t. y. didžiausią </w:t>
      </w:r>
      <w:r w:rsidR="002D4094" w:rsidRPr="00C67278">
        <w:rPr>
          <w:rFonts w:eastAsia="Calibri"/>
          <w:color w:val="000000"/>
          <w:sz w:val="24"/>
          <w:szCs w:val="24"/>
          <w:lang w:eastAsia="en-US"/>
        </w:rPr>
        <w:t>Panevėžio</w:t>
      </w:r>
      <w:r w:rsidRPr="00C67278">
        <w:rPr>
          <w:rFonts w:eastAsia="Calibri"/>
          <w:color w:val="000000"/>
          <w:sz w:val="24"/>
          <w:szCs w:val="24"/>
          <w:lang w:eastAsia="en-US"/>
        </w:rPr>
        <w:t xml:space="preserve"> rajono savivaldybės (toliau – Savivaldybė) išlaidų dalį sudarė išlaidos švietimui ir socialinei apsaugai (žr. 1 lentelę).</w:t>
      </w:r>
      <w:r w:rsidR="00AF0808">
        <w:rPr>
          <w:rFonts w:eastAsia="Calibri"/>
          <w:color w:val="000000"/>
          <w:sz w:val="24"/>
          <w:szCs w:val="24"/>
          <w:lang w:eastAsia="en-US"/>
        </w:rPr>
        <w:t xml:space="preserve"> Priemonių </w:t>
      </w:r>
      <w:r w:rsidR="00AF0808" w:rsidRPr="00AF0808">
        <w:rPr>
          <w:color w:val="000000"/>
          <w:sz w:val="24"/>
          <w:szCs w:val="24"/>
          <w:lang w:eastAsia="en-US"/>
        </w:rPr>
        <w:t xml:space="preserve">gyvendinimui panaudota </w:t>
      </w:r>
      <w:r w:rsidR="00F250EB">
        <w:rPr>
          <w:color w:val="000000"/>
          <w:sz w:val="24"/>
          <w:szCs w:val="24"/>
          <w:lang w:eastAsia="en-US"/>
        </w:rPr>
        <w:br/>
      </w:r>
      <w:r w:rsidR="00AF0808">
        <w:rPr>
          <w:color w:val="000000"/>
          <w:sz w:val="24"/>
          <w:szCs w:val="24"/>
          <w:lang w:eastAsia="en-US"/>
        </w:rPr>
        <w:t>130,44</w:t>
      </w:r>
      <w:r w:rsidR="00F250EB">
        <w:rPr>
          <w:color w:val="000000"/>
          <w:sz w:val="24"/>
          <w:szCs w:val="24"/>
          <w:lang w:eastAsia="en-US"/>
        </w:rPr>
        <w:t xml:space="preserve"> proc. lėšų daugiau negu</w:t>
      </w:r>
      <w:r w:rsidR="00AF0808" w:rsidRPr="00AF0808">
        <w:rPr>
          <w:color w:val="000000"/>
          <w:sz w:val="24"/>
          <w:szCs w:val="24"/>
          <w:lang w:eastAsia="en-US"/>
        </w:rPr>
        <w:t xml:space="preserve"> planuota, ta</w:t>
      </w:r>
      <w:r w:rsidR="00830185">
        <w:rPr>
          <w:color w:val="000000"/>
          <w:sz w:val="24"/>
          <w:szCs w:val="24"/>
          <w:lang w:eastAsia="en-US"/>
        </w:rPr>
        <w:t>m</w:t>
      </w:r>
      <w:r w:rsidR="00AF0808" w:rsidRPr="00AF0808">
        <w:rPr>
          <w:color w:val="000000"/>
          <w:sz w:val="24"/>
          <w:szCs w:val="24"/>
          <w:lang w:eastAsia="en-US"/>
        </w:rPr>
        <w:t xml:space="preserve"> </w:t>
      </w:r>
      <w:r w:rsidR="00830185">
        <w:rPr>
          <w:color w:val="000000"/>
          <w:sz w:val="24"/>
          <w:szCs w:val="24"/>
          <w:lang w:eastAsia="en-US"/>
        </w:rPr>
        <w:t xml:space="preserve">turėjo </w:t>
      </w:r>
      <w:r w:rsidR="00AF0808" w:rsidRPr="00AF0808">
        <w:rPr>
          <w:color w:val="000000"/>
          <w:sz w:val="24"/>
          <w:szCs w:val="24"/>
          <w:lang w:eastAsia="en-US"/>
        </w:rPr>
        <w:t>įtako</w:t>
      </w:r>
      <w:r w:rsidR="00830185">
        <w:rPr>
          <w:color w:val="000000"/>
          <w:sz w:val="24"/>
          <w:szCs w:val="24"/>
          <w:lang w:eastAsia="en-US"/>
        </w:rPr>
        <w:t>s</w:t>
      </w:r>
      <w:r w:rsidR="00AF0808" w:rsidRPr="00AF0808">
        <w:rPr>
          <w:color w:val="000000"/>
          <w:sz w:val="24"/>
          <w:szCs w:val="24"/>
          <w:lang w:eastAsia="en-US"/>
        </w:rPr>
        <w:t xml:space="preserve"> padidėjęs priemonių finansavimas iš valstybės</w:t>
      </w:r>
      <w:r w:rsidR="00AF0808">
        <w:rPr>
          <w:color w:val="000000"/>
          <w:sz w:val="24"/>
          <w:szCs w:val="24"/>
          <w:lang w:eastAsia="en-US"/>
        </w:rPr>
        <w:t>,</w:t>
      </w:r>
      <w:r w:rsidR="00AF0808" w:rsidRPr="00AF0808">
        <w:rPr>
          <w:color w:val="000000"/>
          <w:sz w:val="24"/>
          <w:szCs w:val="24"/>
          <w:lang w:eastAsia="en-US"/>
        </w:rPr>
        <w:t xml:space="preserve"> savivaldybės biudžetų</w:t>
      </w:r>
      <w:r w:rsidR="00AF0808">
        <w:rPr>
          <w:color w:val="000000"/>
          <w:sz w:val="24"/>
          <w:szCs w:val="24"/>
          <w:lang w:eastAsia="en-US"/>
        </w:rPr>
        <w:t xml:space="preserve"> ir kitų finansavimo šaltinių</w:t>
      </w:r>
      <w:r w:rsidR="00AF0808" w:rsidRPr="00AF0808">
        <w:rPr>
          <w:color w:val="000000"/>
          <w:sz w:val="24"/>
          <w:szCs w:val="24"/>
          <w:lang w:eastAsia="en-US"/>
        </w:rPr>
        <w:t>.</w:t>
      </w:r>
    </w:p>
    <w:p w:rsidR="003D5230" w:rsidRDefault="003D5230" w:rsidP="00F250EB">
      <w:pPr>
        <w:suppressAutoHyphens w:val="0"/>
        <w:ind w:firstLine="567"/>
        <w:jc w:val="both"/>
        <w:rPr>
          <w:sz w:val="24"/>
          <w:szCs w:val="24"/>
          <w:lang w:eastAsia="en-US"/>
        </w:rPr>
      </w:pPr>
      <w:r w:rsidRPr="00C67278">
        <w:rPr>
          <w:color w:val="000000"/>
          <w:sz w:val="24"/>
          <w:szCs w:val="24"/>
          <w:lang w:eastAsia="en-US"/>
        </w:rPr>
        <w:t>Kiekvienos iš programų vykdymas nagrinėjamas pagal priemonių įgyvendinimo lygį (remiantis vykdy</w:t>
      </w:r>
      <w:r w:rsidR="002D4094" w:rsidRPr="00C67278">
        <w:rPr>
          <w:color w:val="000000"/>
          <w:sz w:val="24"/>
          <w:szCs w:val="24"/>
          <w:lang w:eastAsia="en-US"/>
        </w:rPr>
        <w:t>tojų pateikta informacija). 2018</w:t>
      </w:r>
      <w:r w:rsidRPr="00C67278">
        <w:rPr>
          <w:color w:val="000000"/>
          <w:sz w:val="24"/>
          <w:szCs w:val="24"/>
          <w:lang w:eastAsia="en-US"/>
        </w:rPr>
        <w:t xml:space="preserve"> m. </w:t>
      </w:r>
      <w:r w:rsidR="002D4094" w:rsidRPr="00C67278">
        <w:rPr>
          <w:color w:val="000000"/>
          <w:sz w:val="24"/>
          <w:szCs w:val="24"/>
          <w:lang w:eastAsia="en-US"/>
        </w:rPr>
        <w:t>8 programose</w:t>
      </w:r>
      <w:r w:rsidRPr="00C67278">
        <w:rPr>
          <w:color w:val="000000"/>
          <w:sz w:val="24"/>
          <w:szCs w:val="24"/>
          <w:lang w:eastAsia="en-US"/>
        </w:rPr>
        <w:t xml:space="preserve"> buvo planuojama vykdyti </w:t>
      </w:r>
      <w:r w:rsidR="00830185">
        <w:rPr>
          <w:color w:val="000000"/>
          <w:sz w:val="24"/>
          <w:szCs w:val="24"/>
          <w:lang w:eastAsia="en-US"/>
        </w:rPr>
        <w:br/>
      </w:r>
      <w:r w:rsidRPr="00C67278">
        <w:rPr>
          <w:color w:val="000000"/>
          <w:sz w:val="24"/>
          <w:szCs w:val="24"/>
          <w:lang w:eastAsia="en-US"/>
        </w:rPr>
        <w:t>1</w:t>
      </w:r>
      <w:r w:rsidR="007B5268" w:rsidRPr="00C67278">
        <w:rPr>
          <w:color w:val="000000"/>
          <w:sz w:val="24"/>
          <w:szCs w:val="24"/>
          <w:lang w:eastAsia="en-US"/>
        </w:rPr>
        <w:t>84 priemones</w:t>
      </w:r>
      <w:r w:rsidR="002D4094" w:rsidRPr="00C67278">
        <w:rPr>
          <w:color w:val="000000"/>
          <w:sz w:val="24"/>
          <w:szCs w:val="24"/>
          <w:lang w:eastAsia="en-US"/>
        </w:rPr>
        <w:t>. 2018</w:t>
      </w:r>
      <w:r w:rsidRPr="00C67278">
        <w:rPr>
          <w:color w:val="000000"/>
          <w:sz w:val="24"/>
          <w:szCs w:val="24"/>
          <w:lang w:eastAsia="en-US"/>
        </w:rPr>
        <w:t xml:space="preserve"> m. įvykdytų pagal planą priemonių buvo 1</w:t>
      </w:r>
      <w:r w:rsidR="007B5268" w:rsidRPr="00C67278">
        <w:rPr>
          <w:color w:val="000000"/>
          <w:sz w:val="24"/>
          <w:szCs w:val="24"/>
          <w:lang w:eastAsia="en-US"/>
        </w:rPr>
        <w:t>82</w:t>
      </w:r>
      <w:r w:rsidRPr="00C67278">
        <w:rPr>
          <w:color w:val="000000"/>
          <w:sz w:val="24"/>
          <w:szCs w:val="24"/>
          <w:lang w:eastAsia="en-US"/>
        </w:rPr>
        <w:t xml:space="preserve"> (</w:t>
      </w:r>
      <w:r w:rsidR="007B5268" w:rsidRPr="00C67278">
        <w:rPr>
          <w:color w:val="000000"/>
          <w:sz w:val="24"/>
          <w:szCs w:val="24"/>
          <w:lang w:eastAsia="en-US"/>
        </w:rPr>
        <w:t>98,9</w:t>
      </w:r>
      <w:r w:rsidRPr="00C67278">
        <w:rPr>
          <w:color w:val="000000"/>
          <w:sz w:val="24"/>
          <w:szCs w:val="24"/>
          <w:lang w:eastAsia="en-US"/>
        </w:rPr>
        <w:t xml:space="preserve"> proc.), neįvykdyta – </w:t>
      </w:r>
      <w:r w:rsidR="00F250EB">
        <w:rPr>
          <w:color w:val="000000"/>
          <w:sz w:val="24"/>
          <w:szCs w:val="24"/>
          <w:lang w:eastAsia="en-US"/>
        </w:rPr>
        <w:br/>
      </w:r>
      <w:r w:rsidRPr="00C67278">
        <w:rPr>
          <w:color w:val="000000"/>
          <w:sz w:val="24"/>
          <w:szCs w:val="24"/>
          <w:lang w:eastAsia="en-US"/>
        </w:rPr>
        <w:t>2 (1,</w:t>
      </w:r>
      <w:r w:rsidR="007B5268" w:rsidRPr="00C67278">
        <w:rPr>
          <w:color w:val="000000"/>
          <w:sz w:val="24"/>
          <w:szCs w:val="24"/>
          <w:lang w:eastAsia="en-US"/>
        </w:rPr>
        <w:t>1</w:t>
      </w:r>
      <w:r w:rsidRPr="00C67278">
        <w:rPr>
          <w:color w:val="000000"/>
          <w:sz w:val="24"/>
          <w:szCs w:val="24"/>
          <w:lang w:eastAsia="en-US"/>
        </w:rPr>
        <w:t xml:space="preserve"> proc.) (žr. 2 lentelę).</w:t>
      </w:r>
      <w:r w:rsidR="002D4094" w:rsidRPr="00C67278">
        <w:rPr>
          <w:color w:val="000000"/>
          <w:sz w:val="24"/>
          <w:szCs w:val="24"/>
          <w:lang w:eastAsia="en-US"/>
        </w:rPr>
        <w:t xml:space="preserve"> 2018</w:t>
      </w:r>
      <w:r w:rsidRPr="00C67278">
        <w:rPr>
          <w:color w:val="000000"/>
          <w:sz w:val="24"/>
          <w:szCs w:val="24"/>
          <w:lang w:eastAsia="en-US"/>
        </w:rPr>
        <w:t xml:space="preserve"> m. daugiausia </w:t>
      </w:r>
      <w:r w:rsidR="00830185" w:rsidRPr="00C67278">
        <w:rPr>
          <w:color w:val="000000"/>
          <w:sz w:val="24"/>
          <w:szCs w:val="24"/>
          <w:lang w:eastAsia="en-US"/>
        </w:rPr>
        <w:t>įgyvendinta</w:t>
      </w:r>
      <w:r w:rsidR="00830185" w:rsidRPr="00C67278">
        <w:rPr>
          <w:sz w:val="24"/>
          <w:szCs w:val="24"/>
          <w:lang w:eastAsia="en-US"/>
        </w:rPr>
        <w:t xml:space="preserve"> Ugdymo proceso ir kokybiškos ugdymosi aplinkos užtikrinimo</w:t>
      </w:r>
      <w:r w:rsidR="00830185">
        <w:rPr>
          <w:color w:val="000000"/>
          <w:sz w:val="24"/>
          <w:szCs w:val="24"/>
          <w:lang w:eastAsia="en-US"/>
        </w:rPr>
        <w:t xml:space="preserve"> programos</w:t>
      </w:r>
      <w:r w:rsidR="00830185" w:rsidRPr="00C67278">
        <w:rPr>
          <w:color w:val="000000"/>
          <w:sz w:val="24"/>
          <w:szCs w:val="24"/>
          <w:lang w:eastAsia="en-US"/>
        </w:rPr>
        <w:t xml:space="preserve"> (02)</w:t>
      </w:r>
      <w:r w:rsidR="00830185">
        <w:rPr>
          <w:color w:val="000000"/>
          <w:sz w:val="24"/>
          <w:szCs w:val="24"/>
          <w:lang w:eastAsia="en-US"/>
        </w:rPr>
        <w:t xml:space="preserve"> </w:t>
      </w:r>
      <w:r w:rsidRPr="00C67278">
        <w:rPr>
          <w:color w:val="000000"/>
          <w:sz w:val="24"/>
          <w:szCs w:val="24"/>
          <w:lang w:eastAsia="en-US"/>
        </w:rPr>
        <w:t xml:space="preserve">priemonių – </w:t>
      </w:r>
      <w:r w:rsidR="007B5268" w:rsidRPr="00C67278">
        <w:rPr>
          <w:color w:val="000000"/>
          <w:sz w:val="24"/>
          <w:szCs w:val="24"/>
          <w:lang w:eastAsia="en-US"/>
        </w:rPr>
        <w:t>46</w:t>
      </w:r>
      <w:r w:rsidRPr="00C67278">
        <w:rPr>
          <w:color w:val="000000"/>
          <w:sz w:val="24"/>
          <w:szCs w:val="24"/>
          <w:lang w:eastAsia="en-US"/>
        </w:rPr>
        <w:t xml:space="preserve"> ir </w:t>
      </w:r>
      <w:r w:rsidR="007B5268" w:rsidRPr="00C67278">
        <w:rPr>
          <w:sz w:val="24"/>
          <w:szCs w:val="24"/>
          <w:lang w:eastAsia="en-US"/>
        </w:rPr>
        <w:t>Savivaldybės valdymo programo</w:t>
      </w:r>
      <w:r w:rsidR="00830185">
        <w:rPr>
          <w:sz w:val="24"/>
          <w:szCs w:val="24"/>
          <w:lang w:eastAsia="en-US"/>
        </w:rPr>
        <w:t>s</w:t>
      </w:r>
      <w:r w:rsidR="007B5268" w:rsidRPr="00C67278">
        <w:rPr>
          <w:sz w:val="24"/>
          <w:szCs w:val="24"/>
          <w:lang w:eastAsia="en-US"/>
        </w:rPr>
        <w:t xml:space="preserve"> </w:t>
      </w:r>
      <w:r w:rsidR="00F250EB" w:rsidRPr="00C67278">
        <w:rPr>
          <w:sz w:val="24"/>
          <w:szCs w:val="24"/>
          <w:lang w:eastAsia="en-US"/>
        </w:rPr>
        <w:t xml:space="preserve">(01) </w:t>
      </w:r>
      <w:r w:rsidR="00F250EB">
        <w:rPr>
          <w:sz w:val="24"/>
          <w:szCs w:val="24"/>
          <w:lang w:eastAsia="en-US"/>
        </w:rPr>
        <w:t xml:space="preserve">priemonių </w:t>
      </w:r>
      <w:r w:rsidR="007B5268" w:rsidRPr="00C67278">
        <w:rPr>
          <w:sz w:val="24"/>
          <w:szCs w:val="24"/>
          <w:lang w:eastAsia="en-US"/>
        </w:rPr>
        <w:t>– 36</w:t>
      </w:r>
      <w:r w:rsidRPr="00C67278">
        <w:rPr>
          <w:sz w:val="24"/>
          <w:szCs w:val="24"/>
          <w:lang w:eastAsia="en-US"/>
        </w:rPr>
        <w:t xml:space="preserve">, mažiausiai </w:t>
      </w:r>
      <w:r w:rsidR="007B5268" w:rsidRPr="00C67278">
        <w:rPr>
          <w:sz w:val="24"/>
          <w:szCs w:val="24"/>
          <w:lang w:eastAsia="en-US"/>
        </w:rPr>
        <w:t>Aplinkos apsaugos programo</w:t>
      </w:r>
      <w:r w:rsidR="00830185">
        <w:rPr>
          <w:sz w:val="24"/>
          <w:szCs w:val="24"/>
          <w:lang w:eastAsia="en-US"/>
        </w:rPr>
        <w:t>s</w:t>
      </w:r>
      <w:r w:rsidR="007B5268" w:rsidRPr="00C67278">
        <w:rPr>
          <w:sz w:val="24"/>
          <w:szCs w:val="24"/>
          <w:lang w:eastAsia="en-US"/>
        </w:rPr>
        <w:t xml:space="preserve"> (07) – 9</w:t>
      </w:r>
      <w:r w:rsidRPr="00C67278">
        <w:rPr>
          <w:sz w:val="24"/>
          <w:szCs w:val="24"/>
          <w:lang w:eastAsia="en-US"/>
        </w:rPr>
        <w:t xml:space="preserve">, </w:t>
      </w:r>
      <w:r w:rsidR="007B5268" w:rsidRPr="00C67278">
        <w:rPr>
          <w:sz w:val="24"/>
          <w:szCs w:val="24"/>
          <w:lang w:eastAsia="en-US"/>
        </w:rPr>
        <w:t>Sveikatos apsaugos programo</w:t>
      </w:r>
      <w:r w:rsidR="00830185">
        <w:rPr>
          <w:sz w:val="24"/>
          <w:szCs w:val="24"/>
          <w:lang w:eastAsia="en-US"/>
        </w:rPr>
        <w:t>s</w:t>
      </w:r>
      <w:r w:rsidR="007B5268" w:rsidRPr="00C67278">
        <w:rPr>
          <w:sz w:val="24"/>
          <w:szCs w:val="24"/>
          <w:lang w:eastAsia="en-US"/>
        </w:rPr>
        <w:t xml:space="preserve"> (06</w:t>
      </w:r>
      <w:r w:rsidRPr="00C67278">
        <w:rPr>
          <w:sz w:val="24"/>
          <w:szCs w:val="24"/>
          <w:lang w:eastAsia="en-US"/>
        </w:rPr>
        <w:t>) – 1</w:t>
      </w:r>
      <w:r w:rsidR="007B5268" w:rsidRPr="00C67278">
        <w:rPr>
          <w:sz w:val="24"/>
          <w:szCs w:val="24"/>
          <w:lang w:eastAsia="en-US"/>
        </w:rPr>
        <w:t>0</w:t>
      </w:r>
      <w:r w:rsidRPr="00C67278">
        <w:rPr>
          <w:sz w:val="24"/>
          <w:szCs w:val="24"/>
          <w:lang w:eastAsia="en-US"/>
        </w:rPr>
        <w:t xml:space="preserve">, </w:t>
      </w:r>
      <w:r w:rsidR="007B5268" w:rsidRPr="00C67278">
        <w:rPr>
          <w:sz w:val="24"/>
          <w:szCs w:val="24"/>
          <w:lang w:eastAsia="en-US"/>
        </w:rPr>
        <w:t>Ekonominio konkurencingumo didinimo</w:t>
      </w:r>
      <w:r w:rsidRPr="00C67278">
        <w:rPr>
          <w:sz w:val="24"/>
          <w:szCs w:val="24"/>
          <w:lang w:eastAsia="en-US"/>
        </w:rPr>
        <w:t xml:space="preserve"> programo</w:t>
      </w:r>
      <w:r w:rsidR="00830185">
        <w:rPr>
          <w:sz w:val="24"/>
          <w:szCs w:val="24"/>
          <w:lang w:eastAsia="en-US"/>
        </w:rPr>
        <w:t>s</w:t>
      </w:r>
      <w:r w:rsidRPr="00C67278">
        <w:rPr>
          <w:sz w:val="24"/>
          <w:szCs w:val="24"/>
          <w:lang w:eastAsia="en-US"/>
        </w:rPr>
        <w:t xml:space="preserve"> (0</w:t>
      </w:r>
      <w:r w:rsidR="007B5268" w:rsidRPr="00C67278">
        <w:rPr>
          <w:sz w:val="24"/>
          <w:szCs w:val="24"/>
          <w:lang w:eastAsia="en-US"/>
        </w:rPr>
        <w:t>8) – 10</w:t>
      </w:r>
      <w:r w:rsidRPr="00C67278">
        <w:rPr>
          <w:sz w:val="24"/>
          <w:szCs w:val="24"/>
          <w:lang w:eastAsia="en-US"/>
        </w:rPr>
        <w:t>.</w:t>
      </w: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lastRenderedPageBreak/>
        <w:t>2 lentelė</w:t>
      </w:r>
    </w:p>
    <w:p w:rsidR="003D5230" w:rsidRPr="003D5230" w:rsidRDefault="002D4094" w:rsidP="003D5230">
      <w:pPr>
        <w:suppressAutoHyphens w:val="0"/>
        <w:ind w:firstLine="62"/>
        <w:jc w:val="center"/>
        <w:rPr>
          <w:b/>
          <w:sz w:val="24"/>
          <w:szCs w:val="24"/>
          <w:lang w:eastAsia="lt-LT"/>
        </w:rPr>
      </w:pPr>
      <w:r>
        <w:rPr>
          <w:b/>
          <w:sz w:val="24"/>
          <w:szCs w:val="24"/>
          <w:lang w:eastAsia="lt-LT"/>
        </w:rPr>
        <w:t>2018–2020</w:t>
      </w:r>
      <w:r w:rsidR="003D5230" w:rsidRPr="003D5230">
        <w:rPr>
          <w:b/>
          <w:sz w:val="24"/>
          <w:szCs w:val="24"/>
          <w:lang w:eastAsia="lt-LT"/>
        </w:rPr>
        <w:t xml:space="preserve"> m. SVP programų </w:t>
      </w:r>
      <w:r>
        <w:rPr>
          <w:b/>
          <w:sz w:val="24"/>
          <w:szCs w:val="24"/>
          <w:lang w:eastAsia="lt-LT"/>
        </w:rPr>
        <w:t>priemonių įvykdymas 2018</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proofErr w:type="gramStart"/>
            <w:r>
              <w:rPr>
                <w:sz w:val="24"/>
                <w:szCs w:val="24"/>
                <w:lang w:eastAsia="en-US"/>
              </w:rPr>
              <w:t>Savivaldybės</w:t>
            </w:r>
            <w:proofErr w:type="gramEnd"/>
            <w:r>
              <w:rPr>
                <w:sz w:val="24"/>
                <w:szCs w:val="24"/>
                <w:lang w:eastAsia="en-US"/>
              </w:rPr>
              <w:t xml:space="preserve">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1</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1D7CA3" w:rsidP="003D5230">
            <w:pPr>
              <w:suppressAutoHyphens w:val="0"/>
              <w:jc w:val="center"/>
              <w:rPr>
                <w:sz w:val="24"/>
                <w:szCs w:val="24"/>
                <w:lang w:eastAsia="lt-LT"/>
              </w:rPr>
            </w:pPr>
            <w:r>
              <w:rPr>
                <w:sz w:val="24"/>
                <w:szCs w:val="24"/>
                <w:lang w:eastAsia="lt-LT"/>
              </w:rPr>
              <w:t>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1D7CA3" w:rsidP="003D5230">
            <w:pPr>
              <w:suppressAutoHyphens w:val="0"/>
              <w:jc w:val="center"/>
              <w:rPr>
                <w:sz w:val="24"/>
                <w:szCs w:val="24"/>
                <w:lang w:eastAsia="lt-LT"/>
              </w:rPr>
            </w:pPr>
            <w:r>
              <w:rPr>
                <w:sz w:val="24"/>
                <w:szCs w:val="24"/>
                <w:lang w:eastAsia="lt-LT"/>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1</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jc w:val="right"/>
              <w:rPr>
                <w:sz w:val="24"/>
                <w:szCs w:val="24"/>
                <w:lang w:eastAsia="lt-LT"/>
              </w:rPr>
            </w:pPr>
            <w:r w:rsidRPr="003D5230">
              <w:rPr>
                <w:b/>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B5268" w:rsidP="003D5230">
            <w:pPr>
              <w:suppressAutoHyphens w:val="0"/>
              <w:jc w:val="center"/>
              <w:rPr>
                <w:b/>
                <w:sz w:val="24"/>
                <w:szCs w:val="24"/>
                <w:lang w:eastAsia="lt-LT"/>
              </w:rPr>
            </w:pPr>
            <w:r>
              <w:rPr>
                <w:b/>
                <w:sz w:val="24"/>
                <w:szCs w:val="24"/>
                <w:lang w:eastAsia="lt-LT"/>
              </w:rPr>
              <w:t>184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B5268" w:rsidP="003D5230">
            <w:pPr>
              <w:suppressAutoHyphens w:val="0"/>
              <w:jc w:val="center"/>
              <w:rPr>
                <w:b/>
                <w:sz w:val="24"/>
                <w:szCs w:val="24"/>
                <w:lang w:eastAsia="lt-LT"/>
              </w:rPr>
            </w:pPr>
            <w:r>
              <w:rPr>
                <w:b/>
                <w:sz w:val="24"/>
                <w:szCs w:val="24"/>
                <w:lang w:eastAsia="lt-LT"/>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b/>
                <w:sz w:val="24"/>
                <w:szCs w:val="24"/>
                <w:lang w:eastAsia="lt-LT"/>
              </w:rPr>
            </w:pPr>
            <w:r>
              <w:rPr>
                <w:b/>
                <w:sz w:val="24"/>
                <w:szCs w:val="24"/>
                <w:lang w:eastAsia="lt-LT"/>
              </w:rPr>
              <w:t>2</w:t>
            </w:r>
          </w:p>
        </w:tc>
      </w:tr>
    </w:tbl>
    <w:p w:rsidR="003D5230" w:rsidRPr="003D5230" w:rsidRDefault="003D5230" w:rsidP="003D5230">
      <w:pPr>
        <w:suppressAutoHyphens w:val="0"/>
        <w:rPr>
          <w:sz w:val="24"/>
          <w:lang w:eastAsia="en-US"/>
        </w:rPr>
      </w:pPr>
    </w:p>
    <w:p w:rsidR="003D5230" w:rsidRPr="003D5230" w:rsidRDefault="003D5230" w:rsidP="000C6B1E">
      <w:pPr>
        <w:tabs>
          <w:tab w:val="left" w:pos="993"/>
        </w:tabs>
        <w:suppressAutoHyphens w:val="0"/>
        <w:ind w:firstLine="709"/>
        <w:jc w:val="both"/>
        <w:rPr>
          <w:sz w:val="24"/>
          <w:szCs w:val="24"/>
          <w:lang w:eastAsia="en-US"/>
        </w:rPr>
      </w:pPr>
      <w:r w:rsidRPr="003D5230">
        <w:rPr>
          <w:sz w:val="24"/>
          <w:szCs w:val="24"/>
          <w:lang w:eastAsia="en-US"/>
        </w:rPr>
        <w:t xml:space="preserve">Didžiausią įtaką plano priemonių nevykdymui turėjo </w:t>
      </w:r>
      <w:r w:rsidR="00C67278">
        <w:rPr>
          <w:sz w:val="24"/>
          <w:szCs w:val="24"/>
          <w:lang w:eastAsia="en-US"/>
        </w:rPr>
        <w:t>ne</w:t>
      </w:r>
      <w:r w:rsidRPr="003D5230">
        <w:rPr>
          <w:sz w:val="24"/>
          <w:szCs w:val="24"/>
          <w:lang w:eastAsia="en-US"/>
        </w:rPr>
        <w:t>skirtas finansavimas</w:t>
      </w:r>
      <w:r w:rsidR="00C67278">
        <w:rPr>
          <w:sz w:val="24"/>
          <w:szCs w:val="24"/>
          <w:lang w:eastAsia="en-US"/>
        </w:rPr>
        <w:t xml:space="preserve"> 2 projektų įgyvendinimui</w:t>
      </w:r>
      <w:r w:rsidRPr="003D5230">
        <w:rPr>
          <w:sz w:val="24"/>
          <w:szCs w:val="24"/>
          <w:lang w:eastAsia="en-US"/>
        </w:rPr>
        <w:t xml:space="preserve"> iš</w:t>
      </w:r>
      <w:proofErr w:type="gramStart"/>
      <w:r w:rsidRPr="003D5230">
        <w:rPr>
          <w:sz w:val="24"/>
          <w:szCs w:val="24"/>
          <w:lang w:eastAsia="en-US"/>
        </w:rPr>
        <w:t xml:space="preserve"> </w:t>
      </w:r>
      <w:r w:rsidR="001B3501">
        <w:rPr>
          <w:sz w:val="24"/>
          <w:szCs w:val="24"/>
          <w:lang w:eastAsia="en-US"/>
        </w:rPr>
        <w:t>kai kurių finansavimo šaltinių</w:t>
      </w:r>
      <w:proofErr w:type="gramEnd"/>
      <w:r w:rsidR="001B3501">
        <w:rPr>
          <w:sz w:val="24"/>
          <w:szCs w:val="24"/>
          <w:lang w:eastAsia="en-US"/>
        </w:rPr>
        <w:t xml:space="preserve">. </w:t>
      </w:r>
      <w:r w:rsidR="001B3501" w:rsidRPr="001B3501">
        <w:rPr>
          <w:sz w:val="24"/>
          <w:szCs w:val="24"/>
          <w:lang w:eastAsia="en-US"/>
        </w:rPr>
        <w:t>Ilgas viešųjų pirkimų procedūrų vykdymas, projektų paraiškų tikslinimas ir derinimas su projektų paraiškas įgyvendinančiomis institucijomi</w:t>
      </w:r>
      <w:r w:rsidR="00C03F1A">
        <w:rPr>
          <w:sz w:val="24"/>
          <w:szCs w:val="24"/>
          <w:lang w:eastAsia="en-US"/>
        </w:rPr>
        <w:t>s (pvz</w:t>
      </w:r>
      <w:r w:rsidR="00830185">
        <w:rPr>
          <w:sz w:val="24"/>
          <w:szCs w:val="24"/>
          <w:lang w:eastAsia="en-US"/>
        </w:rPr>
        <w:t>.</w:t>
      </w:r>
      <w:r w:rsidR="00C03F1A">
        <w:rPr>
          <w:sz w:val="24"/>
          <w:szCs w:val="24"/>
          <w:lang w:eastAsia="en-US"/>
        </w:rPr>
        <w:t xml:space="preserve">, CPVA, NMA, TID ir kt.) </w:t>
      </w:r>
      <w:r w:rsidR="001B3501" w:rsidRPr="001B3501">
        <w:rPr>
          <w:sz w:val="24"/>
          <w:szCs w:val="24"/>
          <w:lang w:eastAsia="en-US"/>
        </w:rPr>
        <w:t>bei rangovų neefektyvus darbų planavimas</w:t>
      </w:r>
      <w:r w:rsidR="00830185">
        <w:rPr>
          <w:sz w:val="24"/>
          <w:szCs w:val="24"/>
          <w:lang w:eastAsia="en-US"/>
        </w:rPr>
        <w:t xml:space="preserve"> turėjo</w:t>
      </w:r>
      <w:r w:rsidR="001B3501" w:rsidRPr="001B3501">
        <w:rPr>
          <w:sz w:val="24"/>
          <w:szCs w:val="24"/>
          <w:lang w:eastAsia="en-US"/>
        </w:rPr>
        <w:t xml:space="preserve"> įtako</w:t>
      </w:r>
      <w:r w:rsidR="00830185">
        <w:rPr>
          <w:sz w:val="24"/>
          <w:szCs w:val="24"/>
          <w:lang w:eastAsia="en-US"/>
        </w:rPr>
        <w:t>s</w:t>
      </w:r>
      <w:r w:rsidR="001B3501" w:rsidRPr="001B3501">
        <w:rPr>
          <w:sz w:val="24"/>
          <w:szCs w:val="24"/>
          <w:lang w:eastAsia="en-US"/>
        </w:rPr>
        <w:t xml:space="preserve"> priemonių įgyvendinimo ir lėšų </w:t>
      </w:r>
      <w:r w:rsidR="00830185">
        <w:rPr>
          <w:sz w:val="24"/>
          <w:szCs w:val="24"/>
          <w:lang w:eastAsia="en-US"/>
        </w:rPr>
        <w:t>panaudoj</w:t>
      </w:r>
      <w:r w:rsidR="001B3501" w:rsidRPr="001B3501">
        <w:rPr>
          <w:sz w:val="24"/>
          <w:szCs w:val="24"/>
          <w:lang w:eastAsia="en-US"/>
        </w:rPr>
        <w:t>imo spart</w:t>
      </w:r>
      <w:r w:rsidR="00830185">
        <w:rPr>
          <w:sz w:val="24"/>
          <w:szCs w:val="24"/>
          <w:lang w:eastAsia="en-US"/>
        </w:rPr>
        <w:t>ai</w:t>
      </w:r>
      <w:r w:rsidR="001B3501" w:rsidRPr="001B3501">
        <w:rPr>
          <w:sz w:val="24"/>
          <w:szCs w:val="24"/>
          <w:lang w:eastAsia="en-US"/>
        </w:rPr>
        <w:t>.</w:t>
      </w:r>
      <w:r w:rsidR="001B3501">
        <w:rPr>
          <w:sz w:val="24"/>
          <w:szCs w:val="24"/>
          <w:lang w:eastAsia="en-US"/>
        </w:rPr>
        <w:t xml:space="preserve"> </w:t>
      </w:r>
      <w:r w:rsidRPr="003D5230">
        <w:rPr>
          <w:sz w:val="24"/>
          <w:szCs w:val="24"/>
          <w:lang w:eastAsia="en-US"/>
        </w:rPr>
        <w:t>Siekiant saviv</w:t>
      </w:r>
      <w:r w:rsidR="002D4094">
        <w:rPr>
          <w:sz w:val="24"/>
          <w:szCs w:val="24"/>
          <w:lang w:eastAsia="en-US"/>
        </w:rPr>
        <w:t>aldybės strateginių tikslų, 2018</w:t>
      </w:r>
      <w:r w:rsidRPr="003D5230">
        <w:rPr>
          <w:sz w:val="24"/>
          <w:szCs w:val="24"/>
          <w:lang w:eastAsia="en-US"/>
        </w:rPr>
        <w:t xml:space="preserve"> m. planuotos, bet neįgyvendintos priemonės bus </w:t>
      </w:r>
      <w:r w:rsidR="00C67278">
        <w:rPr>
          <w:sz w:val="24"/>
          <w:szCs w:val="24"/>
          <w:lang w:eastAsia="en-US"/>
        </w:rPr>
        <w:t>svarstomos</w:t>
      </w:r>
      <w:r w:rsidR="00830185">
        <w:rPr>
          <w:sz w:val="24"/>
          <w:szCs w:val="24"/>
          <w:lang w:eastAsia="en-US"/>
        </w:rPr>
        <w:t>,</w:t>
      </w:r>
      <w:r w:rsidR="00C67278">
        <w:rPr>
          <w:sz w:val="24"/>
          <w:szCs w:val="24"/>
          <w:lang w:eastAsia="en-US"/>
        </w:rPr>
        <w:t xml:space="preserve"> ir jas planuojama įgyvendinti</w:t>
      </w:r>
      <w:r w:rsidRPr="003D5230">
        <w:rPr>
          <w:sz w:val="24"/>
          <w:szCs w:val="24"/>
          <w:lang w:eastAsia="en-US"/>
        </w:rPr>
        <w:t xml:space="preserve"> ateityje</w:t>
      </w:r>
      <w:r w:rsidR="00C67278">
        <w:rPr>
          <w:sz w:val="24"/>
          <w:szCs w:val="24"/>
          <w:lang w:eastAsia="en-US"/>
        </w:rPr>
        <w:t xml:space="preserve">, </w:t>
      </w:r>
      <w:r w:rsidRPr="003D5230">
        <w:rPr>
          <w:sz w:val="24"/>
          <w:szCs w:val="24"/>
          <w:lang w:eastAsia="en-US"/>
        </w:rPr>
        <w:t xml:space="preserve">atsižvelgiant į jų svarbą, </w:t>
      </w:r>
      <w:proofErr w:type="gramStart"/>
      <w:r w:rsidRPr="003D5230">
        <w:rPr>
          <w:sz w:val="24"/>
          <w:szCs w:val="24"/>
          <w:lang w:eastAsia="en-US"/>
        </w:rPr>
        <w:t>savivaldybės tarybos</w:t>
      </w:r>
      <w:proofErr w:type="gramEnd"/>
      <w:r w:rsidRPr="003D5230">
        <w:rPr>
          <w:sz w:val="24"/>
          <w:szCs w:val="24"/>
          <w:lang w:eastAsia="en-US"/>
        </w:rPr>
        <w:t xml:space="preserve">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3D5230" w:rsidP="000C6B1E">
      <w:pPr>
        <w:tabs>
          <w:tab w:val="left" w:pos="993"/>
        </w:tabs>
        <w:suppressAutoHyphens w:val="0"/>
        <w:ind w:firstLine="709"/>
        <w:jc w:val="both"/>
        <w:rPr>
          <w:sz w:val="24"/>
          <w:szCs w:val="28"/>
          <w:lang w:eastAsia="en-US"/>
        </w:rPr>
      </w:pPr>
      <w:r w:rsidRPr="003D5230">
        <w:rPr>
          <w:sz w:val="24"/>
          <w:szCs w:val="28"/>
          <w:lang w:eastAsia="en-US"/>
        </w:rPr>
        <w:t xml:space="preserve">Pridedama </w:t>
      </w:r>
      <w:r w:rsidR="00FA6C31">
        <w:rPr>
          <w:sz w:val="24"/>
          <w:szCs w:val="28"/>
          <w:lang w:eastAsia="en-US"/>
        </w:rPr>
        <w:t>Panevėžio</w:t>
      </w:r>
      <w:r w:rsidR="00FA6C31" w:rsidRPr="003D5230">
        <w:rPr>
          <w:sz w:val="24"/>
          <w:szCs w:val="28"/>
          <w:lang w:eastAsia="en-US"/>
        </w:rPr>
        <w:t xml:space="preserve"> </w:t>
      </w:r>
      <w:r w:rsidRPr="003D5230">
        <w:rPr>
          <w:sz w:val="24"/>
          <w:szCs w:val="28"/>
          <w:lang w:eastAsia="en-US"/>
        </w:rPr>
        <w:t>rajono savivaldybės 201</w:t>
      </w:r>
      <w:r w:rsidR="00FA6C31">
        <w:rPr>
          <w:sz w:val="24"/>
          <w:szCs w:val="28"/>
          <w:lang w:eastAsia="en-US"/>
        </w:rPr>
        <w:t>8</w:t>
      </w:r>
      <w:r w:rsidRPr="003D5230">
        <w:rPr>
          <w:sz w:val="24"/>
          <w:szCs w:val="28"/>
          <w:lang w:eastAsia="en-US"/>
        </w:rPr>
        <w:t>–20</w:t>
      </w:r>
      <w:r w:rsidR="00FA6C31">
        <w:rPr>
          <w:sz w:val="24"/>
          <w:szCs w:val="28"/>
          <w:lang w:eastAsia="en-US"/>
        </w:rPr>
        <w:t>20</w:t>
      </w:r>
      <w:r w:rsidRPr="003D5230">
        <w:rPr>
          <w:sz w:val="24"/>
          <w:szCs w:val="28"/>
          <w:lang w:eastAsia="en-US"/>
        </w:rPr>
        <w:t xml:space="preserve"> metų strateginio veiklos plano įgyvendinimo 201</w:t>
      </w:r>
      <w:r w:rsidR="00FA6C31">
        <w:rPr>
          <w:sz w:val="24"/>
          <w:szCs w:val="28"/>
          <w:lang w:eastAsia="en-US"/>
        </w:rPr>
        <w:t>8</w:t>
      </w:r>
      <w:r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Savivaldybės valdymo programos 2018</w:t>
      </w:r>
      <w:r w:rsidRPr="003D5230">
        <w:rPr>
          <w:sz w:val="24"/>
          <w:szCs w:val="24"/>
          <w:lang w:eastAsia="en-US"/>
        </w:rPr>
        <w:t>-ųjų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DD7851">
        <w:rPr>
          <w:sz w:val="24"/>
          <w:szCs w:val="24"/>
          <w:lang w:eastAsia="en-US"/>
        </w:rPr>
        <w:t>programos 2018</w:t>
      </w:r>
      <w:r w:rsidR="00DD7851" w:rsidRPr="003D5230">
        <w:rPr>
          <w:sz w:val="24"/>
          <w:szCs w:val="24"/>
          <w:lang w:eastAsia="en-US"/>
        </w:rPr>
        <w:t>-ųjų 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156D46" w:rsidRDefault="00DD7851" w:rsidP="000C6B1E">
      <w:pPr>
        <w:tabs>
          <w:tab w:val="left" w:pos="0"/>
          <w:tab w:val="left" w:pos="709"/>
          <w:tab w:val="left" w:pos="993"/>
        </w:tabs>
        <w:suppressAutoHyphens w:val="0"/>
        <w:ind w:left="720" w:hanging="11"/>
        <w:jc w:val="both"/>
        <w:rPr>
          <w:sz w:val="24"/>
          <w:szCs w:val="24"/>
          <w:lang w:eastAsia="en-US"/>
        </w:rPr>
      </w:pPr>
      <w:r>
        <w:rPr>
          <w:sz w:val="24"/>
          <w:szCs w:val="24"/>
          <w:lang w:val="en-GB" w:eastAsia="en-US"/>
        </w:rPr>
        <w:t xml:space="preserve">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sidRPr="00DD7851">
        <w:rPr>
          <w:sz w:val="24"/>
          <w:szCs w:val="24"/>
          <w:lang w:eastAsia="en-US"/>
        </w:rPr>
        <w:t xml:space="preserve"> </w:t>
      </w:r>
      <w:r>
        <w:rPr>
          <w:sz w:val="24"/>
          <w:szCs w:val="24"/>
          <w:lang w:eastAsia="en-US"/>
        </w:rPr>
        <w:t>programos 2018</w:t>
      </w:r>
      <w:r w:rsidR="00156D46">
        <w:rPr>
          <w:sz w:val="24"/>
          <w:szCs w:val="24"/>
          <w:lang w:eastAsia="en-US"/>
        </w:rPr>
        <w:t>-ųjų metų įgyvendinimo</w:t>
      </w:r>
    </w:p>
    <w:p w:rsidR="002D4094" w:rsidRDefault="00DD7851" w:rsidP="00F250EB">
      <w:pPr>
        <w:tabs>
          <w:tab w:val="left" w:pos="0"/>
          <w:tab w:val="left" w:pos="993"/>
        </w:tabs>
        <w:suppressAutoHyphens w:val="0"/>
        <w:jc w:val="both"/>
        <w:rPr>
          <w:sz w:val="24"/>
          <w:szCs w:val="24"/>
          <w:lang w:eastAsia="en-US"/>
        </w:rPr>
      </w:pPr>
      <w:r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21" w:rsidRDefault="004E3A21">
      <w:r>
        <w:separator/>
      </w:r>
    </w:p>
  </w:endnote>
  <w:endnote w:type="continuationSeparator" w:id="0">
    <w:p w:rsidR="004E3A21" w:rsidRDefault="004E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21" w:rsidRDefault="004E3A21">
      <w:r>
        <w:separator/>
      </w:r>
    </w:p>
  </w:footnote>
  <w:footnote w:type="continuationSeparator" w:id="0">
    <w:p w:rsidR="004E3A21" w:rsidRDefault="004E3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22531881" r:id="rId2"/>
      </w:object>
    </w:r>
    <w:r>
      <w:t xml:space="preserve">                                                        </w:t>
    </w:r>
    <w:r>
      <w:tab/>
    </w:r>
  </w:p>
  <w:p w:rsidR="00884DB4" w:rsidRDefault="00884DB4" w:rsidP="007C6B64">
    <w:pPr>
      <w:pStyle w:val="Antrats"/>
      <w:jc w:val="right"/>
    </w:pPr>
  </w:p>
  <w:p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44EB6"/>
    <w:rsid w:val="00045B33"/>
    <w:rsid w:val="00060FB9"/>
    <w:rsid w:val="0006390F"/>
    <w:rsid w:val="00075DAA"/>
    <w:rsid w:val="00082F83"/>
    <w:rsid w:val="00096EA9"/>
    <w:rsid w:val="000A38AC"/>
    <w:rsid w:val="000C08C9"/>
    <w:rsid w:val="000C09BE"/>
    <w:rsid w:val="000C5A44"/>
    <w:rsid w:val="000C6B1E"/>
    <w:rsid w:val="000D4BE3"/>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519C"/>
    <w:rsid w:val="00156D46"/>
    <w:rsid w:val="00190D9F"/>
    <w:rsid w:val="001B0879"/>
    <w:rsid w:val="001B2B7A"/>
    <w:rsid w:val="001B3501"/>
    <w:rsid w:val="001C1A43"/>
    <w:rsid w:val="001C66B8"/>
    <w:rsid w:val="001D08B6"/>
    <w:rsid w:val="001D7CA3"/>
    <w:rsid w:val="001E31DE"/>
    <w:rsid w:val="001E68B9"/>
    <w:rsid w:val="001F04DC"/>
    <w:rsid w:val="001F53B8"/>
    <w:rsid w:val="00204CE0"/>
    <w:rsid w:val="00235B9D"/>
    <w:rsid w:val="00237C74"/>
    <w:rsid w:val="0024046A"/>
    <w:rsid w:val="00262A29"/>
    <w:rsid w:val="00290F1E"/>
    <w:rsid w:val="00294052"/>
    <w:rsid w:val="00296942"/>
    <w:rsid w:val="00296C57"/>
    <w:rsid w:val="002A0151"/>
    <w:rsid w:val="002B4089"/>
    <w:rsid w:val="002D4094"/>
    <w:rsid w:val="002D74B7"/>
    <w:rsid w:val="002F25CA"/>
    <w:rsid w:val="002F7FBC"/>
    <w:rsid w:val="0030151E"/>
    <w:rsid w:val="00305C28"/>
    <w:rsid w:val="003154ED"/>
    <w:rsid w:val="00326FB2"/>
    <w:rsid w:val="00330E49"/>
    <w:rsid w:val="00333E4E"/>
    <w:rsid w:val="003350D7"/>
    <w:rsid w:val="00366F60"/>
    <w:rsid w:val="0037390D"/>
    <w:rsid w:val="003810C2"/>
    <w:rsid w:val="00385CD7"/>
    <w:rsid w:val="003A4E74"/>
    <w:rsid w:val="003B522E"/>
    <w:rsid w:val="003C45F0"/>
    <w:rsid w:val="003C47B3"/>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3197"/>
    <w:rsid w:val="004B68DA"/>
    <w:rsid w:val="004E3A21"/>
    <w:rsid w:val="004E4F9E"/>
    <w:rsid w:val="004F20E0"/>
    <w:rsid w:val="004F7FAF"/>
    <w:rsid w:val="00512C0E"/>
    <w:rsid w:val="00520EA4"/>
    <w:rsid w:val="005341D1"/>
    <w:rsid w:val="00556939"/>
    <w:rsid w:val="00560B55"/>
    <w:rsid w:val="00564CFF"/>
    <w:rsid w:val="00566CF5"/>
    <w:rsid w:val="00567D0B"/>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7D31"/>
    <w:rsid w:val="005E25A4"/>
    <w:rsid w:val="005E3FC6"/>
    <w:rsid w:val="005F0EA3"/>
    <w:rsid w:val="005F3477"/>
    <w:rsid w:val="006165DD"/>
    <w:rsid w:val="00625DA6"/>
    <w:rsid w:val="006311A1"/>
    <w:rsid w:val="00647EC8"/>
    <w:rsid w:val="00650C13"/>
    <w:rsid w:val="006711CF"/>
    <w:rsid w:val="00680621"/>
    <w:rsid w:val="006808A3"/>
    <w:rsid w:val="006816A2"/>
    <w:rsid w:val="00682381"/>
    <w:rsid w:val="006A3B0E"/>
    <w:rsid w:val="006A61F0"/>
    <w:rsid w:val="006B01E9"/>
    <w:rsid w:val="006B7F94"/>
    <w:rsid w:val="006D53F0"/>
    <w:rsid w:val="006E0E60"/>
    <w:rsid w:val="006E2C2F"/>
    <w:rsid w:val="006F419E"/>
    <w:rsid w:val="006F5814"/>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E06B9"/>
    <w:rsid w:val="00806A8E"/>
    <w:rsid w:val="00807E63"/>
    <w:rsid w:val="00830185"/>
    <w:rsid w:val="00851AA1"/>
    <w:rsid w:val="00874838"/>
    <w:rsid w:val="00882584"/>
    <w:rsid w:val="0088269E"/>
    <w:rsid w:val="00884DB4"/>
    <w:rsid w:val="00890ACF"/>
    <w:rsid w:val="008A2706"/>
    <w:rsid w:val="008A5D46"/>
    <w:rsid w:val="008F622B"/>
    <w:rsid w:val="00900EF9"/>
    <w:rsid w:val="009054B4"/>
    <w:rsid w:val="00915488"/>
    <w:rsid w:val="00921D50"/>
    <w:rsid w:val="009247F8"/>
    <w:rsid w:val="00925DDD"/>
    <w:rsid w:val="009429B9"/>
    <w:rsid w:val="00951E7E"/>
    <w:rsid w:val="00956BDB"/>
    <w:rsid w:val="009A1ED9"/>
    <w:rsid w:val="009A498B"/>
    <w:rsid w:val="009C37F8"/>
    <w:rsid w:val="009F3528"/>
    <w:rsid w:val="009F3A86"/>
    <w:rsid w:val="009F4721"/>
    <w:rsid w:val="009F4B2D"/>
    <w:rsid w:val="00A015F5"/>
    <w:rsid w:val="00A020F4"/>
    <w:rsid w:val="00A10C1B"/>
    <w:rsid w:val="00A20792"/>
    <w:rsid w:val="00A45680"/>
    <w:rsid w:val="00A4654F"/>
    <w:rsid w:val="00A62C0A"/>
    <w:rsid w:val="00A72B1E"/>
    <w:rsid w:val="00A73A81"/>
    <w:rsid w:val="00A835E0"/>
    <w:rsid w:val="00A90084"/>
    <w:rsid w:val="00AA3250"/>
    <w:rsid w:val="00AA6EF5"/>
    <w:rsid w:val="00AB528A"/>
    <w:rsid w:val="00AD0445"/>
    <w:rsid w:val="00AE2FE7"/>
    <w:rsid w:val="00AF0808"/>
    <w:rsid w:val="00AF640E"/>
    <w:rsid w:val="00B24674"/>
    <w:rsid w:val="00B41294"/>
    <w:rsid w:val="00B505F4"/>
    <w:rsid w:val="00B54A45"/>
    <w:rsid w:val="00B56034"/>
    <w:rsid w:val="00B60CCC"/>
    <w:rsid w:val="00B85774"/>
    <w:rsid w:val="00B97836"/>
    <w:rsid w:val="00BA739E"/>
    <w:rsid w:val="00BC22DF"/>
    <w:rsid w:val="00BD7DF6"/>
    <w:rsid w:val="00BF211F"/>
    <w:rsid w:val="00BF736C"/>
    <w:rsid w:val="00C0115E"/>
    <w:rsid w:val="00C03F1A"/>
    <w:rsid w:val="00C07C12"/>
    <w:rsid w:val="00C126D3"/>
    <w:rsid w:val="00C1649B"/>
    <w:rsid w:val="00C33C2B"/>
    <w:rsid w:val="00C44233"/>
    <w:rsid w:val="00C47049"/>
    <w:rsid w:val="00C5757B"/>
    <w:rsid w:val="00C671E5"/>
    <w:rsid w:val="00C67278"/>
    <w:rsid w:val="00C7381B"/>
    <w:rsid w:val="00C7634C"/>
    <w:rsid w:val="00C8213C"/>
    <w:rsid w:val="00C84442"/>
    <w:rsid w:val="00C91600"/>
    <w:rsid w:val="00C92099"/>
    <w:rsid w:val="00C92A79"/>
    <w:rsid w:val="00CA17B3"/>
    <w:rsid w:val="00CB489B"/>
    <w:rsid w:val="00CB5126"/>
    <w:rsid w:val="00CB5F75"/>
    <w:rsid w:val="00CC083B"/>
    <w:rsid w:val="00D15BB5"/>
    <w:rsid w:val="00D21D6D"/>
    <w:rsid w:val="00D326B2"/>
    <w:rsid w:val="00D370FA"/>
    <w:rsid w:val="00D37589"/>
    <w:rsid w:val="00D41520"/>
    <w:rsid w:val="00D57BC9"/>
    <w:rsid w:val="00D758AA"/>
    <w:rsid w:val="00D87A48"/>
    <w:rsid w:val="00DA2042"/>
    <w:rsid w:val="00DA5FA2"/>
    <w:rsid w:val="00DB0EBC"/>
    <w:rsid w:val="00DB256B"/>
    <w:rsid w:val="00DB3118"/>
    <w:rsid w:val="00DB7FDF"/>
    <w:rsid w:val="00DC21F3"/>
    <w:rsid w:val="00DD7851"/>
    <w:rsid w:val="00DF28D3"/>
    <w:rsid w:val="00DF3F43"/>
    <w:rsid w:val="00DF7942"/>
    <w:rsid w:val="00E01A4D"/>
    <w:rsid w:val="00E02897"/>
    <w:rsid w:val="00E046FB"/>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D6889"/>
    <w:rsid w:val="00EE2B2A"/>
    <w:rsid w:val="00F02BB9"/>
    <w:rsid w:val="00F10704"/>
    <w:rsid w:val="00F16B00"/>
    <w:rsid w:val="00F205EF"/>
    <w:rsid w:val="00F22A8B"/>
    <w:rsid w:val="00F22F92"/>
    <w:rsid w:val="00F250EB"/>
    <w:rsid w:val="00F34B64"/>
    <w:rsid w:val="00F451DC"/>
    <w:rsid w:val="00F65138"/>
    <w:rsid w:val="00F80B3B"/>
    <w:rsid w:val="00FA07C4"/>
    <w:rsid w:val="00FA6C31"/>
    <w:rsid w:val="00FB1058"/>
    <w:rsid w:val="00FB57D4"/>
    <w:rsid w:val="00FC4875"/>
    <w:rsid w:val="00FD4EB6"/>
    <w:rsid w:val="00FE3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A5C69-9C42-4E68-B1D3-12E1FAB9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1726</Words>
  <Characters>9841</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cp:revision>
  <cp:lastPrinted>2019-06-20T07:31:00Z</cp:lastPrinted>
  <dcterms:created xsi:type="dcterms:W3CDTF">2019-06-20T07:28:00Z</dcterms:created>
  <dcterms:modified xsi:type="dcterms:W3CDTF">2019-06-20T07:32:00Z</dcterms:modified>
</cp:coreProperties>
</file>