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48" w:rsidRDefault="00FD4DEB">
      <w:pPr>
        <w:suppressAutoHyphens/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PRITARTA</w:t>
      </w:r>
    </w:p>
    <w:p w:rsidR="00007748" w:rsidRDefault="00FD4DEB">
      <w:pPr>
        <w:suppressAutoHyphens/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Panevėžio rajono savivaldybės tarybos</w:t>
      </w:r>
    </w:p>
    <w:p w:rsidR="00007748" w:rsidRDefault="00FD4D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2019 m. gegužės 30 d. sprendimu Nr. T-</w:t>
      </w:r>
      <w:r w:rsidR="004E3022">
        <w:rPr>
          <w:rFonts w:ascii="Times New Roman" w:eastAsia="Times New Roman" w:hAnsi="Times New Roman" w:cs="Times New Roman"/>
          <w:sz w:val="24"/>
        </w:rPr>
        <w:t>103</w:t>
      </w:r>
    </w:p>
    <w:p w:rsidR="00007748" w:rsidRDefault="00007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07748" w:rsidRDefault="00FD4DEB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PANEVĖŽIO RAJONO TILTAGALIŲ KULTŪROS CENTRO 2018 METŲ VEIKLOS ATASKAITA</w:t>
      </w:r>
    </w:p>
    <w:p w:rsidR="00007748" w:rsidRDefault="0000774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ind w:firstLine="62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I. PANEVĖŽIO RAJONO SAVIVALDYBĖS AKTYVAUS BENDRUOMENĖS GYVENIMO SKATINIMO PROGRAMOS (Nr. 3) 01 UŽDAVINYS – </w:t>
      </w:r>
      <w:r>
        <w:rPr>
          <w:rFonts w:ascii="Times New Roman" w:eastAsia="Times New Roman" w:hAnsi="Times New Roman" w:cs="Times New Roman"/>
          <w:b/>
          <w:caps/>
          <w:sz w:val="24"/>
        </w:rPr>
        <w:t>Sudaryti sąlygas gauti aukštos kokybės kultūrines paslaugas</w:t>
      </w:r>
    </w:p>
    <w:p w:rsidR="00007748" w:rsidRDefault="00007748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 Aprašymas (kultūros centro tikslai, uždaviniai ir funkcijos (pagal nuostatus ir savivaldybės strateginį veiklos planą).</w:t>
      </w:r>
    </w:p>
    <w:p w:rsidR="00007748" w:rsidRDefault="00FD4DEB">
      <w:pPr>
        <w:suppressAutoHyphens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Centras, įgyvendindamas veiklos tikslus, atlieka šias funkcijas: organizuoja mėgėjų meno kolektyvų, studijų, būrelių veiklą; rūpinasi suaugusiųjų ir vaikų mėgėjų meno kolektyvų parengimu ir dalyvavimu dainų šventėse, vietiniuose renginiuose, šalies ir tarptautiniuose renginiuose; organizuoja pramoginius, laisvalaikio, poilsio, edukacinius ir kitus renginius; organizuoja visų žanrų ir  sričių parodas; organizuoja valstybinių švenčių, atmintinų datų, kalendorinių švenčių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minėjimus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 rūpinasi vaikų ir jaunimo užimtumu, meniniu ugdymu; užtikrina etninės kultūros tęstinumą, mėgėjų meną populiarinančius renginius, tenkina kitus bendruomenės poreikius; analizuodamas ir prognozuodama</w:t>
      </w:r>
      <w:r w:rsidR="00753251">
        <w:rPr>
          <w:rFonts w:ascii="Times New Roman" w:eastAsia="Times New Roman" w:hAnsi="Times New Roman" w:cs="Times New Roman"/>
          <w:color w:val="000000"/>
          <w:sz w:val="24"/>
        </w:rPr>
        <w:t>s kultūros veiklos perspektyvas rengia ir įgyvendina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investicinius kultūros srities projektus; dalyvauja rengiant ir įgyvendinant valstybines ir regionines kultūros plėtros programas; rengia ir vykdo neformaliojo (vaikų ir suaugusių) švietimo programas; bendradarbiauja su savivaldybės teritorijoje veikiančiomis meno, mokslo, švietimo, kultūros, jaunimo, religinėmis ir kitomis organizacijomis; kaupia, analizuoja ir skleidžia informaciją kultūros klausimais, tiria ir vertina savivaldybės gyventojų kultūrinius poreikius; organizuoja meno kolektyvų veiklą; užtikrina Lietuvos Respublikos teisės aktų įgyvendinimą Centro padaliniuose, organizuoja ir kontroliuoja centro padalinių veiklą; pagal įstaigai priskirtą kompetenciją vykdo kitas funkcijas, nustatytas Lietuvos Respublikos aktuose; organizuoja jaunimo atvirų erdvių veiklą; centras įgyvendina daugiafunkcio centro veiklai būdingas ikimokyklinio ir priešmokyklinio vaikų ugdymo, vaikų ir suaugusių neformaliojo švietimo programas, gyvenamosios vietovės bendruomenei pagal jos poreikius teikia kultūros paslaugas; teikia psichologinę, informacinę, konsultacinę pagalba; ugdo kaimo žmonių socialinį aktyvumą, tarpusavio supratimą, atsakomybę už konkrečių problemų sprendimą.</w:t>
      </w:r>
    </w:p>
    <w:p w:rsidR="00007748" w:rsidRDefault="00FD4DEB">
      <w:pPr>
        <w:suppressAutoHyphens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Didžiausi 2018 m. pasiekimai ir įgyvendinti projektai. Įgyvendintas projektas Lietuvos jaunųjų menininkų meninės raiškos stovykla „</w:t>
      </w:r>
      <w:proofErr w:type="spellStart"/>
      <w:r>
        <w:rPr>
          <w:rFonts w:ascii="Times New Roman" w:eastAsia="Times New Roman" w:hAnsi="Times New Roman" w:cs="Times New Roman"/>
          <w:sz w:val="24"/>
        </w:rPr>
        <w:t>Brass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vasara“, liaudiškos muzikos kapelos „</w:t>
      </w:r>
      <w:proofErr w:type="spellStart"/>
      <w:r>
        <w:rPr>
          <w:rFonts w:ascii="Times New Roman" w:eastAsia="Times New Roman" w:hAnsi="Times New Roman" w:cs="Times New Roman"/>
          <w:sz w:val="24"/>
        </w:rPr>
        <w:t>Lėvena</w:t>
      </w:r>
      <w:proofErr w:type="spellEnd"/>
      <w:r>
        <w:rPr>
          <w:rFonts w:ascii="Times New Roman" w:eastAsia="Times New Roman" w:hAnsi="Times New Roman" w:cs="Times New Roman"/>
          <w:sz w:val="24"/>
        </w:rPr>
        <w:t>“ ir „Kaimynai“ dalyvavo Dainų šventėje „Vardan tos…“.</w:t>
      </w:r>
    </w:p>
    <w:p w:rsidR="00007748" w:rsidRDefault="00FD4DEB">
      <w:pPr>
        <w:suppressAutoHyphens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Pilietinė iniciatyva tęsėsi – 2018 m. vyko tautinio Nepriklausomybės šaliko kelionė po Lietuvą.</w:t>
      </w:r>
    </w:p>
    <w:p w:rsidR="00007748" w:rsidRDefault="00FD4DEB">
      <w:pPr>
        <w:suppressAutoHyphens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1.2. Rezultatai (kultūros centro problemos 2018  m., patirtos finansinės ir kt. nesėkmės). </w:t>
      </w:r>
    </w:p>
    <w:p w:rsidR="00007748" w:rsidRPr="00753251" w:rsidRDefault="00FD4DEB">
      <w:pPr>
        <w:suppressAutoHyphens/>
        <w:spacing w:after="0" w:line="240" w:lineRule="auto"/>
        <w:ind w:firstLine="626"/>
        <w:jc w:val="both"/>
        <w:rPr>
          <w:rFonts w:ascii="Times New Roman" w:eastAsia="Times New Roman" w:hAnsi="Times New Roman" w:cs="Times New Roman"/>
          <w:sz w:val="24"/>
        </w:rPr>
      </w:pPr>
      <w:r w:rsidRPr="00753251">
        <w:rPr>
          <w:rFonts w:ascii="Times New Roman" w:eastAsia="Times New Roman" w:hAnsi="Times New Roman" w:cs="Times New Roman"/>
          <w:sz w:val="24"/>
        </w:rPr>
        <w:t>Kultūro</w:t>
      </w:r>
      <w:r w:rsidR="00753251">
        <w:rPr>
          <w:rFonts w:ascii="Times New Roman" w:eastAsia="Times New Roman" w:hAnsi="Times New Roman" w:cs="Times New Roman"/>
          <w:sz w:val="24"/>
        </w:rPr>
        <w:t>s centro aktualiausia problema –</w:t>
      </w:r>
      <w:r w:rsidRPr="00753251">
        <w:rPr>
          <w:rFonts w:ascii="Times New Roman" w:eastAsia="Times New Roman" w:hAnsi="Times New Roman" w:cs="Times New Roman"/>
          <w:sz w:val="24"/>
        </w:rPr>
        <w:t xml:space="preserve"> Geležių padalinio pastato būklės gerinima</w:t>
      </w:r>
      <w:r w:rsidR="00753251">
        <w:rPr>
          <w:rFonts w:ascii="Times New Roman" w:eastAsia="Times New Roman" w:hAnsi="Times New Roman" w:cs="Times New Roman"/>
          <w:sz w:val="24"/>
        </w:rPr>
        <w:t>s, ypač kai likvidavus mokyklą</w:t>
      </w:r>
      <w:r w:rsidRPr="00753251">
        <w:rPr>
          <w:rFonts w:ascii="Times New Roman" w:eastAsia="Times New Roman" w:hAnsi="Times New Roman" w:cs="Times New Roman"/>
          <w:sz w:val="24"/>
        </w:rPr>
        <w:t xml:space="preserve"> liko vienintelė vieta, kur gyv</w:t>
      </w:r>
      <w:r w:rsidR="00753251">
        <w:rPr>
          <w:rFonts w:ascii="Times New Roman" w:eastAsia="Times New Roman" w:hAnsi="Times New Roman" w:cs="Times New Roman"/>
          <w:sz w:val="24"/>
        </w:rPr>
        <w:t>entojai renkasi. 2018 m.</w:t>
      </w:r>
      <w:r w:rsidRPr="00753251">
        <w:rPr>
          <w:rFonts w:ascii="Times New Roman" w:eastAsia="Times New Roman" w:hAnsi="Times New Roman" w:cs="Times New Roman"/>
          <w:sz w:val="24"/>
        </w:rPr>
        <w:t xml:space="preserve"> atnaujinta elektros instaliacija. Tačiau dar reikalinga, kad pastate būtų galima naudotis vandeniu</w:t>
      </w:r>
      <w:r w:rsidR="00753251">
        <w:rPr>
          <w:rFonts w:ascii="Times New Roman" w:eastAsia="Times New Roman" w:hAnsi="Times New Roman" w:cs="Times New Roman"/>
          <w:sz w:val="24"/>
        </w:rPr>
        <w:t>,</w:t>
      </w:r>
      <w:r w:rsidRPr="00753251">
        <w:rPr>
          <w:rFonts w:ascii="Times New Roman" w:eastAsia="Times New Roman" w:hAnsi="Times New Roman" w:cs="Times New Roman"/>
          <w:sz w:val="24"/>
        </w:rPr>
        <w:t xml:space="preserve"> ir būtini sanitariniai mazgai.</w:t>
      </w:r>
    </w:p>
    <w:p w:rsidR="00007748" w:rsidRDefault="00007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 KULTŪROS CENTRO STRUKTŪRA</w:t>
      </w:r>
    </w:p>
    <w:p w:rsidR="00753251" w:rsidRDefault="00753251" w:rsidP="007532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53251" w:rsidRPr="00753251" w:rsidRDefault="00AB1170" w:rsidP="0075325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Darbuotojai: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739"/>
        <w:gridCol w:w="528"/>
        <w:gridCol w:w="739"/>
        <w:gridCol w:w="528"/>
        <w:gridCol w:w="742"/>
        <w:gridCol w:w="608"/>
        <w:gridCol w:w="796"/>
        <w:gridCol w:w="576"/>
        <w:gridCol w:w="743"/>
        <w:gridCol w:w="529"/>
        <w:gridCol w:w="739"/>
        <w:gridCol w:w="528"/>
        <w:gridCol w:w="683"/>
      </w:tblGrid>
      <w:tr w:rsidR="00007748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Darbuotojai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Pareigybės</w:t>
            </w:r>
          </w:p>
        </w:tc>
        <w:tc>
          <w:tcPr>
            <w:tcW w:w="5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Kultūros ir meno darbuotojų išsilavinimas</w:t>
            </w:r>
          </w:p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(pagal turimus diplomus)</w:t>
            </w:r>
          </w:p>
        </w:tc>
      </w:tr>
      <w:tr w:rsidR="00007748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Aukštasis universitetinis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Aukštasis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neuniversiteti-nis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Aukštesnysis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Specialusis vidurinis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Vidu-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rinis</w:t>
            </w:r>
            <w:proofErr w:type="spellEnd"/>
          </w:p>
        </w:tc>
      </w:tr>
      <w:tr w:rsidR="00007748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Kultū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-ros ir meno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Kiti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Kultū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-ros ir meno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Kiti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Kultū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-ros ir meno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Kultū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-ros ir meno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Kultū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-ros ir meno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Kultū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-ros ir meno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</w:tr>
      <w:tr w:rsidR="00007748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Tiltagalių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kultūros centras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2,75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Geležių</w:t>
            </w:r>
          </w:p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padalinys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0,5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Karsakiš-kio</w:t>
            </w:r>
            <w:proofErr w:type="spellEnd"/>
          </w:p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padalinys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1,5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0.5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5,75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2,5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07748" w:rsidRDefault="000077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Kvalifikacija: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007748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Kėlė kvalifikaciją</w:t>
            </w:r>
          </w:p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ataskaitiniais metais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Atestuoti ir suteiktos klasės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Laisvų pareigybių </w:t>
            </w:r>
          </w:p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Kultūros ir meno specialistų </w:t>
            </w:r>
          </w:p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poreikis</w:t>
            </w:r>
          </w:p>
        </w:tc>
      </w:tr>
      <w:tr w:rsidR="00007748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Iš viso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Atestuota nesuteikiant klasės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07748" w:rsidRDefault="0000774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753251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Tiltagalių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FD4DEB">
              <w:rPr>
                <w:rFonts w:ascii="Times New Roman" w:eastAsia="Times New Roman" w:hAnsi="Times New Roman" w:cs="Times New Roman"/>
                <w:sz w:val="20"/>
              </w:rPr>
              <w:t>kultūros centras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75325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Geležių </w:t>
            </w:r>
            <w:r w:rsidR="00FD4DEB">
              <w:rPr>
                <w:rFonts w:ascii="Times New Roman" w:eastAsia="Times New Roman" w:hAnsi="Times New Roman" w:cs="Times New Roman"/>
                <w:sz w:val="20"/>
              </w:rPr>
              <w:t>padalinys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Karsakiškio padalinys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0774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07748" w:rsidRDefault="00007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 VEIKLA</w:t>
      </w:r>
    </w:p>
    <w:p w:rsidR="00007748" w:rsidRDefault="00007748">
      <w:pPr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7404"/>
        <w:gridCol w:w="1268"/>
      </w:tblGrid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Eil. Nr.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Veiklos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Skaičius / priedas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 žiūrovų ir lankytojų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11 342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Parduotų bilietų skaičius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131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 dalyvių, užimtų kultūros įstaigos veikloje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129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vietos gyventojų, gyvenančių ar dirbančių Panevėžio rajone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127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kultūros centro veikloje dalyvaujančių savanorių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Pateiktų projektų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 (1 Priedas)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Naujų parengtų programų (koncertinių, edukacinių) ir kitų naujų veiklų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 (2 Priedas)</w:t>
            </w:r>
          </w:p>
        </w:tc>
      </w:tr>
      <w:tr w:rsidR="0000774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Laimėjimai konkursuose: pagrindinis prizas, I, II, III vietos (rajono, regiono, šalies bei tarptautiniuose), kultūros srities nominacijų laimėjimai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 (3 Priedas)</w:t>
            </w:r>
          </w:p>
        </w:tc>
      </w:tr>
    </w:tbl>
    <w:p w:rsidR="00007748" w:rsidRDefault="000077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 RENGINIAI</w:t>
      </w:r>
    </w:p>
    <w:p w:rsidR="00007748" w:rsidRDefault="00007748">
      <w:pPr>
        <w:suppressAutoHyphens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7532"/>
        <w:gridCol w:w="1271"/>
      </w:tblGrid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Eil. Nr.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Renginio pobūdis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Renginių skaičius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Renginiai, iš viso (1 + 2)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27FA8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88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Renginiai vietoje, iš viso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Pr="00F27FA8" w:rsidRDefault="00F27FA8" w:rsidP="00F27F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FA8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renginiai lauke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renginiai uždarose patalpose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Renginiai išvykose, iš viso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Panevėžio rajono savivaldybėje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šalyje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2.3.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tarptautiniuose renginiuose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Etniniai renginiai (visi)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Dalyvavimas konkursuose, iš viso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Panevėžio rajono savivaldybės konkursuose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4.2.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šalies konkursuose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4.3.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tarptautiniuose konkursuose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Parodos, iš viso (profesionaliojo meno, tautodailės ir kt.)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CA660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vizualiojo meno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tautodailės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5.3.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kitos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Meno profesionalų sklaidos renginiai, iš viso (išskyrus parodas)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CA660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akademinio žanro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6.2.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 (džiazo, lengvosios muzikos ir kt.)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 renginiai, iš viso (edukacijos, bendri įvairių žanrų kolektyvų projektai)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7.1.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edukaciniai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7.2.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tarpsritiniai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7.3.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kvalifikacijos kėlimo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Kiti laisvalaikio renginiai (šokių vakarai, vakaronės ir kt.)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</w:tbl>
    <w:p w:rsidR="00007748" w:rsidRDefault="00007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V. MENO KOLEKTYVAI</w:t>
      </w:r>
    </w:p>
    <w:p w:rsidR="00007748" w:rsidRDefault="00007748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"/>
        <w:gridCol w:w="7354"/>
        <w:gridCol w:w="1272"/>
      </w:tblGrid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Eil. Nr.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Kolektyvo tipas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Kolektyvų skaičius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75325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 kolektyvų (1 + 2</w:t>
            </w:r>
            <w:r w:rsidR="00FD4DEB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Kolektyvai pagal Lietuvos nacionalinio kultūros centro parengtą ir patvirtintą meno mėgėjų kolektyvų klasifikaciją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1.1.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muzikiniai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1.2.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choreografiniai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1.3.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teatriniai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1.4.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etniniai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1.5.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tautodailės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Studijos, būreliai, klubai ir kiti kolektyvai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 w:rsidP="0075325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3.1.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muzikiniai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3.2.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choreografiniai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3.3.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teatriniai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3.4.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etniniai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3.5.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tautodailės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3.6.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amatai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:rsidR="00007748" w:rsidRDefault="00007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VI. FINANSAVIMO ŠALTINIAI</w:t>
      </w:r>
    </w:p>
    <w:p w:rsidR="00007748" w:rsidRDefault="00007748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7549"/>
        <w:gridCol w:w="1264"/>
      </w:tblGrid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Eil. Nr.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  <w:ind w:left="-93"/>
            </w:pPr>
            <w:r>
              <w:rPr>
                <w:rFonts w:ascii="Times New Roman" w:eastAsia="Times New Roman" w:hAnsi="Times New Roman" w:cs="Times New Roman"/>
                <w:sz w:val="20"/>
              </w:rPr>
              <w:t>Pobūdis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Gautos lėšos Eur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00774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Iš viso lėšų (1 + 2)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CA660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146</w:t>
            </w:r>
            <w:r w:rsidR="00FD4DE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438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 lėšos iš savivaldybės biudžeto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134 458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1.1.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darbo užmokesčiui neatskaičiavus mokesčių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96 676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1.2.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infrastruktūrai išlaikyti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10 565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1.3.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ilgalaikiam materialiajam turtui įsigyti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1.4.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lėšos veiklai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26 344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1.5.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išlaidos transportui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873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Iš viso pritraukta lėšų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11 980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2.1.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projektams įgyvendinti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Priedas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>9 000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2.2.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pajamos už teikiamas paslaugas (bilietai, nuoma, renginių organizavimas ir kt.)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961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2.3.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rėmėjų lėšos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2.4.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2 % parama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84</w:t>
            </w:r>
          </w:p>
        </w:tc>
      </w:tr>
      <w:tr w:rsidR="00007748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2.5.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neformaliojo vaikų švietimo lėšos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748" w:rsidRDefault="00FD4D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1 935</w:t>
            </w:r>
          </w:p>
        </w:tc>
      </w:tr>
    </w:tbl>
    <w:p w:rsidR="00FD4DEB" w:rsidRDefault="00FD4D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07748" w:rsidRDefault="00FD4D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VII. MATERIALINIAI IR TECHNINIAI IŠTEKLIAI</w:t>
      </w:r>
    </w:p>
    <w:p w:rsidR="00007748" w:rsidRDefault="0000774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:rsidR="00007748" w:rsidRPr="00753251" w:rsidRDefault="00FD4DEB" w:rsidP="007532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7.1. Atlikti įstaigos remonto darbai. Jų vertė tūkst. Eur. </w:t>
      </w:r>
      <w:r w:rsidRPr="00753251">
        <w:rPr>
          <w:rFonts w:ascii="Times New Roman" w:eastAsia="Times New Roman" w:hAnsi="Times New Roman" w:cs="Times New Roman"/>
          <w:sz w:val="24"/>
        </w:rPr>
        <w:t xml:space="preserve">Atnaujinta Geležių padalinio elektros instaliacija </w:t>
      </w:r>
      <w:r w:rsidR="00753251">
        <w:rPr>
          <w:rFonts w:ascii="Times New Roman" w:eastAsia="Times New Roman" w:hAnsi="Times New Roman" w:cs="Times New Roman"/>
          <w:sz w:val="24"/>
        </w:rPr>
        <w:t xml:space="preserve">už </w:t>
      </w:r>
      <w:r w:rsidRPr="00753251">
        <w:rPr>
          <w:rFonts w:ascii="Times New Roman" w:eastAsia="Times New Roman" w:hAnsi="Times New Roman" w:cs="Times New Roman"/>
          <w:sz w:val="24"/>
        </w:rPr>
        <w:t>3</w:t>
      </w:r>
      <w:r w:rsidR="00753251">
        <w:rPr>
          <w:rFonts w:ascii="Times New Roman" w:eastAsia="Times New Roman" w:hAnsi="Times New Roman" w:cs="Times New Roman"/>
          <w:sz w:val="24"/>
        </w:rPr>
        <w:t xml:space="preserve"> 400 Eur. </w:t>
      </w:r>
      <w:r w:rsidRPr="00753251">
        <w:rPr>
          <w:rFonts w:ascii="Times New Roman" w:eastAsia="Times New Roman" w:hAnsi="Times New Roman" w:cs="Times New Roman"/>
          <w:sz w:val="24"/>
        </w:rPr>
        <w:t xml:space="preserve">Karsakiškio padalinyje </w:t>
      </w:r>
      <w:r w:rsidR="00753251">
        <w:rPr>
          <w:rFonts w:ascii="Times New Roman" w:eastAsia="Times New Roman" w:hAnsi="Times New Roman" w:cs="Times New Roman"/>
          <w:sz w:val="24"/>
        </w:rPr>
        <w:t>įsigytos</w:t>
      </w:r>
      <w:r w:rsidR="00753251" w:rsidRPr="00753251">
        <w:rPr>
          <w:rFonts w:ascii="Times New Roman" w:eastAsia="Times New Roman" w:hAnsi="Times New Roman" w:cs="Times New Roman"/>
          <w:sz w:val="24"/>
        </w:rPr>
        <w:t xml:space="preserve"> </w:t>
      </w:r>
      <w:r w:rsidR="00753251">
        <w:rPr>
          <w:rFonts w:ascii="Times New Roman" w:eastAsia="Times New Roman" w:hAnsi="Times New Roman" w:cs="Times New Roman"/>
          <w:sz w:val="24"/>
        </w:rPr>
        <w:t>kėdės žiūrovams už 720 Eur.</w:t>
      </w:r>
    </w:p>
    <w:p w:rsidR="00007748" w:rsidRDefault="00753251" w:rsidP="007532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7.2</w:t>
      </w:r>
      <w:r w:rsidR="00FD4DEB" w:rsidRPr="00753251">
        <w:rPr>
          <w:rFonts w:ascii="Times New Roman" w:eastAsia="Times New Roman" w:hAnsi="Times New Roman" w:cs="Times New Roman"/>
          <w:sz w:val="24"/>
        </w:rPr>
        <w:t>. Įsigyti koncertiniai drabužiai (sceniniai, tautiniai kostiumai, jų dalys) (vnt.). Jų vertė Eur. Pasiūti tautiniam kostiumui trūkstami drabužiai (marškinėliai, kaklajuostės, kelnės) 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D4DEB" w:rsidRPr="00753251">
        <w:rPr>
          <w:rFonts w:ascii="Times New Roman" w:eastAsia="Times New Roman" w:hAnsi="Times New Roman" w:cs="Times New Roman"/>
          <w:sz w:val="24"/>
        </w:rPr>
        <w:t>100 Eur.</w:t>
      </w:r>
    </w:p>
    <w:p w:rsidR="00007748" w:rsidRDefault="00E3607E" w:rsidP="00E3607E">
      <w:pPr>
        <w:tabs>
          <w:tab w:val="left" w:pos="13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</w:t>
      </w:r>
      <w:bookmarkStart w:id="0" w:name="_GoBack"/>
      <w:bookmarkEnd w:id="0"/>
    </w:p>
    <w:sectPr w:rsidR="00007748" w:rsidSect="00753251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9A" w:rsidRDefault="008F5F9A" w:rsidP="00753251">
      <w:pPr>
        <w:spacing w:after="0" w:line="240" w:lineRule="auto"/>
      </w:pPr>
      <w:r>
        <w:separator/>
      </w:r>
    </w:p>
  </w:endnote>
  <w:endnote w:type="continuationSeparator" w:id="0">
    <w:p w:rsidR="008F5F9A" w:rsidRDefault="008F5F9A" w:rsidP="0075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9A" w:rsidRDefault="008F5F9A" w:rsidP="00753251">
      <w:pPr>
        <w:spacing w:after="0" w:line="240" w:lineRule="auto"/>
      </w:pPr>
      <w:r>
        <w:separator/>
      </w:r>
    </w:p>
  </w:footnote>
  <w:footnote w:type="continuationSeparator" w:id="0">
    <w:p w:rsidR="008F5F9A" w:rsidRDefault="008F5F9A" w:rsidP="00753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4394435"/>
      <w:docPartObj>
        <w:docPartGallery w:val="Page Numbers (Top of Page)"/>
        <w:docPartUnique/>
      </w:docPartObj>
    </w:sdtPr>
    <w:sdtEndPr/>
    <w:sdtContent>
      <w:p w:rsidR="00753251" w:rsidRDefault="0075325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07E">
          <w:rPr>
            <w:noProof/>
          </w:rPr>
          <w:t>4</w:t>
        </w:r>
        <w:r>
          <w:fldChar w:fldCharType="end"/>
        </w:r>
      </w:p>
    </w:sdtContent>
  </w:sdt>
  <w:p w:rsidR="00753251" w:rsidRDefault="0075325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91783"/>
    <w:multiLevelType w:val="multilevel"/>
    <w:tmpl w:val="7520C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48"/>
    <w:rsid w:val="00007748"/>
    <w:rsid w:val="001D2A9C"/>
    <w:rsid w:val="00387D3C"/>
    <w:rsid w:val="004167E8"/>
    <w:rsid w:val="004E3022"/>
    <w:rsid w:val="00753251"/>
    <w:rsid w:val="007B56EF"/>
    <w:rsid w:val="008C0380"/>
    <w:rsid w:val="008F5F9A"/>
    <w:rsid w:val="00AB1170"/>
    <w:rsid w:val="00BC47D7"/>
    <w:rsid w:val="00BF2837"/>
    <w:rsid w:val="00CA660B"/>
    <w:rsid w:val="00CB6E5A"/>
    <w:rsid w:val="00DA401C"/>
    <w:rsid w:val="00E3607E"/>
    <w:rsid w:val="00F27FA8"/>
    <w:rsid w:val="00F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249E7-E754-481B-9107-CDD6D054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532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3251"/>
  </w:style>
  <w:style w:type="paragraph" w:styleId="Porat">
    <w:name w:val="footer"/>
    <w:basedOn w:val="prastasis"/>
    <w:link w:val="PoratDiagrama"/>
    <w:uiPriority w:val="99"/>
    <w:unhideWhenUsed/>
    <w:rsid w:val="007532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3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4671</Words>
  <Characters>2663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Birute Goberiene</cp:lastModifiedBy>
  <cp:revision>10</cp:revision>
  <dcterms:created xsi:type="dcterms:W3CDTF">2019-05-10T05:59:00Z</dcterms:created>
  <dcterms:modified xsi:type="dcterms:W3CDTF">2019-05-30T10:28:00Z</dcterms:modified>
</cp:coreProperties>
</file>