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4B8" w:rsidRPr="00C234B8" w:rsidRDefault="00C234B8" w:rsidP="00C234B8">
      <w:pPr>
        <w:pStyle w:val="Betarp"/>
        <w:ind w:left="3888" w:firstLine="1296"/>
        <w:jc w:val="both"/>
        <w:rPr>
          <w:rStyle w:val="Grietas"/>
          <w:b w:val="0"/>
          <w:color w:val="000000"/>
          <w:sz w:val="24"/>
          <w:szCs w:val="24"/>
          <w:lang w:eastAsia="en-US"/>
        </w:rPr>
      </w:pPr>
      <w:r w:rsidRPr="00C234B8">
        <w:rPr>
          <w:rStyle w:val="Grietas"/>
          <w:b w:val="0"/>
          <w:color w:val="000000"/>
          <w:sz w:val="24"/>
          <w:szCs w:val="24"/>
        </w:rPr>
        <w:t>PRITARTA</w:t>
      </w:r>
    </w:p>
    <w:p w:rsidR="00C234B8" w:rsidRPr="00C234B8" w:rsidRDefault="00C234B8" w:rsidP="00C234B8">
      <w:pPr>
        <w:pStyle w:val="Betarp"/>
        <w:ind w:left="3888" w:firstLine="1296"/>
        <w:jc w:val="both"/>
        <w:rPr>
          <w:rStyle w:val="Grietas"/>
          <w:b w:val="0"/>
          <w:color w:val="000000"/>
          <w:sz w:val="24"/>
          <w:szCs w:val="24"/>
        </w:rPr>
      </w:pPr>
      <w:r w:rsidRPr="00C234B8">
        <w:rPr>
          <w:rStyle w:val="Grietas"/>
          <w:b w:val="0"/>
          <w:color w:val="000000"/>
          <w:sz w:val="24"/>
          <w:szCs w:val="24"/>
        </w:rPr>
        <w:t>Panevėžio rajono savivaldybės tarybos</w:t>
      </w:r>
    </w:p>
    <w:p w:rsidR="00C234B8" w:rsidRPr="00C234B8" w:rsidRDefault="00C234B8" w:rsidP="00C234B8">
      <w:pPr>
        <w:pStyle w:val="Betarp"/>
        <w:ind w:left="3888" w:firstLine="1296"/>
        <w:jc w:val="both"/>
        <w:rPr>
          <w:rStyle w:val="Grietas"/>
          <w:bCs w:val="0"/>
          <w:sz w:val="24"/>
          <w:szCs w:val="24"/>
        </w:rPr>
      </w:pPr>
      <w:r w:rsidRPr="00C234B8">
        <w:rPr>
          <w:rStyle w:val="Grietas"/>
          <w:b w:val="0"/>
          <w:color w:val="000000"/>
          <w:sz w:val="24"/>
          <w:szCs w:val="24"/>
        </w:rPr>
        <w:t>2019 m. gegužės 30 d. sprendimu Nr.</w:t>
      </w:r>
      <w:r w:rsidRPr="00C234B8">
        <w:rPr>
          <w:sz w:val="24"/>
          <w:szCs w:val="24"/>
        </w:rPr>
        <w:t xml:space="preserve"> T-</w:t>
      </w:r>
      <w:r w:rsidR="00F54D1D">
        <w:rPr>
          <w:sz w:val="24"/>
          <w:szCs w:val="24"/>
        </w:rPr>
        <w:t>103</w:t>
      </w:r>
    </w:p>
    <w:p w:rsidR="00C234B8" w:rsidRPr="00C234B8" w:rsidRDefault="00C234B8" w:rsidP="00C234B8">
      <w:pPr>
        <w:pStyle w:val="Betarp"/>
        <w:jc w:val="both"/>
        <w:rPr>
          <w:sz w:val="24"/>
          <w:szCs w:val="24"/>
          <w:lang w:eastAsia="lt-LT"/>
        </w:rPr>
      </w:pPr>
    </w:p>
    <w:p w:rsidR="00C234B8" w:rsidRPr="00C234B8" w:rsidRDefault="00C234B8" w:rsidP="00C234B8">
      <w:pPr>
        <w:pStyle w:val="Betarp"/>
        <w:jc w:val="center"/>
        <w:rPr>
          <w:sz w:val="24"/>
          <w:szCs w:val="24"/>
          <w:lang w:eastAsia="lt-LT"/>
        </w:rPr>
      </w:pPr>
      <w:r w:rsidRPr="00C234B8">
        <w:rPr>
          <w:b/>
          <w:sz w:val="24"/>
          <w:szCs w:val="24"/>
          <w:lang w:eastAsia="lt-LT"/>
        </w:rPr>
        <w:t>PANEVĖŽIO R. PAŽAGIENIŲ MOKYKLOS-DARŽELIO 201</w:t>
      </w:r>
      <w:r w:rsidRPr="00C234B8">
        <w:rPr>
          <w:b/>
          <w:sz w:val="24"/>
          <w:szCs w:val="24"/>
          <w:lang w:val="en-US" w:eastAsia="lt-LT"/>
        </w:rPr>
        <w:t>8</w:t>
      </w:r>
      <w:r w:rsidRPr="00C234B8">
        <w:rPr>
          <w:b/>
          <w:sz w:val="24"/>
          <w:szCs w:val="24"/>
          <w:lang w:eastAsia="lt-LT"/>
        </w:rPr>
        <w:t xml:space="preserve"> METŲ VEIKLOS ATASKAITA</w:t>
      </w:r>
    </w:p>
    <w:p w:rsidR="00C234B8" w:rsidRPr="00C234B8" w:rsidRDefault="00C234B8" w:rsidP="00C234B8">
      <w:pPr>
        <w:pStyle w:val="Betarp"/>
        <w:jc w:val="both"/>
        <w:rPr>
          <w:sz w:val="24"/>
          <w:szCs w:val="24"/>
          <w:lang w:eastAsia="lt-LT"/>
        </w:rPr>
      </w:pPr>
    </w:p>
    <w:p w:rsidR="00C234B8" w:rsidRPr="00C234B8" w:rsidRDefault="00C234B8" w:rsidP="00DF54CD">
      <w:pPr>
        <w:pStyle w:val="Betarp"/>
        <w:jc w:val="center"/>
        <w:rPr>
          <w:sz w:val="24"/>
          <w:szCs w:val="24"/>
          <w:lang w:eastAsia="lt-LT"/>
        </w:rPr>
      </w:pPr>
      <w:r w:rsidRPr="00C234B8">
        <w:rPr>
          <w:b/>
          <w:sz w:val="24"/>
          <w:szCs w:val="24"/>
          <w:lang w:eastAsia="lt-LT"/>
        </w:rPr>
        <w:t>I. BENDRA INFORMACIJA APIE MOKYKLĄ</w:t>
      </w:r>
    </w:p>
    <w:p w:rsidR="00C234B8" w:rsidRPr="00C234B8" w:rsidRDefault="00C234B8" w:rsidP="00DF54CD">
      <w:pPr>
        <w:pStyle w:val="Betarp"/>
        <w:ind w:firstLine="1296"/>
        <w:jc w:val="both"/>
        <w:rPr>
          <w:sz w:val="24"/>
          <w:szCs w:val="24"/>
          <w:lang w:eastAsia="lt-LT"/>
        </w:rPr>
      </w:pPr>
      <w:r w:rsidRPr="00C234B8">
        <w:rPr>
          <w:sz w:val="24"/>
          <w:szCs w:val="24"/>
          <w:lang w:eastAsia="lt-LT"/>
        </w:rPr>
        <w:t>1.1. Mokyklos kontekstinė aplinka (geografinės, kultūrinės, demografinės, ekonominės ir kt. situ</w:t>
      </w:r>
      <w:r w:rsidR="00DF54CD">
        <w:rPr>
          <w:sz w:val="24"/>
          <w:szCs w:val="24"/>
          <w:lang w:eastAsia="lt-LT"/>
        </w:rPr>
        <w:t xml:space="preserve">acijos įtaka mokyklos veiklai). </w:t>
      </w:r>
      <w:r w:rsidRPr="00C234B8">
        <w:rPr>
          <w:sz w:val="24"/>
          <w:szCs w:val="24"/>
          <w:lang w:eastAsia="lt-LT"/>
        </w:rPr>
        <w:t xml:space="preserve">Mokykla-darželis yra ties Panevėžio miesto riba, šalia kelio „Via </w:t>
      </w:r>
      <w:proofErr w:type="spellStart"/>
      <w:r w:rsidRPr="00C234B8">
        <w:rPr>
          <w:sz w:val="24"/>
          <w:szCs w:val="24"/>
          <w:lang w:eastAsia="lt-LT"/>
        </w:rPr>
        <w:t>Baltica</w:t>
      </w:r>
      <w:proofErr w:type="spellEnd"/>
      <w:r w:rsidRPr="00C234B8">
        <w:rPr>
          <w:sz w:val="24"/>
          <w:szCs w:val="24"/>
          <w:lang w:eastAsia="lt-LT"/>
        </w:rPr>
        <w:t xml:space="preserve">“, </w:t>
      </w:r>
      <w:proofErr w:type="spellStart"/>
      <w:r w:rsidRPr="00C234B8">
        <w:rPr>
          <w:sz w:val="24"/>
          <w:szCs w:val="24"/>
          <w:lang w:eastAsia="lt-LT"/>
        </w:rPr>
        <w:t>Pažagienių</w:t>
      </w:r>
      <w:proofErr w:type="spellEnd"/>
      <w:r w:rsidRPr="00C234B8">
        <w:rPr>
          <w:sz w:val="24"/>
          <w:szCs w:val="24"/>
          <w:lang w:eastAsia="lt-LT"/>
        </w:rPr>
        <w:t xml:space="preserve"> k. Šią įstaigą savo vaikams renkasi tėvai </w:t>
      </w:r>
      <w:r>
        <w:rPr>
          <w:sz w:val="24"/>
          <w:szCs w:val="24"/>
          <w:lang w:eastAsia="lt-LT"/>
        </w:rPr>
        <w:t xml:space="preserve">(globėjai, rūpintojai) </w:t>
      </w:r>
      <w:r w:rsidRPr="00C234B8">
        <w:rPr>
          <w:sz w:val="24"/>
          <w:szCs w:val="24"/>
          <w:lang w:eastAsia="lt-LT"/>
        </w:rPr>
        <w:t xml:space="preserve">iš </w:t>
      </w:r>
      <w:proofErr w:type="spellStart"/>
      <w:r w:rsidRPr="00C234B8">
        <w:rPr>
          <w:sz w:val="24"/>
          <w:szCs w:val="24"/>
          <w:lang w:eastAsia="lt-LT"/>
        </w:rPr>
        <w:t>Uliūnų</w:t>
      </w:r>
      <w:proofErr w:type="spellEnd"/>
      <w:r w:rsidRPr="00C234B8">
        <w:rPr>
          <w:sz w:val="24"/>
          <w:szCs w:val="24"/>
          <w:lang w:eastAsia="lt-LT"/>
        </w:rPr>
        <w:t xml:space="preserve">, </w:t>
      </w:r>
      <w:proofErr w:type="spellStart"/>
      <w:r w:rsidRPr="00C234B8">
        <w:rPr>
          <w:sz w:val="24"/>
          <w:szCs w:val="24"/>
          <w:lang w:eastAsia="lt-LT"/>
        </w:rPr>
        <w:t>Šilagalio</w:t>
      </w:r>
      <w:proofErr w:type="spellEnd"/>
      <w:r w:rsidRPr="00C234B8">
        <w:rPr>
          <w:sz w:val="24"/>
          <w:szCs w:val="24"/>
          <w:lang w:eastAsia="lt-LT"/>
        </w:rPr>
        <w:t xml:space="preserve">, Staniūnų, Lepšių, </w:t>
      </w:r>
      <w:proofErr w:type="spellStart"/>
      <w:r w:rsidRPr="00C234B8">
        <w:rPr>
          <w:sz w:val="24"/>
          <w:szCs w:val="24"/>
          <w:lang w:eastAsia="lt-LT"/>
        </w:rPr>
        <w:t>Pažagienių</w:t>
      </w:r>
      <w:proofErr w:type="spellEnd"/>
      <w:r w:rsidRPr="00C234B8">
        <w:rPr>
          <w:sz w:val="24"/>
          <w:szCs w:val="24"/>
          <w:lang w:eastAsia="lt-LT"/>
        </w:rPr>
        <w:t xml:space="preserve"> ir Velžio k. bei Panevėžio m. Įstaiga yra daugiabučių namų gyvenvietėje, kur dažniausiai jaunos šeimos turi savo pirmą gyvenamąjį būstą ir joms patogu vesti vaikus į lopšelį-darželį, pradinę mokyklą renkasi tie tėvai (globėjai, rūpintojai), kurie pritaria, kad suasmenintas ir įtraukiantis ugdymas gali būti vykdomas nedidelėse grupėse ir klasėse. Didžioji dauguma šeimų (95 proc.) yra lietuvių tautybės, dauguma jų (80 proc.) pilnos, vidutines pajamas gaunančios, socialiai atsakingos, besidominčios ir aktyviai dalyvaujančios v</w:t>
      </w:r>
      <w:r>
        <w:rPr>
          <w:sz w:val="24"/>
          <w:szCs w:val="24"/>
          <w:lang w:eastAsia="lt-LT"/>
        </w:rPr>
        <w:t>aikų ugdymo veikloje. 1–2 proc. šeimų</w:t>
      </w:r>
      <w:r w:rsidRPr="00C234B8">
        <w:rPr>
          <w:sz w:val="24"/>
          <w:szCs w:val="24"/>
          <w:lang w:eastAsia="lt-LT"/>
        </w:rPr>
        <w:t xml:space="preserve"> patiria socialinę riziką. </w:t>
      </w:r>
    </w:p>
    <w:p w:rsidR="00C234B8" w:rsidRPr="00C234B8" w:rsidRDefault="00C234B8" w:rsidP="00DF54CD">
      <w:pPr>
        <w:pStyle w:val="Betarp"/>
        <w:ind w:firstLine="1296"/>
        <w:jc w:val="both"/>
        <w:rPr>
          <w:sz w:val="24"/>
          <w:szCs w:val="24"/>
          <w:lang w:eastAsia="lt-LT"/>
        </w:rPr>
      </w:pPr>
      <w:r w:rsidRPr="00C234B8">
        <w:rPr>
          <w:sz w:val="24"/>
          <w:szCs w:val="24"/>
          <w:lang w:eastAsia="lt-LT"/>
        </w:rPr>
        <w:t>1.2. Vadybinės veiklos pasieki</w:t>
      </w:r>
      <w:r w:rsidR="00DF54CD">
        <w:rPr>
          <w:sz w:val="24"/>
          <w:szCs w:val="24"/>
          <w:lang w:eastAsia="lt-LT"/>
        </w:rPr>
        <w:t xml:space="preserve">mai, įsimintini sėkmės atvejai. </w:t>
      </w:r>
      <w:r w:rsidRPr="00C234B8">
        <w:rPr>
          <w:sz w:val="24"/>
          <w:szCs w:val="24"/>
          <w:lang w:eastAsia="lt-LT"/>
        </w:rPr>
        <w:t xml:space="preserve">2018 m. veiklos sėkmės rezultatai buvo skirti Lietuvos valstybės atkūrimo šimtmečiui įprasminti, o akcentu tapo mokykloje organizuota praktinė-metodinė šalies mokytojų konferencija. Lyderystės plėtra pasireiškė per inicijuotas ir suburtas darbuotojų darbo grupes ir komisijas, kurios sukūrė ar atnaujino vietinius teisės aktus, padedančius laikytis susitarimų ir efektyvinti veiklą, organizuoti praktinę-metodinę šalies konferenciją „Mąstymo kultūra pradiniame ugdyme“. Rezultatai – atnaujinta darbuotojų darbo apmokėjimo sistema, darbo tvarkos taisyklės, parengtas </w:t>
      </w:r>
      <w:r w:rsidRPr="00C234B8">
        <w:rPr>
          <w:sz w:val="24"/>
          <w:szCs w:val="24"/>
          <w:lang w:val="en-US" w:eastAsia="lt-LT"/>
        </w:rPr>
        <w:t xml:space="preserve">2019–2021 m. </w:t>
      </w:r>
      <w:r w:rsidR="00DF54CD">
        <w:rPr>
          <w:sz w:val="24"/>
          <w:szCs w:val="24"/>
          <w:lang w:eastAsia="lt-LT"/>
        </w:rPr>
        <w:t>strateginis planas</w:t>
      </w:r>
      <w:r w:rsidRPr="00C234B8">
        <w:rPr>
          <w:sz w:val="24"/>
          <w:szCs w:val="24"/>
          <w:lang w:eastAsia="lt-LT"/>
        </w:rPr>
        <w:t>.</w:t>
      </w:r>
    </w:p>
    <w:p w:rsidR="00C234B8" w:rsidRPr="00C234B8" w:rsidRDefault="00C234B8" w:rsidP="00DF54CD">
      <w:pPr>
        <w:pStyle w:val="Betarp"/>
        <w:ind w:firstLine="1296"/>
        <w:jc w:val="both"/>
        <w:rPr>
          <w:sz w:val="24"/>
          <w:szCs w:val="24"/>
          <w:lang w:eastAsia="lt-LT"/>
        </w:rPr>
      </w:pPr>
      <w:r w:rsidRPr="00C234B8">
        <w:rPr>
          <w:sz w:val="24"/>
          <w:szCs w:val="24"/>
          <w:lang w:eastAsia="lt-LT"/>
        </w:rPr>
        <w:t>Gebėjimas valdyti kaitos procesus pasireiškė laiku įvedus mokytojų etatinį darbo apmokėjimo modelį, laiku parengti ar atnaujinti būtini tvarkų aprašai šiam modeliui ir bendrojo asmens duomenų apsaugos reglam</w:t>
      </w:r>
      <w:r w:rsidR="00DF54CD">
        <w:rPr>
          <w:sz w:val="24"/>
          <w:szCs w:val="24"/>
          <w:lang w:eastAsia="lt-LT"/>
        </w:rPr>
        <w:t xml:space="preserve">ento reikalavimams įgyvendinti. </w:t>
      </w:r>
      <w:r w:rsidRPr="00C234B8">
        <w:rPr>
          <w:sz w:val="24"/>
          <w:szCs w:val="24"/>
          <w:lang w:eastAsia="lt-LT"/>
        </w:rPr>
        <w:t>Pritraukiamos lėšos ugdymo procesui tobulinti (</w:t>
      </w:r>
      <w:r w:rsidRPr="00C234B8">
        <w:rPr>
          <w:sz w:val="24"/>
          <w:szCs w:val="24"/>
          <w:lang w:val="en-US" w:eastAsia="lt-LT"/>
        </w:rPr>
        <w:t>26 000</w:t>
      </w:r>
      <w:r w:rsidRPr="00C234B8">
        <w:rPr>
          <w:sz w:val="24"/>
          <w:szCs w:val="24"/>
          <w:lang w:eastAsia="lt-LT"/>
        </w:rPr>
        <w:t xml:space="preserve"> Eur per metus) per projektinę veiklą.</w:t>
      </w:r>
    </w:p>
    <w:p w:rsidR="00C234B8" w:rsidRPr="00C234B8" w:rsidRDefault="00C234B8" w:rsidP="00C234B8">
      <w:pPr>
        <w:pStyle w:val="Betarp"/>
        <w:ind w:firstLine="1296"/>
        <w:jc w:val="both"/>
        <w:rPr>
          <w:sz w:val="24"/>
          <w:szCs w:val="24"/>
          <w:lang w:eastAsia="lt-LT"/>
        </w:rPr>
      </w:pPr>
      <w:r w:rsidRPr="00C234B8">
        <w:rPr>
          <w:sz w:val="24"/>
          <w:szCs w:val="24"/>
          <w:lang w:eastAsia="lt-LT"/>
        </w:rPr>
        <w:t>Tikslingai inicijuotos naujos jungtys į atvirą partnerystę su švietimo ir kitomis institucijomis ar fiziniais asmenimis vietos, nacionaliniu bei tarptautiniu lygmeniu (pvz.: sudarytos bendradarbiavimo sutartys su Oksfordo Tarptautinių studijų centru bei Lisabonos Švietimo ir resursų centru įgyvendinant „Erasmus+“ veiksmo KA1 mokytojų kvalifikacijos tobulinimo projektą „Kiekvienas vaikas yra svarbus“ ir kt.)</w:t>
      </w:r>
      <w:r w:rsidRPr="00DF54CD">
        <w:rPr>
          <w:sz w:val="24"/>
          <w:szCs w:val="24"/>
          <w:lang w:eastAsia="lt-LT"/>
        </w:rPr>
        <w:t>.</w:t>
      </w:r>
    </w:p>
    <w:p w:rsidR="00C234B8" w:rsidRPr="00C234B8" w:rsidRDefault="00C234B8" w:rsidP="00C234B8">
      <w:pPr>
        <w:pStyle w:val="Betarp"/>
        <w:ind w:firstLine="1296"/>
        <w:jc w:val="both"/>
        <w:rPr>
          <w:sz w:val="24"/>
          <w:szCs w:val="24"/>
          <w:lang w:eastAsia="lt-LT"/>
        </w:rPr>
      </w:pPr>
      <w:r w:rsidRPr="00C234B8">
        <w:rPr>
          <w:sz w:val="24"/>
          <w:szCs w:val="24"/>
          <w:lang w:eastAsia="lt-LT"/>
        </w:rPr>
        <w:t>1.3. Darbuotojai:</w:t>
      </w:r>
    </w:p>
    <w:tbl>
      <w:tblPr>
        <w:tblW w:w="942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09"/>
        <w:gridCol w:w="7222"/>
        <w:gridCol w:w="1589"/>
      </w:tblGrid>
      <w:tr w:rsidR="00C234B8" w:rsidRPr="00C234B8" w:rsidTr="00C234B8">
        <w:trPr>
          <w:trHeight w:val="786"/>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Eil.</w:t>
            </w:r>
          </w:p>
          <w:p w:rsidR="00C234B8" w:rsidRPr="00C234B8" w:rsidRDefault="00C234B8" w:rsidP="00C234B8">
            <w:pPr>
              <w:pStyle w:val="Betarp"/>
              <w:jc w:val="both"/>
              <w:rPr>
                <w:sz w:val="24"/>
                <w:szCs w:val="24"/>
                <w:lang w:eastAsia="lt-LT"/>
              </w:rPr>
            </w:pPr>
            <w:r w:rsidRPr="00C234B8">
              <w:rPr>
                <w:sz w:val="24"/>
                <w:szCs w:val="24"/>
                <w:lang w:eastAsia="lt-LT"/>
              </w:rPr>
              <w:t>Nr.</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center"/>
              <w:rPr>
                <w:sz w:val="24"/>
                <w:szCs w:val="24"/>
                <w:lang w:eastAsia="lt-LT"/>
              </w:rPr>
            </w:pPr>
            <w:r w:rsidRPr="00C234B8">
              <w:rPr>
                <w:sz w:val="24"/>
                <w:szCs w:val="24"/>
                <w:lang w:eastAsia="lt-LT"/>
              </w:rPr>
              <w:t>201</w:t>
            </w:r>
            <w:r w:rsidRPr="00C234B8">
              <w:rPr>
                <w:sz w:val="24"/>
                <w:szCs w:val="24"/>
                <w:lang w:val="en-US" w:eastAsia="lt-LT"/>
              </w:rPr>
              <w:t>8</w:t>
            </w:r>
            <w:r w:rsidRPr="00C234B8">
              <w:rPr>
                <w:sz w:val="24"/>
                <w:szCs w:val="24"/>
                <w:lang w:eastAsia="lt-LT"/>
              </w:rPr>
              <w:t xml:space="preserve"> m. gruodžio </w:t>
            </w:r>
            <w:r>
              <w:rPr>
                <w:sz w:val="24"/>
                <w:szCs w:val="24"/>
                <w:lang w:eastAsia="lt-LT"/>
              </w:rPr>
              <w:br/>
            </w:r>
            <w:r w:rsidRPr="00C234B8">
              <w:rPr>
                <w:sz w:val="24"/>
                <w:szCs w:val="24"/>
                <w:lang w:eastAsia="lt-LT"/>
              </w:rPr>
              <w:t>31 d.</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1.</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040E0A" w:rsidRDefault="00C234B8" w:rsidP="00C234B8">
            <w:pPr>
              <w:pStyle w:val="Betarp"/>
              <w:jc w:val="both"/>
              <w:rPr>
                <w:sz w:val="24"/>
                <w:szCs w:val="24"/>
                <w:lang w:eastAsia="lt-LT"/>
              </w:rPr>
            </w:pPr>
            <w:r w:rsidRPr="00040E0A">
              <w:rPr>
                <w:sz w:val="24"/>
                <w:szCs w:val="24"/>
                <w:lang w:eastAsia="lt-LT"/>
              </w:rPr>
              <w:t>Bendras darbuotojų skaičius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35 </w:t>
            </w:r>
            <w:proofErr w:type="spellStart"/>
            <w:r w:rsidRPr="00C234B8">
              <w:rPr>
                <w:sz w:val="24"/>
                <w:szCs w:val="24"/>
                <w:lang w:eastAsia="lt-LT"/>
              </w:rPr>
              <w:t>žm</w:t>
            </w:r>
            <w:proofErr w:type="spellEnd"/>
            <w:r w:rsidRPr="00C234B8">
              <w:rPr>
                <w:sz w:val="24"/>
                <w:szCs w:val="24"/>
                <w:lang w:eastAsia="lt-LT"/>
              </w:rPr>
              <w:t xml:space="preserve">. </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2.</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040E0A" w:rsidRDefault="00C234B8" w:rsidP="00C234B8">
            <w:pPr>
              <w:pStyle w:val="Betarp"/>
              <w:jc w:val="both"/>
              <w:rPr>
                <w:sz w:val="24"/>
                <w:szCs w:val="24"/>
                <w:lang w:eastAsia="lt-LT"/>
              </w:rPr>
            </w:pPr>
            <w:r w:rsidRPr="00040E0A">
              <w:rPr>
                <w:sz w:val="24"/>
                <w:szCs w:val="24"/>
                <w:lang w:eastAsia="lt-LT"/>
              </w:rPr>
              <w:t>Pedagoginių darbuotojų skaičius: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17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vadovai</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2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mokytojai (pagrindinės pareigos)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10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mokytojai (nepagrindinės pareigos)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3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pagalbos mokiniui specialistai (logopedas, bibliotekininkas, mokytojo padėjėjai, psichologas)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5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3.</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040E0A" w:rsidRDefault="00C234B8" w:rsidP="00C234B8">
            <w:pPr>
              <w:pStyle w:val="Betarp"/>
              <w:jc w:val="both"/>
              <w:rPr>
                <w:sz w:val="24"/>
                <w:szCs w:val="24"/>
                <w:lang w:eastAsia="lt-LT"/>
              </w:rPr>
            </w:pPr>
            <w:r w:rsidRPr="00040E0A">
              <w:rPr>
                <w:sz w:val="24"/>
                <w:szCs w:val="24"/>
                <w:lang w:eastAsia="lt-LT"/>
              </w:rPr>
              <w:t>Atestuotų pedagoginių darbuotojų skaičius: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17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turinčių eksperto kvalifikacinę kategoriją</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0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turinčių mokytojo metodininko kvalifikacinę kategoriją</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6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turinčių vyresniojo mokytojo kvalifikacinę kategoriją</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9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turinčių mokytojo kvalifikacinę kategoriją</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2 </w:t>
            </w:r>
            <w:proofErr w:type="spellStart"/>
            <w:r w:rsidRPr="00C234B8">
              <w:rPr>
                <w:sz w:val="24"/>
                <w:szCs w:val="24"/>
                <w:lang w:eastAsia="lt-LT"/>
              </w:rPr>
              <w:t>žm</w:t>
            </w:r>
            <w:proofErr w:type="spellEnd"/>
            <w:r w:rsidRPr="00C234B8">
              <w:rPr>
                <w:sz w:val="24"/>
                <w:szCs w:val="24"/>
                <w:lang w:eastAsia="lt-LT"/>
              </w:rPr>
              <w:t>.</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4.</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040E0A" w:rsidRDefault="00C234B8" w:rsidP="00C234B8">
            <w:pPr>
              <w:pStyle w:val="Betarp"/>
              <w:jc w:val="both"/>
              <w:rPr>
                <w:sz w:val="24"/>
                <w:szCs w:val="24"/>
                <w:lang w:eastAsia="lt-LT"/>
              </w:rPr>
            </w:pPr>
            <w:r w:rsidRPr="00040E0A">
              <w:rPr>
                <w:sz w:val="24"/>
                <w:szCs w:val="24"/>
                <w:lang w:eastAsia="lt-LT"/>
              </w:rPr>
              <w:t>Neatestuotų pedagoginių darbuotojų skaičius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0 </w:t>
            </w:r>
            <w:proofErr w:type="spellStart"/>
            <w:r w:rsidRPr="00C234B8">
              <w:rPr>
                <w:sz w:val="24"/>
                <w:szCs w:val="24"/>
                <w:lang w:eastAsia="lt-LT"/>
              </w:rPr>
              <w:t>žm</w:t>
            </w:r>
            <w:proofErr w:type="spellEnd"/>
            <w:r w:rsidRPr="00C234B8">
              <w:rPr>
                <w:sz w:val="24"/>
                <w:szCs w:val="24"/>
                <w:lang w:eastAsia="lt-LT"/>
              </w:rPr>
              <w:t xml:space="preserve">. </w:t>
            </w:r>
          </w:p>
        </w:tc>
      </w:tr>
    </w:tbl>
    <w:p w:rsidR="00C234B8" w:rsidRPr="00C234B8" w:rsidRDefault="00C234B8" w:rsidP="00C234B8">
      <w:pPr>
        <w:pStyle w:val="Betarp"/>
        <w:ind w:firstLine="1296"/>
        <w:jc w:val="both"/>
        <w:rPr>
          <w:sz w:val="24"/>
          <w:szCs w:val="24"/>
          <w:lang w:eastAsia="lt-LT"/>
        </w:rPr>
      </w:pPr>
      <w:r w:rsidRPr="00C234B8">
        <w:rPr>
          <w:sz w:val="24"/>
          <w:szCs w:val="24"/>
          <w:shd w:val="clear" w:color="auto" w:fill="FFFFFF"/>
          <w:lang w:eastAsia="lt-LT"/>
        </w:rPr>
        <w:t>1.4. Metinio veiklos plano įgyvendinimas.</w:t>
      </w:r>
    </w:p>
    <w:p w:rsidR="00C234B8" w:rsidRPr="00C234B8" w:rsidRDefault="00C234B8" w:rsidP="00DF54CD">
      <w:pPr>
        <w:pStyle w:val="Betarp"/>
        <w:ind w:firstLine="1296"/>
        <w:jc w:val="both"/>
        <w:rPr>
          <w:sz w:val="24"/>
          <w:szCs w:val="24"/>
          <w:lang w:eastAsia="lt-LT"/>
        </w:rPr>
      </w:pPr>
      <w:r w:rsidRPr="00C234B8">
        <w:rPr>
          <w:sz w:val="24"/>
          <w:szCs w:val="24"/>
          <w:lang w:eastAsia="lt-LT"/>
        </w:rPr>
        <w:t xml:space="preserve">Atsižvelgus į tėvų (globėjų, rūpintojų) apklausos rezultatus, kur 96 proc. respondentų pageidavo, kad pamokos vyktų įvairiose erdvėse už mokyklos ribų ar mokyklos teritorijoje (ne tik klasėje), buvo sėkmingai įgyvendinamas Lietuvos mokinių neformaliojo švietimo centro Europos Sąjungos lėšomis remtas projektas „Neformaliojo vaikų švietimo plėtra“, </w:t>
      </w:r>
      <w:r w:rsidRPr="00C234B8">
        <w:rPr>
          <w:sz w:val="24"/>
          <w:szCs w:val="24"/>
          <w:lang w:val="en-US" w:eastAsia="lt-LT"/>
        </w:rPr>
        <w:t xml:space="preserve">1–4 </w:t>
      </w:r>
      <w:proofErr w:type="spellStart"/>
      <w:r w:rsidRPr="00C234B8">
        <w:rPr>
          <w:sz w:val="24"/>
          <w:szCs w:val="24"/>
          <w:lang w:val="en-US" w:eastAsia="lt-LT"/>
        </w:rPr>
        <w:t>klasi</w:t>
      </w:r>
      <w:proofErr w:type="spellEnd"/>
      <w:r w:rsidRPr="00C234B8">
        <w:rPr>
          <w:sz w:val="24"/>
          <w:szCs w:val="24"/>
          <w:lang w:eastAsia="lt-LT"/>
        </w:rPr>
        <w:t xml:space="preserve">ų mokiniai vyko į </w:t>
      </w:r>
      <w:r w:rsidRPr="00C234B8">
        <w:rPr>
          <w:sz w:val="24"/>
          <w:szCs w:val="24"/>
          <w:lang w:val="en-US" w:eastAsia="lt-LT"/>
        </w:rPr>
        <w:t xml:space="preserve">6 </w:t>
      </w:r>
      <w:proofErr w:type="spellStart"/>
      <w:r w:rsidRPr="00C234B8">
        <w:rPr>
          <w:sz w:val="24"/>
          <w:szCs w:val="24"/>
          <w:lang w:val="en-US" w:eastAsia="lt-LT"/>
        </w:rPr>
        <w:t>edukacin</w:t>
      </w:r>
      <w:r w:rsidRPr="00C234B8">
        <w:rPr>
          <w:sz w:val="24"/>
          <w:szCs w:val="24"/>
          <w:lang w:eastAsia="lt-LT"/>
        </w:rPr>
        <w:t>es</w:t>
      </w:r>
      <w:proofErr w:type="spellEnd"/>
      <w:r w:rsidRPr="00C234B8">
        <w:rPr>
          <w:sz w:val="24"/>
          <w:szCs w:val="24"/>
          <w:lang w:eastAsia="lt-LT"/>
        </w:rPr>
        <w:t xml:space="preserve"> išvykas Lietuvoje ir pristatė kūrybinį projektą. 1–4 klasių mokiniai dalyvavo </w:t>
      </w:r>
      <w:r w:rsidRPr="00C234B8">
        <w:rPr>
          <w:sz w:val="24"/>
          <w:szCs w:val="24"/>
          <w:lang w:eastAsia="lt-LT"/>
        </w:rPr>
        <w:br/>
      </w:r>
      <w:r w:rsidRPr="00C234B8">
        <w:rPr>
          <w:sz w:val="24"/>
          <w:szCs w:val="24"/>
          <w:lang w:val="en-US" w:eastAsia="lt-LT"/>
        </w:rPr>
        <w:t xml:space="preserve">2 </w:t>
      </w:r>
      <w:proofErr w:type="spellStart"/>
      <w:r w:rsidRPr="00C234B8">
        <w:rPr>
          <w:sz w:val="24"/>
          <w:szCs w:val="24"/>
          <w:lang w:val="en-US" w:eastAsia="lt-LT"/>
        </w:rPr>
        <w:t>edukacin</w:t>
      </w:r>
      <w:r w:rsidRPr="00C234B8">
        <w:rPr>
          <w:sz w:val="24"/>
          <w:szCs w:val="24"/>
          <w:lang w:eastAsia="lt-LT"/>
        </w:rPr>
        <w:t>ėse</w:t>
      </w:r>
      <w:proofErr w:type="spellEnd"/>
      <w:r w:rsidRPr="00C234B8">
        <w:rPr>
          <w:sz w:val="24"/>
          <w:szCs w:val="24"/>
          <w:lang w:eastAsia="lt-LT"/>
        </w:rPr>
        <w:t xml:space="preserve"> išvyko</w:t>
      </w:r>
      <w:r w:rsidR="00DF54CD">
        <w:rPr>
          <w:sz w:val="24"/>
          <w:szCs w:val="24"/>
          <w:lang w:eastAsia="lt-LT"/>
        </w:rPr>
        <w:t xml:space="preserve">se pagal Kultūros paso veiklą. </w:t>
      </w:r>
      <w:r w:rsidRPr="00C234B8">
        <w:rPr>
          <w:sz w:val="24"/>
          <w:szCs w:val="24"/>
          <w:lang w:eastAsia="lt-LT"/>
        </w:rPr>
        <w:t xml:space="preserve">Šiuolaikinių kompetencijų ugdymas vykdomas per aktyvią projektinę veiklą. Gabūs ir talentingi vaikai atstovavo mokyklai-darželiui vietiniu ir nacionaliniu lygiu. </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Įgyvendinti 3 vietiniai, 1 šalies ir dalyvaujama 2 tarptautiniuose projektuose. Mokytojai reflektuoja savo veiklą, stebėdami ir aptardami kolegų pamokas pagal modelį „Kolega – kolegai“. </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Klasėse įrengti </w:t>
      </w:r>
      <w:r w:rsidRPr="00C234B8">
        <w:rPr>
          <w:sz w:val="24"/>
          <w:szCs w:val="24"/>
          <w:lang w:val="en-US" w:eastAsia="lt-LT"/>
        </w:rPr>
        <w:t xml:space="preserve">2 </w:t>
      </w:r>
      <w:r w:rsidRPr="00C234B8">
        <w:rPr>
          <w:sz w:val="24"/>
          <w:szCs w:val="24"/>
          <w:lang w:eastAsia="lt-LT"/>
        </w:rPr>
        <w:t xml:space="preserve">interaktyvūs ekranai, organizuoti mokymai, įrengtas naujas lauko žaidimų įrenginys, išmontuota sena žaidimų įranga, atnaujinta higienos reikalavimus atitinkanti, teritoriją juosianti </w:t>
      </w:r>
      <w:r w:rsidRPr="00C234B8">
        <w:rPr>
          <w:sz w:val="24"/>
          <w:szCs w:val="24"/>
          <w:lang w:val="en-US" w:eastAsia="lt-LT"/>
        </w:rPr>
        <w:t>1 500 mm au</w:t>
      </w:r>
      <w:proofErr w:type="spellStart"/>
      <w:r w:rsidRPr="00C234B8">
        <w:rPr>
          <w:sz w:val="24"/>
          <w:szCs w:val="24"/>
          <w:lang w:eastAsia="lt-LT"/>
        </w:rPr>
        <w:t>kščio</w:t>
      </w:r>
      <w:proofErr w:type="spellEnd"/>
      <w:r w:rsidRPr="00C234B8">
        <w:rPr>
          <w:sz w:val="24"/>
          <w:szCs w:val="24"/>
          <w:lang w:eastAsia="lt-LT"/>
        </w:rPr>
        <w:t xml:space="preserve"> tvora. </w:t>
      </w:r>
    </w:p>
    <w:p w:rsidR="00C234B8" w:rsidRPr="00C234B8" w:rsidRDefault="00C234B8" w:rsidP="00C234B8">
      <w:pPr>
        <w:pStyle w:val="Betarp"/>
        <w:ind w:firstLine="1296"/>
        <w:jc w:val="both"/>
        <w:rPr>
          <w:sz w:val="24"/>
          <w:szCs w:val="24"/>
          <w:lang w:eastAsia="lt-LT"/>
        </w:rPr>
      </w:pPr>
      <w:r w:rsidRPr="00C234B8">
        <w:rPr>
          <w:sz w:val="24"/>
          <w:szCs w:val="24"/>
          <w:shd w:val="clear" w:color="auto" w:fill="FFFFFF"/>
          <w:lang w:eastAsia="lt-LT"/>
        </w:rPr>
        <w:t>1.5. Veiklos kokybės įsivertinimas.</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Stiprieji veiklos aspektai. Mokyklos </w:t>
      </w:r>
      <w:proofErr w:type="spellStart"/>
      <w:r w:rsidRPr="00C234B8">
        <w:rPr>
          <w:sz w:val="24"/>
          <w:szCs w:val="24"/>
          <w:lang w:eastAsia="lt-LT"/>
        </w:rPr>
        <w:t>tinklaveika</w:t>
      </w:r>
      <w:proofErr w:type="spellEnd"/>
      <w:r w:rsidRPr="00C234B8">
        <w:rPr>
          <w:sz w:val="24"/>
          <w:szCs w:val="24"/>
          <w:lang w:eastAsia="lt-LT"/>
        </w:rPr>
        <w:t xml:space="preserve"> yra efektyvi. Mokykla atvira pasauliui, mezga socialinius ryšius. Vykdant projektus, sudarytos sutartys su Lietuvos mokinių neformaliojo švietimo centru, Vieto</w:t>
      </w:r>
      <w:r>
        <w:rPr>
          <w:sz w:val="24"/>
          <w:szCs w:val="24"/>
          <w:lang w:eastAsia="lt-LT"/>
        </w:rPr>
        <w:t>s veiklos grupe, VšĮ „American E</w:t>
      </w:r>
      <w:r w:rsidRPr="00C234B8">
        <w:rPr>
          <w:sz w:val="24"/>
          <w:szCs w:val="24"/>
          <w:lang w:eastAsia="lt-LT"/>
        </w:rPr>
        <w:t xml:space="preserve">nglish </w:t>
      </w:r>
      <w:proofErr w:type="spellStart"/>
      <w:r w:rsidRPr="00C234B8">
        <w:rPr>
          <w:sz w:val="24"/>
          <w:szCs w:val="24"/>
          <w:lang w:eastAsia="lt-LT"/>
        </w:rPr>
        <w:t>School</w:t>
      </w:r>
      <w:proofErr w:type="spellEnd"/>
      <w:r w:rsidRPr="00C234B8">
        <w:rPr>
          <w:sz w:val="24"/>
          <w:szCs w:val="24"/>
          <w:lang w:eastAsia="lt-LT"/>
        </w:rPr>
        <w:t xml:space="preserve">“, Specialiosios pedagogikos ir psichologijos centru, Upytės Antano Belazaro pagrindine mokykla, atnaujintos sutartys su Panevėžio rajono švietimo centru ir Visuomenės sveikatos biuru, vietos kaimo bendruomene ir kt. Mokyklos </w:t>
      </w:r>
      <w:proofErr w:type="spellStart"/>
      <w:r w:rsidRPr="00C234B8">
        <w:rPr>
          <w:sz w:val="24"/>
          <w:szCs w:val="24"/>
          <w:lang w:eastAsia="lt-LT"/>
        </w:rPr>
        <w:t>tinklaveika</w:t>
      </w:r>
      <w:proofErr w:type="spellEnd"/>
      <w:r w:rsidRPr="00C234B8">
        <w:rPr>
          <w:sz w:val="24"/>
          <w:szCs w:val="24"/>
          <w:lang w:eastAsia="lt-LT"/>
        </w:rPr>
        <w:t xml:space="preserve"> yra prasminga ir padeda kompleksiškai siekti užsibrėžtų tikslų. Jos rezultatu tapo vykdomas projektas „Neformaliojo vaikų švietimo plėtra“, suteikta darbo vieta psichologui ir įgyvendinamas projektas „Saugios aplinkos mokykloje kūrimas II“, teikiamas neformalusis vaikų švietimas, stiprinantiems ankstyvosios užsienio kalbos kompetencijas, organizuota šalies metodinė-praktinė mokytojų konferencija, suteikiamos patalpos kaimo bendruomenės sporto treniruotėms, vykdomas vaikų gyvenimo įgūdžių mokymas, pasitelkus tarptautinės organizacijos „</w:t>
      </w:r>
      <w:proofErr w:type="spellStart"/>
      <w:r w:rsidRPr="00C234B8">
        <w:rPr>
          <w:sz w:val="24"/>
          <w:szCs w:val="24"/>
          <w:lang w:eastAsia="lt-LT"/>
        </w:rPr>
        <w:t>Snowball</w:t>
      </w:r>
      <w:proofErr w:type="spellEnd"/>
      <w:r w:rsidRPr="00C234B8">
        <w:rPr>
          <w:sz w:val="24"/>
          <w:szCs w:val="24"/>
          <w:lang w:eastAsia="lt-LT"/>
        </w:rPr>
        <w:t xml:space="preserve">“ (Sniego gniūžtė) konsultantą iš JAV </w:t>
      </w:r>
      <w:proofErr w:type="spellStart"/>
      <w:r w:rsidRPr="00C234B8">
        <w:rPr>
          <w:sz w:val="24"/>
          <w:szCs w:val="24"/>
          <w:lang w:eastAsia="lt-LT"/>
        </w:rPr>
        <w:t>Jack</w:t>
      </w:r>
      <w:proofErr w:type="spellEnd"/>
      <w:r w:rsidRPr="00C234B8">
        <w:rPr>
          <w:sz w:val="24"/>
          <w:szCs w:val="24"/>
          <w:lang w:eastAsia="lt-LT"/>
        </w:rPr>
        <w:t xml:space="preserve"> </w:t>
      </w:r>
      <w:proofErr w:type="spellStart"/>
      <w:r w:rsidRPr="00C234B8">
        <w:rPr>
          <w:sz w:val="24"/>
          <w:szCs w:val="24"/>
          <w:lang w:eastAsia="lt-LT"/>
        </w:rPr>
        <w:t>Irwin</w:t>
      </w:r>
      <w:proofErr w:type="spellEnd"/>
      <w:r w:rsidRPr="00C234B8">
        <w:rPr>
          <w:sz w:val="24"/>
          <w:szCs w:val="24"/>
          <w:lang w:eastAsia="lt-LT"/>
        </w:rPr>
        <w:t xml:space="preserve">. </w:t>
      </w:r>
    </w:p>
    <w:p w:rsidR="00C234B8" w:rsidRPr="00C234B8" w:rsidRDefault="00C234B8" w:rsidP="00C234B8">
      <w:pPr>
        <w:pStyle w:val="Betarp"/>
        <w:ind w:firstLine="1296"/>
        <w:jc w:val="both"/>
        <w:rPr>
          <w:sz w:val="24"/>
          <w:szCs w:val="24"/>
          <w:lang w:eastAsia="lt-LT"/>
        </w:rPr>
      </w:pPr>
      <w:r w:rsidRPr="00C234B8">
        <w:rPr>
          <w:sz w:val="24"/>
          <w:szCs w:val="24"/>
          <w:lang w:eastAsia="lt-LT"/>
        </w:rPr>
        <w:t>Stiprus yra mokymasis ir veikimas komandomis ir tai atsispindi bendradarbiavimo kultūroje. Bendru darbu paremtas yra pirmą kartą mokyklos-darželio veiklos istorijoje finansavimą iš Europos Komisijos gavęs mokytojų kvalifikacijos tobulinimui skirtas projektas pagal „Erasmus+“ programą. Periodiškai organ</w:t>
      </w:r>
      <w:r w:rsidR="00040E0A">
        <w:rPr>
          <w:sz w:val="24"/>
          <w:szCs w:val="24"/>
          <w:lang w:eastAsia="lt-LT"/>
        </w:rPr>
        <w:t>iz</w:t>
      </w:r>
      <w:r w:rsidRPr="00C234B8">
        <w:rPr>
          <w:sz w:val="24"/>
          <w:szCs w:val="24"/>
          <w:lang w:eastAsia="lt-LT"/>
        </w:rPr>
        <w:t xml:space="preserve">uojamos mokytojų mokymosi išvykos, skirtos akiračiui plėsti ir ugdymo turiniui aktualizuoti. </w:t>
      </w:r>
    </w:p>
    <w:p w:rsidR="00C234B8" w:rsidRDefault="00C234B8" w:rsidP="00C234B8">
      <w:pPr>
        <w:pStyle w:val="Betarp"/>
        <w:ind w:firstLine="1296"/>
        <w:jc w:val="both"/>
        <w:rPr>
          <w:sz w:val="24"/>
          <w:szCs w:val="24"/>
          <w:lang w:eastAsia="lt-LT"/>
        </w:rPr>
      </w:pPr>
      <w:r w:rsidRPr="00C234B8">
        <w:rPr>
          <w:sz w:val="24"/>
          <w:szCs w:val="24"/>
          <w:shd w:val="clear" w:color="auto" w:fill="FFFFFF"/>
          <w:lang w:eastAsia="lt-LT"/>
        </w:rPr>
        <w:t>S</w:t>
      </w:r>
      <w:r w:rsidRPr="00C234B8">
        <w:rPr>
          <w:sz w:val="24"/>
          <w:szCs w:val="24"/>
          <w:lang w:eastAsia="lt-LT"/>
        </w:rPr>
        <w:t xml:space="preserve">ilpnieji veiklos aspektai: ugdymo turinio aktualizavimas, individualių gebėjimų, partnerystės tarp skirtingų gebėjimų mokinių stiprinimas. </w:t>
      </w:r>
    </w:p>
    <w:p w:rsidR="00C234B8" w:rsidRPr="00C234B8" w:rsidRDefault="00C234B8" w:rsidP="00C234B8">
      <w:pPr>
        <w:pStyle w:val="Betarp"/>
        <w:jc w:val="center"/>
        <w:rPr>
          <w:sz w:val="24"/>
          <w:szCs w:val="24"/>
          <w:lang w:eastAsia="lt-LT"/>
        </w:rPr>
      </w:pPr>
      <w:r w:rsidRPr="00C234B8">
        <w:rPr>
          <w:b/>
          <w:sz w:val="24"/>
          <w:szCs w:val="24"/>
          <w:lang w:eastAsia="lt-LT"/>
        </w:rPr>
        <w:t>II. MOKINIAI</w:t>
      </w:r>
      <w:r>
        <w:rPr>
          <w:b/>
          <w:sz w:val="24"/>
          <w:szCs w:val="24"/>
          <w:lang w:eastAsia="lt-LT"/>
        </w:rPr>
        <w:t xml:space="preserve"> (VAIKAI)</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2.1. Mokinių </w:t>
      </w:r>
      <w:r>
        <w:rPr>
          <w:sz w:val="24"/>
          <w:szCs w:val="24"/>
          <w:lang w:eastAsia="lt-LT"/>
        </w:rPr>
        <w:t xml:space="preserve">(vaikų) </w:t>
      </w:r>
      <w:r w:rsidRPr="00C234B8">
        <w:rPr>
          <w:sz w:val="24"/>
          <w:szCs w:val="24"/>
          <w:lang w:eastAsia="lt-LT"/>
        </w:rPr>
        <w:t xml:space="preserve">skaičius: </w:t>
      </w:r>
    </w:p>
    <w:tbl>
      <w:tblPr>
        <w:tblW w:w="92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647"/>
        <w:gridCol w:w="2134"/>
        <w:gridCol w:w="600"/>
        <w:gridCol w:w="653"/>
        <w:gridCol w:w="688"/>
        <w:gridCol w:w="759"/>
        <w:gridCol w:w="759"/>
        <w:gridCol w:w="2030"/>
      </w:tblGrid>
      <w:tr w:rsidR="00C234B8" w:rsidRPr="00C234B8" w:rsidTr="00C234B8">
        <w:trPr>
          <w:tblCellSpacing w:w="0" w:type="dxa"/>
        </w:trPr>
        <w:tc>
          <w:tcPr>
            <w:tcW w:w="127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lastRenderedPageBreak/>
              <w:t>Praėjusieji ir ataskaitiniai metai</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Ikimokyklinio / priešmokyklinio ugdymo grupės vaikai</w:t>
            </w:r>
          </w:p>
        </w:tc>
        <w:tc>
          <w:tcPr>
            <w:tcW w:w="5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1–4 kl.</w:t>
            </w:r>
          </w:p>
        </w:tc>
        <w:tc>
          <w:tcPr>
            <w:tcW w:w="55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5–8 kl.</w:t>
            </w:r>
          </w:p>
        </w:tc>
        <w:tc>
          <w:tcPr>
            <w:tcW w:w="58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9–10 kl.</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11–12 kl.</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Iš viso</w:t>
            </w:r>
          </w:p>
        </w:tc>
        <w:tc>
          <w:tcPr>
            <w:tcW w:w="17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Iš jų specialiųjų ugdymosi poreikių turintys mokiniai</w:t>
            </w:r>
          </w:p>
        </w:tc>
      </w:tr>
      <w:tr w:rsidR="00C234B8" w:rsidRPr="00C234B8" w:rsidTr="00C234B8">
        <w:trPr>
          <w:tblCellSpacing w:w="0" w:type="dxa"/>
        </w:trPr>
        <w:tc>
          <w:tcPr>
            <w:tcW w:w="127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2016-09-01</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52</w:t>
            </w:r>
          </w:p>
        </w:tc>
        <w:tc>
          <w:tcPr>
            <w:tcW w:w="5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49</w:t>
            </w:r>
          </w:p>
        </w:tc>
        <w:tc>
          <w:tcPr>
            <w:tcW w:w="55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8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101</w:t>
            </w:r>
          </w:p>
        </w:tc>
        <w:tc>
          <w:tcPr>
            <w:tcW w:w="17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36</w:t>
            </w:r>
          </w:p>
        </w:tc>
      </w:tr>
      <w:tr w:rsidR="00C234B8" w:rsidRPr="00C234B8" w:rsidTr="00C234B8">
        <w:trPr>
          <w:tblCellSpacing w:w="0" w:type="dxa"/>
        </w:trPr>
        <w:tc>
          <w:tcPr>
            <w:tcW w:w="127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2017-09-01</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46</w:t>
            </w:r>
          </w:p>
        </w:tc>
        <w:tc>
          <w:tcPr>
            <w:tcW w:w="5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57</w:t>
            </w:r>
          </w:p>
        </w:tc>
        <w:tc>
          <w:tcPr>
            <w:tcW w:w="55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8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103</w:t>
            </w:r>
          </w:p>
        </w:tc>
        <w:tc>
          <w:tcPr>
            <w:tcW w:w="17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39</w:t>
            </w:r>
          </w:p>
        </w:tc>
      </w:tr>
      <w:tr w:rsidR="00C234B8" w:rsidRPr="00C234B8" w:rsidTr="00C234B8">
        <w:trPr>
          <w:tblCellSpacing w:w="0" w:type="dxa"/>
        </w:trPr>
        <w:tc>
          <w:tcPr>
            <w:tcW w:w="127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2018-09-01</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50</w:t>
            </w:r>
          </w:p>
        </w:tc>
        <w:tc>
          <w:tcPr>
            <w:tcW w:w="5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57</w:t>
            </w:r>
          </w:p>
        </w:tc>
        <w:tc>
          <w:tcPr>
            <w:tcW w:w="55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8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107</w:t>
            </w:r>
          </w:p>
        </w:tc>
        <w:tc>
          <w:tcPr>
            <w:tcW w:w="17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 xml:space="preserve">2.2. Mokinių </w:t>
      </w:r>
      <w:r>
        <w:rPr>
          <w:sz w:val="24"/>
          <w:szCs w:val="24"/>
          <w:lang w:eastAsia="lt-LT"/>
        </w:rPr>
        <w:t xml:space="preserve">(vaikų) </w:t>
      </w:r>
      <w:r w:rsidRPr="00C234B8">
        <w:rPr>
          <w:sz w:val="24"/>
          <w:szCs w:val="24"/>
          <w:lang w:eastAsia="lt-LT"/>
        </w:rPr>
        <w:t>lankomumas:</w:t>
      </w:r>
    </w:p>
    <w:tbl>
      <w:tblPr>
        <w:tblW w:w="96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07"/>
        <w:gridCol w:w="867"/>
        <w:gridCol w:w="799"/>
        <w:gridCol w:w="507"/>
        <w:gridCol w:w="507"/>
        <w:gridCol w:w="1505"/>
        <w:gridCol w:w="867"/>
        <w:gridCol w:w="765"/>
        <w:gridCol w:w="851"/>
        <w:gridCol w:w="709"/>
        <w:gridCol w:w="1161"/>
      </w:tblGrid>
      <w:tr w:rsidR="00C234B8" w:rsidRPr="00C234B8" w:rsidTr="00C234B8">
        <w:trPr>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Mokslo metai</w:t>
            </w:r>
          </w:p>
        </w:tc>
        <w:tc>
          <w:tcPr>
            <w:tcW w:w="4185" w:type="dxa"/>
            <w:gridSpan w:val="5"/>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Vidutiniškai 1 mokinys per mokslo metus praleido iš viso pamokų</w:t>
            </w:r>
          </w:p>
        </w:tc>
        <w:tc>
          <w:tcPr>
            <w:tcW w:w="4353" w:type="dxa"/>
            <w:gridSpan w:val="5"/>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Vidutiniškai 1 mokinys per mokslo metus praleido pamokų dėl nepateisinamų priežasčių</w:t>
            </w:r>
          </w:p>
        </w:tc>
      </w:tr>
      <w:tr w:rsidR="00C234B8" w:rsidRPr="00C234B8" w:rsidTr="00C234B8">
        <w:trPr>
          <w:trHeight w:val="405"/>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roofErr w:type="spellStart"/>
            <w:r w:rsidRPr="00C234B8">
              <w:rPr>
                <w:sz w:val="24"/>
                <w:szCs w:val="24"/>
                <w:lang w:eastAsia="lt-LT"/>
              </w:rPr>
              <w:t>Vidut</w:t>
            </w:r>
            <w:proofErr w:type="spellEnd"/>
            <w:r w:rsidRPr="00C234B8">
              <w:rPr>
                <w:sz w:val="24"/>
                <w:szCs w:val="24"/>
                <w:lang w:eastAsia="lt-LT"/>
              </w:rPr>
              <w:t>.</w:t>
            </w:r>
          </w:p>
        </w:tc>
        <w:tc>
          <w:tcPr>
            <w:tcW w:w="79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1–4 kl. </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5–8 kl. </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9–10 kl.</w:t>
            </w:r>
          </w:p>
        </w:tc>
        <w:tc>
          <w:tcPr>
            <w:tcW w:w="15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11–12 kl. </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roofErr w:type="spellStart"/>
            <w:r w:rsidRPr="00C234B8">
              <w:rPr>
                <w:sz w:val="24"/>
                <w:szCs w:val="24"/>
                <w:lang w:eastAsia="lt-LT"/>
              </w:rPr>
              <w:t>Vidut</w:t>
            </w:r>
            <w:proofErr w:type="spellEnd"/>
            <w:r w:rsidRPr="00C234B8">
              <w:rPr>
                <w:sz w:val="24"/>
                <w:szCs w:val="24"/>
                <w:lang w:eastAsia="lt-LT"/>
              </w:rPr>
              <w:t>.</w:t>
            </w:r>
          </w:p>
        </w:tc>
        <w:tc>
          <w:tcPr>
            <w:tcW w:w="76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1–4 kl. </w:t>
            </w:r>
          </w:p>
        </w:tc>
        <w:tc>
          <w:tcPr>
            <w:tcW w:w="85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5–8 kl. </w:t>
            </w:r>
          </w:p>
        </w:tc>
        <w:tc>
          <w:tcPr>
            <w:tcW w:w="70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9–10 kl.</w:t>
            </w:r>
          </w:p>
        </w:tc>
        <w:tc>
          <w:tcPr>
            <w:tcW w:w="116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11–12 kl. </w:t>
            </w:r>
          </w:p>
        </w:tc>
      </w:tr>
      <w:tr w:rsidR="00C234B8" w:rsidRPr="00C234B8" w:rsidTr="00C234B8">
        <w:trPr>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2015–2016</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35,11</w:t>
            </w:r>
          </w:p>
        </w:tc>
        <w:tc>
          <w:tcPr>
            <w:tcW w:w="79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35,11</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5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0,26</w:t>
            </w:r>
          </w:p>
        </w:tc>
        <w:tc>
          <w:tcPr>
            <w:tcW w:w="76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0,26</w:t>
            </w:r>
          </w:p>
        </w:tc>
        <w:tc>
          <w:tcPr>
            <w:tcW w:w="85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70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16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r>
      <w:tr w:rsidR="00C234B8" w:rsidRPr="00C234B8" w:rsidTr="00C234B8">
        <w:trPr>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2016–2017</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34,20</w:t>
            </w:r>
          </w:p>
        </w:tc>
        <w:tc>
          <w:tcPr>
            <w:tcW w:w="79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34,20</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5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0,26</w:t>
            </w:r>
          </w:p>
        </w:tc>
        <w:tc>
          <w:tcPr>
            <w:tcW w:w="76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0,26</w:t>
            </w:r>
          </w:p>
        </w:tc>
        <w:tc>
          <w:tcPr>
            <w:tcW w:w="85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70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16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r>
      <w:tr w:rsidR="00C234B8" w:rsidRPr="00C234B8" w:rsidTr="00C234B8">
        <w:trPr>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val="en-US" w:eastAsia="lt-LT"/>
              </w:rPr>
            </w:pPr>
            <w:r w:rsidRPr="00C234B8">
              <w:rPr>
                <w:sz w:val="24"/>
                <w:szCs w:val="24"/>
                <w:lang w:val="en-US" w:eastAsia="lt-LT"/>
              </w:rPr>
              <w:t>2017-2018</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35,54</w:t>
            </w:r>
          </w:p>
        </w:tc>
        <w:tc>
          <w:tcPr>
            <w:tcW w:w="79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35,54</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5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0,43</w:t>
            </w:r>
          </w:p>
        </w:tc>
        <w:tc>
          <w:tcPr>
            <w:tcW w:w="76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0,43</w:t>
            </w:r>
          </w:p>
        </w:tc>
        <w:tc>
          <w:tcPr>
            <w:tcW w:w="85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70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16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r>
    </w:tbl>
    <w:p w:rsidR="00C234B8" w:rsidRPr="00C234B8" w:rsidRDefault="00C234B8" w:rsidP="00C234B8">
      <w:pPr>
        <w:pStyle w:val="Betarp"/>
        <w:ind w:firstLine="1296"/>
        <w:jc w:val="both"/>
        <w:rPr>
          <w:sz w:val="24"/>
          <w:szCs w:val="24"/>
          <w:lang w:eastAsia="lt-LT"/>
        </w:rPr>
      </w:pPr>
      <w:r w:rsidRPr="00C234B8">
        <w:rPr>
          <w:sz w:val="24"/>
          <w:szCs w:val="24"/>
          <w:lang w:eastAsia="lt-LT"/>
        </w:rPr>
        <w:t>2.3. Šeimos:</w:t>
      </w:r>
    </w:p>
    <w:tbl>
      <w:tblPr>
        <w:tblW w:w="951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191"/>
        <w:gridCol w:w="2821"/>
        <w:gridCol w:w="2498"/>
      </w:tblGrid>
      <w:tr w:rsidR="00C234B8" w:rsidRPr="00C234B8" w:rsidTr="00C234B8">
        <w:trPr>
          <w:tblCellSpacing w:w="0" w:type="dxa"/>
        </w:trPr>
        <w:tc>
          <w:tcPr>
            <w:tcW w:w="3900"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Šeimos</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rPr>
                <w:sz w:val="24"/>
                <w:szCs w:val="24"/>
                <w:lang w:eastAsia="lt-LT"/>
              </w:rPr>
            </w:pPr>
            <w:r w:rsidRPr="00C234B8">
              <w:rPr>
                <w:sz w:val="24"/>
                <w:szCs w:val="24"/>
                <w:lang w:eastAsia="lt-LT"/>
              </w:rPr>
              <w:t>Mokinių, gyvenančių šeimose, skaičius</w:t>
            </w:r>
          </w:p>
        </w:tc>
        <w:tc>
          <w:tcPr>
            <w:tcW w:w="23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Proc. nuo mokinių skaičiaus</w:t>
            </w:r>
          </w:p>
        </w:tc>
      </w:tr>
      <w:tr w:rsidR="00C234B8" w:rsidRPr="00C234B8" w:rsidTr="00C234B8">
        <w:trPr>
          <w:tblCellSpacing w:w="0" w:type="dxa"/>
        </w:trPr>
        <w:tc>
          <w:tcPr>
            <w:tcW w:w="3900"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Socialiai remtinos šeimos</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iCs/>
                <w:sz w:val="24"/>
                <w:szCs w:val="24"/>
                <w:lang w:eastAsia="lt-LT"/>
              </w:rPr>
              <w:t>6</w:t>
            </w:r>
          </w:p>
        </w:tc>
        <w:tc>
          <w:tcPr>
            <w:tcW w:w="23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6</w:t>
            </w:r>
          </w:p>
        </w:tc>
      </w:tr>
      <w:tr w:rsidR="00C234B8" w:rsidRPr="00C234B8" w:rsidTr="00C234B8">
        <w:trPr>
          <w:tblCellSpacing w:w="0" w:type="dxa"/>
        </w:trPr>
        <w:tc>
          <w:tcPr>
            <w:tcW w:w="3900"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Socialiai pažeidžiamos šeimos</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1</w:t>
            </w:r>
          </w:p>
        </w:tc>
        <w:tc>
          <w:tcPr>
            <w:tcW w:w="23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2.4. Mokiniai, palikti kartoti ugdymo programos kursą:</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21"/>
        <w:gridCol w:w="4914"/>
      </w:tblGrid>
      <w:tr w:rsidR="00C234B8" w:rsidRPr="00C234B8" w:rsidTr="00C234B8">
        <w:trPr>
          <w:tblCellSpacing w:w="0" w:type="dxa"/>
        </w:trPr>
        <w:tc>
          <w:tcPr>
            <w:tcW w:w="43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Skaičius</w:t>
            </w:r>
          </w:p>
        </w:tc>
        <w:tc>
          <w:tcPr>
            <w:tcW w:w="468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Proc. nuo mokinių skaičiaus</w:t>
            </w:r>
          </w:p>
        </w:tc>
      </w:tr>
      <w:tr w:rsidR="00C234B8" w:rsidRPr="00C234B8" w:rsidTr="00C234B8">
        <w:trPr>
          <w:tblCellSpacing w:w="0" w:type="dxa"/>
        </w:trPr>
        <w:tc>
          <w:tcPr>
            <w:tcW w:w="43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468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2.5. Mokiniai</w:t>
      </w:r>
      <w:r>
        <w:rPr>
          <w:sz w:val="24"/>
          <w:szCs w:val="24"/>
          <w:lang w:eastAsia="lt-LT"/>
        </w:rPr>
        <w:t xml:space="preserve"> (vaikai)</w:t>
      </w:r>
      <w:r w:rsidRPr="00C234B8">
        <w:rPr>
          <w:sz w:val="24"/>
          <w:szCs w:val="24"/>
          <w:lang w:eastAsia="lt-LT"/>
        </w:rPr>
        <w:t>, gaunantieji nemokamą maitinimą:</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21"/>
        <w:gridCol w:w="4914"/>
      </w:tblGrid>
      <w:tr w:rsidR="00C234B8" w:rsidRPr="00C234B8" w:rsidTr="00C234B8">
        <w:trPr>
          <w:tblCellSpacing w:w="0" w:type="dxa"/>
        </w:trPr>
        <w:tc>
          <w:tcPr>
            <w:tcW w:w="43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Mokinių skaičius</w:t>
            </w:r>
          </w:p>
        </w:tc>
        <w:tc>
          <w:tcPr>
            <w:tcW w:w="468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Proc. nuo mokinių skaičiaus</w:t>
            </w:r>
          </w:p>
        </w:tc>
      </w:tr>
      <w:tr w:rsidR="00C234B8" w:rsidRPr="00C234B8" w:rsidTr="00C234B8">
        <w:trPr>
          <w:tblCellSpacing w:w="0" w:type="dxa"/>
        </w:trPr>
        <w:tc>
          <w:tcPr>
            <w:tcW w:w="43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val="en-US" w:eastAsia="lt-LT"/>
              </w:rPr>
            </w:pPr>
            <w:r w:rsidRPr="00C234B8">
              <w:rPr>
                <w:sz w:val="24"/>
                <w:szCs w:val="24"/>
                <w:lang w:val="en-US" w:eastAsia="lt-LT"/>
              </w:rPr>
              <w:t>6</w:t>
            </w:r>
          </w:p>
        </w:tc>
        <w:tc>
          <w:tcPr>
            <w:tcW w:w="468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6</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2.6. Neformalusis vaikų švietimas:</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35"/>
        <w:gridCol w:w="3161"/>
        <w:gridCol w:w="3339"/>
      </w:tblGrid>
      <w:tr w:rsidR="00C234B8" w:rsidRPr="00C234B8" w:rsidTr="00C234B8">
        <w:trPr>
          <w:tblCellSpacing w:w="0" w:type="dxa"/>
        </w:trPr>
        <w:tc>
          <w:tcPr>
            <w:tcW w:w="273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Lankančiųjų mokinių skaičius</w:t>
            </w:r>
          </w:p>
        </w:tc>
        <w:tc>
          <w:tcPr>
            <w:tcW w:w="294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Mokykloje proc. nuo mokinių skaičiaus</w:t>
            </w:r>
          </w:p>
        </w:tc>
        <w:tc>
          <w:tcPr>
            <w:tcW w:w="31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Už mokyklos ribų proc. nuo mokinių skaičiaus</w:t>
            </w:r>
          </w:p>
        </w:tc>
      </w:tr>
      <w:tr w:rsidR="00C234B8" w:rsidRPr="00C234B8" w:rsidTr="00C234B8">
        <w:trPr>
          <w:tblCellSpacing w:w="0" w:type="dxa"/>
        </w:trPr>
        <w:tc>
          <w:tcPr>
            <w:tcW w:w="273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lastRenderedPageBreak/>
              <w:t>53</w:t>
            </w:r>
          </w:p>
        </w:tc>
        <w:tc>
          <w:tcPr>
            <w:tcW w:w="294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93 proc.</w:t>
            </w:r>
          </w:p>
        </w:tc>
        <w:tc>
          <w:tcPr>
            <w:tcW w:w="31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49 proc. (22 mok.)</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2.7. Olimpiados, konkursai ir kiti renginiai:</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251"/>
        <w:gridCol w:w="1129"/>
        <w:gridCol w:w="1251"/>
        <w:gridCol w:w="1129"/>
        <w:gridCol w:w="1251"/>
        <w:gridCol w:w="1129"/>
        <w:gridCol w:w="1251"/>
        <w:gridCol w:w="1129"/>
      </w:tblGrid>
      <w:tr w:rsidR="00C234B8" w:rsidRPr="00C234B8" w:rsidTr="00C234B8">
        <w:trPr>
          <w:tblCellSpacing w:w="0" w:type="dxa"/>
        </w:trPr>
        <w:tc>
          <w:tcPr>
            <w:tcW w:w="2055" w:type="dxa"/>
            <w:gridSpan w:val="2"/>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Rajono</w:t>
            </w:r>
          </w:p>
        </w:tc>
        <w:tc>
          <w:tcPr>
            <w:tcW w:w="2115" w:type="dxa"/>
            <w:gridSpan w:val="2"/>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Regiono</w:t>
            </w:r>
          </w:p>
        </w:tc>
        <w:tc>
          <w:tcPr>
            <w:tcW w:w="2115" w:type="dxa"/>
            <w:gridSpan w:val="2"/>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Šalies</w:t>
            </w:r>
          </w:p>
        </w:tc>
        <w:tc>
          <w:tcPr>
            <w:tcW w:w="2280" w:type="dxa"/>
            <w:gridSpan w:val="2"/>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Tarptautiniai</w:t>
            </w:r>
          </w:p>
        </w:tc>
      </w:tr>
      <w:tr w:rsidR="00C234B8" w:rsidRPr="00C234B8" w:rsidTr="00C234B8">
        <w:trPr>
          <w:tblCellSpacing w:w="0" w:type="dxa"/>
        </w:trPr>
        <w:tc>
          <w:tcPr>
            <w:tcW w:w="9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Dalyvavusių</w:t>
            </w:r>
          </w:p>
          <w:p w:rsidR="00C234B8" w:rsidRPr="00C234B8" w:rsidRDefault="00C234B8" w:rsidP="00C234B8">
            <w:pPr>
              <w:pStyle w:val="Betarp"/>
              <w:jc w:val="both"/>
              <w:rPr>
                <w:lang w:eastAsia="lt-LT"/>
              </w:rPr>
            </w:pPr>
            <w:r w:rsidRPr="00C234B8">
              <w:rPr>
                <w:lang w:eastAsia="lt-LT"/>
              </w:rPr>
              <w:t>mokinių</w:t>
            </w:r>
          </w:p>
          <w:p w:rsidR="00C234B8" w:rsidRPr="00C234B8" w:rsidRDefault="00C234B8" w:rsidP="00C234B8">
            <w:pPr>
              <w:pStyle w:val="Betarp"/>
              <w:jc w:val="both"/>
              <w:rPr>
                <w:lang w:eastAsia="lt-LT"/>
              </w:rPr>
            </w:pPr>
            <w:r w:rsidRPr="00C234B8">
              <w:rPr>
                <w:lang w:eastAsia="lt-LT"/>
              </w:rPr>
              <w:t>skaičius</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Prizininkų/</w:t>
            </w:r>
          </w:p>
          <w:p w:rsidR="00C234B8" w:rsidRPr="00C234B8" w:rsidRDefault="00C234B8" w:rsidP="00C234B8">
            <w:pPr>
              <w:pStyle w:val="Betarp"/>
              <w:jc w:val="both"/>
              <w:rPr>
                <w:lang w:eastAsia="lt-LT"/>
              </w:rPr>
            </w:pPr>
            <w:r w:rsidRPr="00C234B8">
              <w:rPr>
                <w:lang w:eastAsia="lt-LT"/>
              </w:rPr>
              <w:t>laureatų skaičius</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Dalyvavusių</w:t>
            </w:r>
          </w:p>
          <w:p w:rsidR="00C234B8" w:rsidRPr="00C234B8" w:rsidRDefault="00C234B8" w:rsidP="00C234B8">
            <w:pPr>
              <w:pStyle w:val="Betarp"/>
              <w:jc w:val="both"/>
              <w:rPr>
                <w:lang w:eastAsia="lt-LT"/>
              </w:rPr>
            </w:pPr>
            <w:r w:rsidRPr="00C234B8">
              <w:rPr>
                <w:lang w:eastAsia="lt-LT"/>
              </w:rPr>
              <w:t>mokinių</w:t>
            </w:r>
          </w:p>
          <w:p w:rsidR="00C234B8" w:rsidRPr="00C234B8" w:rsidRDefault="00C234B8" w:rsidP="00C234B8">
            <w:pPr>
              <w:pStyle w:val="Betarp"/>
              <w:jc w:val="both"/>
              <w:rPr>
                <w:lang w:eastAsia="lt-LT"/>
              </w:rPr>
            </w:pPr>
            <w:r w:rsidRPr="00C234B8">
              <w:rPr>
                <w:lang w:eastAsia="lt-LT"/>
              </w:rPr>
              <w:t>skaičius</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Prizininkų/</w:t>
            </w:r>
          </w:p>
          <w:p w:rsidR="00C234B8" w:rsidRPr="00C234B8" w:rsidRDefault="00C234B8" w:rsidP="00C234B8">
            <w:pPr>
              <w:pStyle w:val="Betarp"/>
              <w:jc w:val="both"/>
              <w:rPr>
                <w:lang w:eastAsia="lt-LT"/>
              </w:rPr>
            </w:pPr>
            <w:r w:rsidRPr="00C234B8">
              <w:rPr>
                <w:lang w:eastAsia="lt-LT"/>
              </w:rPr>
              <w:t>laureatų skaičius</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Dalyvavusių</w:t>
            </w:r>
          </w:p>
          <w:p w:rsidR="00C234B8" w:rsidRPr="00C234B8" w:rsidRDefault="00C234B8" w:rsidP="00C234B8">
            <w:pPr>
              <w:pStyle w:val="Betarp"/>
              <w:jc w:val="both"/>
              <w:rPr>
                <w:lang w:eastAsia="lt-LT"/>
              </w:rPr>
            </w:pPr>
            <w:r w:rsidRPr="00C234B8">
              <w:rPr>
                <w:lang w:eastAsia="lt-LT"/>
              </w:rPr>
              <w:t>mokinių</w:t>
            </w:r>
          </w:p>
          <w:p w:rsidR="00C234B8" w:rsidRPr="00C234B8" w:rsidRDefault="00C234B8" w:rsidP="00C234B8">
            <w:pPr>
              <w:pStyle w:val="Betarp"/>
              <w:jc w:val="both"/>
              <w:rPr>
                <w:lang w:eastAsia="lt-LT"/>
              </w:rPr>
            </w:pPr>
            <w:r w:rsidRPr="00C234B8">
              <w:rPr>
                <w:lang w:eastAsia="lt-LT"/>
              </w:rPr>
              <w:t>skaičius</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Prizininkų/</w:t>
            </w:r>
          </w:p>
          <w:p w:rsidR="00C234B8" w:rsidRPr="00C234B8" w:rsidRDefault="00C234B8" w:rsidP="00C234B8">
            <w:pPr>
              <w:pStyle w:val="Betarp"/>
              <w:jc w:val="both"/>
              <w:rPr>
                <w:lang w:eastAsia="lt-LT"/>
              </w:rPr>
            </w:pPr>
            <w:r w:rsidRPr="00C234B8">
              <w:rPr>
                <w:lang w:eastAsia="lt-LT"/>
              </w:rPr>
              <w:t>laureatų skaičius</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Dalyvavusių</w:t>
            </w:r>
          </w:p>
          <w:p w:rsidR="00C234B8" w:rsidRPr="00C234B8" w:rsidRDefault="00C234B8" w:rsidP="00C234B8">
            <w:pPr>
              <w:pStyle w:val="Betarp"/>
              <w:jc w:val="both"/>
              <w:rPr>
                <w:lang w:eastAsia="lt-LT"/>
              </w:rPr>
            </w:pPr>
            <w:r w:rsidRPr="00C234B8">
              <w:rPr>
                <w:lang w:eastAsia="lt-LT"/>
              </w:rPr>
              <w:t>mokinių</w:t>
            </w:r>
          </w:p>
          <w:p w:rsidR="00C234B8" w:rsidRPr="00C234B8" w:rsidRDefault="00C234B8" w:rsidP="00C234B8">
            <w:pPr>
              <w:pStyle w:val="Betarp"/>
              <w:jc w:val="both"/>
              <w:rPr>
                <w:lang w:eastAsia="lt-LT"/>
              </w:rPr>
            </w:pPr>
            <w:r w:rsidRPr="00C234B8">
              <w:rPr>
                <w:lang w:eastAsia="lt-LT"/>
              </w:rPr>
              <w:t>skaičius</w:t>
            </w:r>
          </w:p>
        </w:tc>
        <w:tc>
          <w:tcPr>
            <w:tcW w:w="10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Prizininkų/</w:t>
            </w:r>
          </w:p>
          <w:p w:rsidR="00C234B8" w:rsidRPr="00C234B8" w:rsidRDefault="00C234B8" w:rsidP="00C234B8">
            <w:pPr>
              <w:pStyle w:val="Betarp"/>
              <w:jc w:val="both"/>
              <w:rPr>
                <w:lang w:eastAsia="lt-LT"/>
              </w:rPr>
            </w:pPr>
            <w:r w:rsidRPr="00C234B8">
              <w:rPr>
                <w:lang w:eastAsia="lt-LT"/>
              </w:rPr>
              <w:t>laureatų skaičius</w:t>
            </w:r>
          </w:p>
        </w:tc>
      </w:tr>
      <w:tr w:rsidR="00C234B8" w:rsidRPr="00C234B8" w:rsidTr="00C234B8">
        <w:trPr>
          <w:tblCellSpacing w:w="0" w:type="dxa"/>
        </w:trPr>
        <w:tc>
          <w:tcPr>
            <w:tcW w:w="9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14</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30</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6</w:t>
            </w:r>
          </w:p>
        </w:tc>
        <w:tc>
          <w:tcPr>
            <w:tcW w:w="10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2.8. Projektai:</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684"/>
        <w:gridCol w:w="1485"/>
        <w:gridCol w:w="1485"/>
        <w:gridCol w:w="1781"/>
      </w:tblGrid>
      <w:tr w:rsidR="00C234B8" w:rsidRPr="00C234B8" w:rsidTr="00C234B8">
        <w:trPr>
          <w:tblCellSpacing w:w="0" w:type="dxa"/>
        </w:trPr>
        <w:tc>
          <w:tcPr>
            <w:tcW w:w="42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Rajono</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Šalies</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Tarptautiniai</w:t>
            </w:r>
          </w:p>
        </w:tc>
      </w:tr>
      <w:tr w:rsidR="00C234B8" w:rsidRPr="00C234B8" w:rsidTr="00C234B8">
        <w:trPr>
          <w:tblCellSpacing w:w="0" w:type="dxa"/>
        </w:trPr>
        <w:tc>
          <w:tcPr>
            <w:tcW w:w="42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Vykdytų projektų skaičius</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w:t>
            </w:r>
          </w:p>
        </w:tc>
      </w:tr>
      <w:tr w:rsidR="00C234B8" w:rsidRPr="00C234B8" w:rsidTr="00C234B8">
        <w:trPr>
          <w:tblCellSpacing w:w="0" w:type="dxa"/>
        </w:trPr>
        <w:tc>
          <w:tcPr>
            <w:tcW w:w="42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Dalyvavusių mokinių skaičius</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107</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57</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107</w:t>
            </w:r>
          </w:p>
        </w:tc>
      </w:tr>
      <w:tr w:rsidR="00C234B8" w:rsidRPr="00C234B8" w:rsidTr="00C234B8">
        <w:trPr>
          <w:trHeight w:val="90"/>
          <w:tblCellSpacing w:w="0" w:type="dxa"/>
        </w:trPr>
        <w:tc>
          <w:tcPr>
            <w:tcW w:w="42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Proc. nuo bendro mokinių skaičiaus</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100 proc.</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14 proc.</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100 proc.</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2.9. Mokiniai</w:t>
      </w:r>
      <w:r>
        <w:rPr>
          <w:sz w:val="24"/>
          <w:szCs w:val="24"/>
          <w:lang w:eastAsia="lt-LT"/>
        </w:rPr>
        <w:t xml:space="preserve"> (vaikai)</w:t>
      </w:r>
      <w:r w:rsidRPr="00C234B8">
        <w:rPr>
          <w:sz w:val="24"/>
          <w:szCs w:val="24"/>
          <w:lang w:eastAsia="lt-LT"/>
        </w:rPr>
        <w:t>, turintieji specialiųjų ugdymosi poreikių:</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78"/>
        <w:gridCol w:w="1622"/>
        <w:gridCol w:w="2268"/>
        <w:gridCol w:w="2867"/>
      </w:tblGrid>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Skaičius mokykloje</w:t>
            </w:r>
          </w:p>
        </w:tc>
        <w:tc>
          <w:tcPr>
            <w:tcW w:w="6435" w:type="dxa"/>
            <w:gridSpan w:val="3"/>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Proc. nuo mokinių skaičiaus</w:t>
            </w:r>
          </w:p>
        </w:tc>
      </w:tr>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p w:rsidR="00C234B8" w:rsidRPr="00C234B8" w:rsidRDefault="00C234B8" w:rsidP="00C234B8">
            <w:pPr>
              <w:pStyle w:val="Betarp"/>
              <w:jc w:val="both"/>
              <w:rPr>
                <w:sz w:val="24"/>
                <w:szCs w:val="24"/>
                <w:lang w:eastAsia="lt-LT"/>
              </w:rPr>
            </w:pPr>
          </w:p>
          <w:p w:rsidR="00C234B8" w:rsidRPr="00C234B8" w:rsidRDefault="00C234B8" w:rsidP="00C234B8">
            <w:pPr>
              <w:pStyle w:val="Betarp"/>
              <w:jc w:val="both"/>
              <w:rPr>
                <w:sz w:val="24"/>
                <w:szCs w:val="24"/>
                <w:lang w:eastAsia="lt-LT"/>
              </w:rPr>
            </w:pPr>
            <w:r w:rsidRPr="00C234B8">
              <w:rPr>
                <w:sz w:val="24"/>
                <w:szCs w:val="24"/>
                <w:lang w:eastAsia="lt-LT"/>
              </w:rPr>
              <w:t>46 (2016-09-14)</w:t>
            </w:r>
          </w:p>
          <w:p w:rsidR="00C234B8" w:rsidRPr="00C234B8" w:rsidRDefault="00C234B8" w:rsidP="00C234B8">
            <w:pPr>
              <w:pStyle w:val="Betarp"/>
              <w:jc w:val="both"/>
              <w:rPr>
                <w:sz w:val="24"/>
                <w:szCs w:val="24"/>
                <w:lang w:eastAsia="lt-LT"/>
              </w:rPr>
            </w:pPr>
            <w:r w:rsidRPr="00C234B8">
              <w:rPr>
                <w:sz w:val="24"/>
                <w:szCs w:val="24"/>
                <w:lang w:eastAsia="lt-LT"/>
              </w:rPr>
              <w:t>42 (2017-09-15)</w:t>
            </w:r>
          </w:p>
        </w:tc>
        <w:tc>
          <w:tcPr>
            <w:tcW w:w="15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Didelių poreikių</w:t>
            </w:r>
          </w:p>
        </w:tc>
        <w:tc>
          <w:tcPr>
            <w:tcW w:w="21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Vidutinių poreikių</w:t>
            </w:r>
          </w:p>
        </w:tc>
        <w:tc>
          <w:tcPr>
            <w:tcW w:w="23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Nedidelių poreikių</w:t>
            </w:r>
          </w:p>
        </w:tc>
      </w:tr>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tc>
        <w:tc>
          <w:tcPr>
            <w:tcW w:w="15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w:t>
            </w:r>
          </w:p>
        </w:tc>
        <w:tc>
          <w:tcPr>
            <w:tcW w:w="21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w:t>
            </w:r>
          </w:p>
        </w:tc>
        <w:tc>
          <w:tcPr>
            <w:tcW w:w="23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41</w:t>
            </w:r>
          </w:p>
        </w:tc>
      </w:tr>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tc>
        <w:tc>
          <w:tcPr>
            <w:tcW w:w="15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w:t>
            </w:r>
          </w:p>
        </w:tc>
        <w:tc>
          <w:tcPr>
            <w:tcW w:w="21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w:t>
            </w:r>
          </w:p>
        </w:tc>
        <w:tc>
          <w:tcPr>
            <w:tcW w:w="23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37</w:t>
            </w:r>
          </w:p>
        </w:tc>
      </w:tr>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 (2018-09-15)</w:t>
            </w:r>
          </w:p>
        </w:tc>
        <w:tc>
          <w:tcPr>
            <w:tcW w:w="15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w:t>
            </w:r>
          </w:p>
        </w:tc>
        <w:tc>
          <w:tcPr>
            <w:tcW w:w="21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w:t>
            </w:r>
          </w:p>
        </w:tc>
        <w:tc>
          <w:tcPr>
            <w:tcW w:w="23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27</w:t>
            </w:r>
          </w:p>
        </w:tc>
      </w:tr>
    </w:tbl>
    <w:p w:rsidR="00C234B8" w:rsidRPr="00C234B8" w:rsidRDefault="00C234B8" w:rsidP="00C234B8">
      <w:pPr>
        <w:pStyle w:val="Betarp"/>
        <w:jc w:val="both"/>
        <w:rPr>
          <w:sz w:val="24"/>
          <w:szCs w:val="24"/>
          <w:lang w:eastAsia="lt-LT"/>
        </w:rPr>
      </w:pPr>
    </w:p>
    <w:p w:rsidR="00C234B8" w:rsidRPr="00C234B8" w:rsidRDefault="00C234B8" w:rsidP="00DF54CD">
      <w:pPr>
        <w:pStyle w:val="Betarp"/>
        <w:jc w:val="center"/>
        <w:rPr>
          <w:sz w:val="24"/>
          <w:szCs w:val="24"/>
          <w:lang w:eastAsia="lt-LT"/>
        </w:rPr>
      </w:pPr>
      <w:r w:rsidRPr="00C234B8">
        <w:rPr>
          <w:b/>
          <w:sz w:val="24"/>
          <w:szCs w:val="24"/>
          <w:lang w:eastAsia="lt-LT"/>
        </w:rPr>
        <w:t>III. INFORMACIJA APIE MOKINIŲ VEIKLOS REZULTATUS</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Gabūs ir talentingi mokiniai atstovauja mokyklai. Mokiniai savo patirtį, žinias ir bendrąsias kompetencijas išmėgino tarptautiniame konkurse „Kengūra 2018“: 19 mokinių – matematikos konkurse, 5 mokiniai – lietuvių kalbos ir 2 mokiniai – anglų kalbos konkurse. Didžiuojamės 3 kl. mokiniu Domu, matematikos konkurse surinkus 113,50 taškų iš galimų 200. Lietuvių kalbos „Kengūros“ konkurse daugiausia taškų surinko 3 klasės mokinė Nida </w:t>
      </w:r>
      <w:r>
        <w:rPr>
          <w:sz w:val="24"/>
          <w:szCs w:val="24"/>
          <w:lang w:eastAsia="lt-LT"/>
        </w:rPr>
        <w:br/>
      </w:r>
      <w:r w:rsidRPr="00C234B8">
        <w:rPr>
          <w:sz w:val="24"/>
          <w:szCs w:val="24"/>
          <w:lang w:eastAsia="lt-LT"/>
        </w:rPr>
        <w:t xml:space="preserve">(183,25 taško) ir Domas (162,25 taško). Anglų kalbos konkurse auksinės „Kengūros“ diplomą laimėjo Nida (195,25 taško) ir Tajus (189,50 taškų). </w:t>
      </w:r>
      <w:r w:rsidRPr="00C234B8">
        <w:rPr>
          <w:sz w:val="24"/>
          <w:szCs w:val="24"/>
          <w:shd w:val="clear" w:color="auto" w:fill="FFFFFF"/>
          <w:lang w:eastAsia="lt-LT"/>
        </w:rPr>
        <w:t xml:space="preserve">Mokiniai aktyviai dalyvavo Panevėžio rajono pedagoginės psichologinės tarnybos organizuojamuose konkursuose ir akcijose. Didžiuojamės </w:t>
      </w:r>
      <w:r>
        <w:rPr>
          <w:sz w:val="24"/>
          <w:szCs w:val="24"/>
          <w:shd w:val="clear" w:color="auto" w:fill="FFFFFF"/>
          <w:lang w:eastAsia="lt-LT"/>
        </w:rPr>
        <w:br/>
      </w:r>
      <w:r w:rsidRPr="00C234B8">
        <w:rPr>
          <w:sz w:val="24"/>
          <w:szCs w:val="24"/>
          <w:shd w:val="clear" w:color="auto" w:fill="FFFFFF"/>
          <w:lang w:eastAsia="lt-LT"/>
        </w:rPr>
        <w:t>3–4 klasių mokiniais, kurie tapo rajono konkurso „Dainų dainelė“ ir meninio skaitymo konkurso laureatais.</w:t>
      </w:r>
      <w:r w:rsidRPr="00C234B8">
        <w:rPr>
          <w:color w:val="FF6600"/>
          <w:sz w:val="24"/>
          <w:szCs w:val="24"/>
          <w:shd w:val="clear" w:color="auto" w:fill="FFFFFF"/>
          <w:lang w:eastAsia="lt-LT"/>
        </w:rPr>
        <w:t xml:space="preserve"> </w:t>
      </w:r>
      <w:r w:rsidRPr="00C234B8">
        <w:rPr>
          <w:sz w:val="24"/>
          <w:szCs w:val="24"/>
          <w:lang w:eastAsia="lt-LT"/>
        </w:rPr>
        <w:t>Mokiniai dalyvavo rajono konkurse „Kuriu pasaką“, kvadrato varžybose, ankstyvojo užsienio kalbos mokymosi konkurse EFF ir kt.</w:t>
      </w:r>
    </w:p>
    <w:p w:rsidR="00C234B8" w:rsidRDefault="00C234B8" w:rsidP="00DF54CD">
      <w:pPr>
        <w:pStyle w:val="Betarp"/>
        <w:ind w:firstLine="1296"/>
        <w:jc w:val="both"/>
        <w:rPr>
          <w:sz w:val="24"/>
          <w:szCs w:val="24"/>
          <w:lang w:eastAsia="lt-LT"/>
        </w:rPr>
      </w:pPr>
      <w:r w:rsidRPr="00C234B8">
        <w:rPr>
          <w:sz w:val="24"/>
          <w:szCs w:val="24"/>
          <w:lang w:eastAsia="lt-LT"/>
        </w:rPr>
        <w:t>Siekiant mokinių ne tik gerų ugdymo(</w:t>
      </w:r>
      <w:proofErr w:type="spellStart"/>
      <w:r w:rsidRPr="00C234B8">
        <w:rPr>
          <w:sz w:val="24"/>
          <w:szCs w:val="24"/>
          <w:lang w:eastAsia="lt-LT"/>
        </w:rPr>
        <w:t>si</w:t>
      </w:r>
      <w:proofErr w:type="spellEnd"/>
      <w:r w:rsidRPr="00C234B8">
        <w:rPr>
          <w:sz w:val="24"/>
          <w:szCs w:val="24"/>
          <w:lang w:eastAsia="lt-LT"/>
        </w:rPr>
        <w:t>) rezultatų, bet ir turtingos, prasmingos, malonios gyvenimo mokykloje patirties, įgyvendintas Vaikų vasaros užimtumo ir poilsio programos projektas „Vasaros spalvos“ ir Visuomenės sveikatos programos projektas vaikams „Auk sveikas ir laimingas III“.</w:t>
      </w:r>
    </w:p>
    <w:p w:rsidR="00DF54CD" w:rsidRPr="00C234B8" w:rsidRDefault="00DF54CD" w:rsidP="00DF54CD">
      <w:pPr>
        <w:pStyle w:val="Betarp"/>
        <w:ind w:firstLine="1296"/>
        <w:jc w:val="both"/>
        <w:rPr>
          <w:sz w:val="24"/>
          <w:szCs w:val="24"/>
          <w:lang w:eastAsia="lt-LT"/>
        </w:rPr>
      </w:pPr>
    </w:p>
    <w:p w:rsidR="00C234B8" w:rsidRPr="00C234B8" w:rsidRDefault="00C234B8" w:rsidP="00C234B8">
      <w:pPr>
        <w:pStyle w:val="Betarp"/>
        <w:jc w:val="center"/>
        <w:rPr>
          <w:sz w:val="24"/>
          <w:szCs w:val="24"/>
          <w:lang w:eastAsia="lt-LT"/>
        </w:rPr>
      </w:pPr>
      <w:r w:rsidRPr="00C234B8">
        <w:rPr>
          <w:b/>
          <w:sz w:val="24"/>
          <w:szCs w:val="24"/>
          <w:lang w:eastAsia="lt-LT"/>
        </w:rPr>
        <w:lastRenderedPageBreak/>
        <w:t>IV. PEDAGOGŲ PASIEKIMAI</w:t>
      </w:r>
    </w:p>
    <w:p w:rsidR="00C234B8" w:rsidRPr="00C234B8" w:rsidRDefault="00C234B8" w:rsidP="00C234B8">
      <w:pPr>
        <w:pStyle w:val="Betarp"/>
        <w:jc w:val="both"/>
        <w:rPr>
          <w:sz w:val="24"/>
          <w:szCs w:val="24"/>
          <w:lang w:eastAsia="lt-LT"/>
        </w:rPr>
      </w:pP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Pedagogų kvalifikacijos tobulinimo prioritetai: specialiųjų ugdymosi poreikių turinčių mokinių ugdymo kokybės užtikrinimas; darbas su įvairių gebėjimų mokiniais bendroje grupėje. </w:t>
      </w:r>
    </w:p>
    <w:p w:rsidR="00C234B8" w:rsidRPr="00C234B8" w:rsidRDefault="00C234B8" w:rsidP="00C234B8">
      <w:pPr>
        <w:pStyle w:val="Betarp"/>
        <w:jc w:val="both"/>
        <w:rPr>
          <w:sz w:val="24"/>
          <w:szCs w:val="24"/>
          <w:lang w:eastAsia="lt-LT"/>
        </w:rPr>
      </w:pPr>
      <w:r w:rsidRPr="00C234B8">
        <w:rPr>
          <w:sz w:val="24"/>
          <w:szCs w:val="24"/>
          <w:lang w:eastAsia="lt-LT"/>
        </w:rPr>
        <w:t>Pedagoginės veiklos pasiekimai (mokytojų dalyvavimas šalies ir užsienio projektuose, publikuoti leidiniai, vesti seminarai ir kt.).</w:t>
      </w:r>
    </w:p>
    <w:p w:rsidR="00C234B8" w:rsidRPr="00C234B8" w:rsidRDefault="00C234B8" w:rsidP="00DF54CD">
      <w:pPr>
        <w:pStyle w:val="Betarp"/>
        <w:ind w:firstLine="1296"/>
        <w:jc w:val="both"/>
        <w:rPr>
          <w:sz w:val="24"/>
          <w:szCs w:val="24"/>
          <w:lang w:eastAsia="lt-LT"/>
        </w:rPr>
      </w:pPr>
      <w:r w:rsidRPr="00C234B8">
        <w:rPr>
          <w:sz w:val="24"/>
          <w:szCs w:val="24"/>
          <w:lang w:eastAsia="lt-LT"/>
        </w:rPr>
        <w:t xml:space="preserve">Mokyklos pedagogai organizavo šalies pradinio ugdymo mokytojų praktinę-metodinę konferenciją „Mąstymo kultūros stiprinimas pradinėje mokykloje“; 4 mokyklos-darželio mokytojai dalyvavo tarptautiniuose mokymuose Oksforde, įgyvendinant „Erasmus+“ projektą ,,Kiekvienas vaikas yra svarbus“. Mokytoja S. Petrauskienė skaitė pranešimą „Klasės internetinio puslapio </w:t>
      </w:r>
      <w:proofErr w:type="spellStart"/>
      <w:r w:rsidRPr="00C234B8">
        <w:rPr>
          <w:sz w:val="24"/>
          <w:szCs w:val="24"/>
          <w:lang w:eastAsia="lt-LT"/>
        </w:rPr>
        <w:t>privalumai</w:t>
      </w:r>
      <w:proofErr w:type="spellEnd"/>
      <w:r w:rsidRPr="00C234B8">
        <w:rPr>
          <w:sz w:val="24"/>
          <w:szCs w:val="24"/>
          <w:lang w:eastAsia="lt-LT"/>
        </w:rPr>
        <w:t xml:space="preserve"> “ šalies pradinių k</w:t>
      </w:r>
      <w:r w:rsidR="00DF54CD">
        <w:rPr>
          <w:sz w:val="24"/>
          <w:szCs w:val="24"/>
          <w:lang w:eastAsia="lt-LT"/>
        </w:rPr>
        <w:t xml:space="preserve">lasių mokytojų konferencijoje. </w:t>
      </w:r>
    </w:p>
    <w:p w:rsidR="00C234B8" w:rsidRPr="00C234B8" w:rsidRDefault="00C234B8" w:rsidP="00DF54CD">
      <w:pPr>
        <w:pStyle w:val="Betarp"/>
        <w:jc w:val="center"/>
        <w:rPr>
          <w:sz w:val="24"/>
          <w:szCs w:val="24"/>
          <w:lang w:eastAsia="lt-LT"/>
        </w:rPr>
      </w:pPr>
      <w:r w:rsidRPr="00C234B8">
        <w:rPr>
          <w:b/>
          <w:sz w:val="24"/>
          <w:szCs w:val="24"/>
          <w:lang w:eastAsia="lt-LT"/>
        </w:rPr>
        <w:t>V. FINANSAVIMAS</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Mokymo lėšos, skirtos ugdymo planui įgyvendinti: darbo užmokesčio poreikis pedagogams, pagal ugdymo planą ir reikalingas valandas, vaikų ugdymosi poreikiams tenkinti, buvo </w:t>
      </w:r>
      <w:r w:rsidRPr="00C234B8">
        <w:rPr>
          <w:sz w:val="24"/>
          <w:szCs w:val="24"/>
          <w:lang w:val="en-US" w:eastAsia="lt-LT"/>
        </w:rPr>
        <w:t xml:space="preserve">4,43 </w:t>
      </w:r>
      <w:proofErr w:type="spellStart"/>
      <w:r w:rsidRPr="00C234B8">
        <w:rPr>
          <w:sz w:val="24"/>
          <w:szCs w:val="24"/>
          <w:lang w:val="en-US" w:eastAsia="lt-LT"/>
        </w:rPr>
        <w:t>pareigybės</w:t>
      </w:r>
      <w:proofErr w:type="spellEnd"/>
      <w:r w:rsidRPr="00C234B8">
        <w:rPr>
          <w:sz w:val="24"/>
          <w:szCs w:val="24"/>
          <w:lang w:val="en-US" w:eastAsia="lt-LT"/>
        </w:rPr>
        <w:t xml:space="preserve">, o </w:t>
      </w:r>
      <w:proofErr w:type="spellStart"/>
      <w:r w:rsidRPr="00C234B8">
        <w:rPr>
          <w:sz w:val="24"/>
          <w:szCs w:val="24"/>
          <w:lang w:val="en-US" w:eastAsia="lt-LT"/>
        </w:rPr>
        <w:t>skirta</w:t>
      </w:r>
      <w:proofErr w:type="spellEnd"/>
      <w:r w:rsidRPr="00C234B8">
        <w:rPr>
          <w:sz w:val="24"/>
          <w:szCs w:val="24"/>
          <w:lang w:val="en-US" w:eastAsia="lt-LT"/>
        </w:rPr>
        <w:t xml:space="preserve"> </w:t>
      </w:r>
      <w:proofErr w:type="spellStart"/>
      <w:r w:rsidRPr="00C234B8">
        <w:rPr>
          <w:sz w:val="24"/>
          <w:szCs w:val="24"/>
          <w:lang w:val="en-US" w:eastAsia="lt-LT"/>
        </w:rPr>
        <w:t>buvo</w:t>
      </w:r>
      <w:proofErr w:type="spellEnd"/>
      <w:r w:rsidRPr="00C234B8">
        <w:rPr>
          <w:sz w:val="24"/>
          <w:szCs w:val="24"/>
          <w:lang w:val="en-US" w:eastAsia="lt-LT"/>
        </w:rPr>
        <w:t xml:space="preserve"> 4,32. </w:t>
      </w:r>
    </w:p>
    <w:p w:rsidR="00C234B8" w:rsidRPr="00C234B8" w:rsidRDefault="00C234B8" w:rsidP="00C234B8">
      <w:pPr>
        <w:pStyle w:val="Betarp"/>
        <w:ind w:firstLine="1296"/>
        <w:jc w:val="both"/>
        <w:rPr>
          <w:sz w:val="24"/>
          <w:szCs w:val="24"/>
          <w:lang w:eastAsia="lt-LT"/>
        </w:rPr>
      </w:pPr>
      <w:r w:rsidRPr="00C234B8">
        <w:rPr>
          <w:sz w:val="24"/>
          <w:szCs w:val="24"/>
          <w:lang w:eastAsia="lt-LT"/>
        </w:rPr>
        <w:t>Vadovėliams, metodinei literatūrai ir mokymo priemonėms – 1 800 Eur, pedagogų kvalifikacijai – 700 Eur, mokinių pažintinei veiklai – 400 Eur.</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Savivaldybės biudžeto lėšų skiriama optimaliems mokyklos-darželio poreikiams tenkinti. Surinkta 2 proc. GPM lėšų – 1 243,80 Eur. Mokyklos-darželio spec. lėšos tėvų (globėjų, rūpintojų) įnašų surinkta 21 000 Eur, išleista maitinimo ir ugdymo reikmėms. </w:t>
      </w:r>
    </w:p>
    <w:p w:rsidR="00C234B8" w:rsidRPr="00C234B8" w:rsidRDefault="00C234B8" w:rsidP="00C234B8">
      <w:pPr>
        <w:pStyle w:val="Betarp"/>
        <w:ind w:firstLine="1296"/>
        <w:jc w:val="both"/>
        <w:rPr>
          <w:sz w:val="24"/>
          <w:szCs w:val="24"/>
          <w:lang w:eastAsia="lt-LT"/>
        </w:rPr>
      </w:pPr>
      <w:r w:rsidRPr="00C234B8">
        <w:rPr>
          <w:sz w:val="24"/>
          <w:szCs w:val="24"/>
          <w:lang w:eastAsia="lt-LT"/>
        </w:rPr>
        <w:t>Iš savivaldybės biudžeto Vaikų socializacijos, Vasaros vaikų užimtumo ir sveikatos programos projektams – 1 150 Eur. Europos Komisijos finansuotas projektas „Kiekvienas vaikas yra svarbus“ pagal „Erasmus+“ K</w:t>
      </w:r>
      <w:r w:rsidRPr="00C234B8">
        <w:rPr>
          <w:sz w:val="24"/>
          <w:szCs w:val="24"/>
          <w:lang w:val="en-US" w:eastAsia="lt-LT"/>
        </w:rPr>
        <w:t>1</w:t>
      </w:r>
      <w:r w:rsidRPr="00C234B8">
        <w:rPr>
          <w:sz w:val="24"/>
          <w:szCs w:val="24"/>
          <w:lang w:eastAsia="lt-LT"/>
        </w:rPr>
        <w:t xml:space="preserve"> programą – 24 000 Eur. </w:t>
      </w:r>
    </w:p>
    <w:p w:rsidR="00C234B8" w:rsidRPr="00DF54CD" w:rsidRDefault="00C234B8" w:rsidP="00DF54CD">
      <w:pPr>
        <w:pStyle w:val="Betarp"/>
        <w:ind w:firstLine="1296"/>
        <w:jc w:val="both"/>
        <w:rPr>
          <w:sz w:val="24"/>
          <w:szCs w:val="24"/>
          <w:lang w:val="en-US" w:eastAsia="lt-LT"/>
        </w:rPr>
      </w:pPr>
      <w:r w:rsidRPr="00C234B8">
        <w:rPr>
          <w:sz w:val="24"/>
          <w:szCs w:val="24"/>
          <w:lang w:eastAsia="lt-LT"/>
        </w:rPr>
        <w:t xml:space="preserve">Vykdomas pastato rekonstrukcijos vietos projektas „Viešosios infrastruktūros atnaujinimas ir plėtra </w:t>
      </w:r>
      <w:proofErr w:type="spellStart"/>
      <w:r w:rsidRPr="00C234B8">
        <w:rPr>
          <w:sz w:val="24"/>
          <w:szCs w:val="24"/>
          <w:lang w:eastAsia="lt-LT"/>
        </w:rPr>
        <w:t>Pažagienių</w:t>
      </w:r>
      <w:proofErr w:type="spellEnd"/>
      <w:r w:rsidRPr="00C234B8">
        <w:rPr>
          <w:sz w:val="24"/>
          <w:szCs w:val="24"/>
          <w:lang w:eastAsia="lt-LT"/>
        </w:rPr>
        <w:t xml:space="preserve"> kaime, Panevėžio rajone“, finansuojamas Europos Sąjungos ir savivaldybės lėšomis. Bendra vertė </w:t>
      </w:r>
      <w:r w:rsidRPr="00C234B8">
        <w:rPr>
          <w:sz w:val="24"/>
          <w:szCs w:val="24"/>
          <w:lang w:val="en-US" w:eastAsia="lt-LT"/>
        </w:rPr>
        <w:t xml:space="preserve">300 000 Eur. </w:t>
      </w:r>
    </w:p>
    <w:p w:rsidR="00C234B8" w:rsidRPr="00C234B8" w:rsidRDefault="00C234B8" w:rsidP="00DF54CD">
      <w:pPr>
        <w:pStyle w:val="Betarp"/>
        <w:jc w:val="center"/>
        <w:rPr>
          <w:sz w:val="24"/>
          <w:szCs w:val="24"/>
          <w:lang w:eastAsia="lt-LT"/>
        </w:rPr>
      </w:pPr>
      <w:r w:rsidRPr="00C234B8">
        <w:rPr>
          <w:b/>
          <w:sz w:val="24"/>
          <w:szCs w:val="24"/>
          <w:lang w:eastAsia="lt-LT"/>
        </w:rPr>
        <w:t>VI. PROBLEMOS, SUSIJUSIOS SU ĮSTAIGOS VEIKLA, IR DIREKTORIAUS SIŪLOMI JŲ SPRENDIMO BŪDAI</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Maitinimo organizavimas pagal naują Maitinimo organizavimo tvarkos aprašą. Maisto produktai brangūs, bet gamybos technologija, laikantis nurodymų, netenkina vaikų maitinimosi poreikių. Vyko konsultacijos su tėvais (globėjais, rūpintojais) ir darbuotojais, įsigyta technologinių kortelių, sudarytų maisto technologų ir rekomenduotas ekspertų, parengtas ir suderintas su VMVT valgiaraštis. </w:t>
      </w:r>
    </w:p>
    <w:p w:rsidR="00C234B8" w:rsidRDefault="00C234B8" w:rsidP="00DF54CD">
      <w:pPr>
        <w:pStyle w:val="Betarp"/>
        <w:ind w:firstLine="1296"/>
        <w:jc w:val="both"/>
        <w:rPr>
          <w:sz w:val="24"/>
          <w:szCs w:val="24"/>
          <w:lang w:val="en-GB" w:eastAsia="lt-LT"/>
        </w:rPr>
      </w:pPr>
      <w:proofErr w:type="spellStart"/>
      <w:r w:rsidRPr="00C234B8">
        <w:rPr>
          <w:sz w:val="24"/>
          <w:szCs w:val="24"/>
          <w:lang w:val="en-GB" w:eastAsia="lt-LT"/>
        </w:rPr>
        <w:t>Darbui</w:t>
      </w:r>
      <w:proofErr w:type="spellEnd"/>
      <w:r w:rsidRPr="00C234B8">
        <w:rPr>
          <w:sz w:val="24"/>
          <w:szCs w:val="24"/>
          <w:lang w:val="en-GB" w:eastAsia="lt-LT"/>
        </w:rPr>
        <w:t xml:space="preserve"> </w:t>
      </w:r>
      <w:proofErr w:type="spellStart"/>
      <w:r w:rsidRPr="00C234B8">
        <w:rPr>
          <w:sz w:val="24"/>
          <w:szCs w:val="24"/>
          <w:lang w:val="en-GB" w:eastAsia="lt-LT"/>
        </w:rPr>
        <w:t>su</w:t>
      </w:r>
      <w:proofErr w:type="spellEnd"/>
      <w:r w:rsidRPr="00C234B8">
        <w:rPr>
          <w:sz w:val="24"/>
          <w:szCs w:val="24"/>
          <w:lang w:val="en-GB" w:eastAsia="lt-LT"/>
        </w:rPr>
        <w:t xml:space="preserve"> </w:t>
      </w:r>
      <w:proofErr w:type="spellStart"/>
      <w:r w:rsidRPr="00C234B8">
        <w:rPr>
          <w:sz w:val="24"/>
          <w:szCs w:val="24"/>
          <w:lang w:val="en-GB" w:eastAsia="lt-LT"/>
        </w:rPr>
        <w:t>specialiųjų</w:t>
      </w:r>
      <w:proofErr w:type="spellEnd"/>
      <w:r w:rsidRPr="00C234B8">
        <w:rPr>
          <w:sz w:val="24"/>
          <w:szCs w:val="24"/>
          <w:lang w:val="en-GB" w:eastAsia="lt-LT"/>
        </w:rPr>
        <w:t xml:space="preserve"> </w:t>
      </w:r>
      <w:proofErr w:type="spellStart"/>
      <w:r w:rsidRPr="00C234B8">
        <w:rPr>
          <w:sz w:val="24"/>
          <w:szCs w:val="24"/>
          <w:lang w:val="en-GB" w:eastAsia="lt-LT"/>
        </w:rPr>
        <w:t>ugdymosi</w:t>
      </w:r>
      <w:proofErr w:type="spellEnd"/>
      <w:r w:rsidRPr="00C234B8">
        <w:rPr>
          <w:sz w:val="24"/>
          <w:szCs w:val="24"/>
          <w:lang w:val="en-GB" w:eastAsia="lt-LT"/>
        </w:rPr>
        <w:t xml:space="preserve"> </w:t>
      </w:r>
      <w:proofErr w:type="spellStart"/>
      <w:r w:rsidRPr="00C234B8">
        <w:rPr>
          <w:sz w:val="24"/>
          <w:szCs w:val="24"/>
          <w:lang w:val="en-GB" w:eastAsia="lt-LT"/>
        </w:rPr>
        <w:t>poreikių</w:t>
      </w:r>
      <w:proofErr w:type="spellEnd"/>
      <w:r w:rsidRPr="00C234B8">
        <w:rPr>
          <w:sz w:val="24"/>
          <w:szCs w:val="24"/>
          <w:lang w:val="en-GB" w:eastAsia="lt-LT"/>
        </w:rPr>
        <w:t xml:space="preserve"> (SUP) </w:t>
      </w:r>
      <w:proofErr w:type="spellStart"/>
      <w:r w:rsidRPr="00C234B8">
        <w:rPr>
          <w:sz w:val="24"/>
          <w:szCs w:val="24"/>
          <w:lang w:val="en-GB" w:eastAsia="lt-LT"/>
        </w:rPr>
        <w:t>turinčiais</w:t>
      </w:r>
      <w:proofErr w:type="spellEnd"/>
      <w:r w:rsidRPr="00C234B8">
        <w:rPr>
          <w:sz w:val="24"/>
          <w:szCs w:val="24"/>
          <w:lang w:val="en-GB" w:eastAsia="lt-LT"/>
        </w:rPr>
        <w:t xml:space="preserve"> </w:t>
      </w:r>
      <w:proofErr w:type="spellStart"/>
      <w:r w:rsidRPr="00C234B8">
        <w:rPr>
          <w:sz w:val="24"/>
          <w:szCs w:val="24"/>
          <w:lang w:val="en-GB" w:eastAsia="lt-LT"/>
        </w:rPr>
        <w:t>vaikais</w:t>
      </w:r>
      <w:proofErr w:type="spellEnd"/>
      <w:r w:rsidRPr="00C234B8">
        <w:rPr>
          <w:sz w:val="24"/>
          <w:szCs w:val="24"/>
          <w:lang w:val="en-GB" w:eastAsia="lt-LT"/>
        </w:rPr>
        <w:t xml:space="preserve"> </w:t>
      </w:r>
      <w:proofErr w:type="spellStart"/>
      <w:r w:rsidRPr="00C234B8">
        <w:rPr>
          <w:sz w:val="24"/>
          <w:szCs w:val="24"/>
          <w:lang w:val="en-GB" w:eastAsia="lt-LT"/>
        </w:rPr>
        <w:t>labai</w:t>
      </w:r>
      <w:proofErr w:type="spellEnd"/>
      <w:r w:rsidRPr="00C234B8">
        <w:rPr>
          <w:sz w:val="24"/>
          <w:szCs w:val="24"/>
          <w:lang w:val="en-GB" w:eastAsia="lt-LT"/>
        </w:rPr>
        <w:t xml:space="preserve"> </w:t>
      </w:r>
      <w:proofErr w:type="spellStart"/>
      <w:r w:rsidRPr="00C234B8">
        <w:rPr>
          <w:sz w:val="24"/>
          <w:szCs w:val="24"/>
          <w:lang w:val="en-GB" w:eastAsia="lt-LT"/>
        </w:rPr>
        <w:t>padeda</w:t>
      </w:r>
      <w:proofErr w:type="spellEnd"/>
      <w:r w:rsidRPr="00C234B8">
        <w:rPr>
          <w:sz w:val="24"/>
          <w:szCs w:val="24"/>
          <w:lang w:val="en-GB" w:eastAsia="lt-LT"/>
        </w:rPr>
        <w:t xml:space="preserve"> </w:t>
      </w:r>
      <w:proofErr w:type="spellStart"/>
      <w:r w:rsidRPr="00C234B8">
        <w:rPr>
          <w:sz w:val="24"/>
          <w:szCs w:val="24"/>
          <w:lang w:val="en-GB" w:eastAsia="lt-LT"/>
        </w:rPr>
        <w:t>mokytojo</w:t>
      </w:r>
      <w:proofErr w:type="spellEnd"/>
      <w:r w:rsidRPr="00C234B8">
        <w:rPr>
          <w:sz w:val="24"/>
          <w:szCs w:val="24"/>
          <w:lang w:val="en-GB" w:eastAsia="lt-LT"/>
        </w:rPr>
        <w:t xml:space="preserve"> </w:t>
      </w:r>
      <w:proofErr w:type="spellStart"/>
      <w:r w:rsidRPr="00C234B8">
        <w:rPr>
          <w:sz w:val="24"/>
          <w:szCs w:val="24"/>
          <w:lang w:val="en-GB" w:eastAsia="lt-LT"/>
        </w:rPr>
        <w:t>padėjėjai</w:t>
      </w:r>
      <w:proofErr w:type="spellEnd"/>
      <w:r w:rsidRPr="00C234B8">
        <w:rPr>
          <w:sz w:val="24"/>
          <w:szCs w:val="24"/>
          <w:lang w:val="en-GB" w:eastAsia="lt-LT"/>
        </w:rPr>
        <w:t xml:space="preserve">, </w:t>
      </w:r>
      <w:proofErr w:type="spellStart"/>
      <w:r w:rsidRPr="00C234B8">
        <w:rPr>
          <w:sz w:val="24"/>
          <w:szCs w:val="24"/>
          <w:lang w:val="en-GB" w:eastAsia="lt-LT"/>
        </w:rPr>
        <w:t>tačiau</w:t>
      </w:r>
      <w:proofErr w:type="spellEnd"/>
      <w:r w:rsidRPr="00C234B8">
        <w:rPr>
          <w:sz w:val="24"/>
          <w:szCs w:val="24"/>
          <w:lang w:val="en-GB" w:eastAsia="lt-LT"/>
        </w:rPr>
        <w:t xml:space="preserve"> </w:t>
      </w:r>
      <w:proofErr w:type="spellStart"/>
      <w:r w:rsidRPr="00C234B8">
        <w:rPr>
          <w:sz w:val="24"/>
          <w:szCs w:val="24"/>
          <w:lang w:val="en-GB" w:eastAsia="lt-LT"/>
        </w:rPr>
        <w:t>pradinėse</w:t>
      </w:r>
      <w:proofErr w:type="spellEnd"/>
      <w:r w:rsidRPr="00C234B8">
        <w:rPr>
          <w:sz w:val="24"/>
          <w:szCs w:val="24"/>
          <w:lang w:val="en-GB" w:eastAsia="lt-LT"/>
        </w:rPr>
        <w:t xml:space="preserve"> </w:t>
      </w:r>
      <w:proofErr w:type="spellStart"/>
      <w:r w:rsidRPr="00C234B8">
        <w:rPr>
          <w:sz w:val="24"/>
          <w:szCs w:val="24"/>
          <w:lang w:val="en-GB" w:eastAsia="lt-LT"/>
        </w:rPr>
        <w:t>klasės</w:t>
      </w:r>
      <w:proofErr w:type="spellEnd"/>
      <w:r w:rsidRPr="00C234B8">
        <w:rPr>
          <w:sz w:val="24"/>
          <w:szCs w:val="24"/>
          <w:lang w:val="en-GB" w:eastAsia="lt-LT"/>
        </w:rPr>
        <w:t xml:space="preserve"> </w:t>
      </w:r>
      <w:proofErr w:type="spellStart"/>
      <w:r w:rsidRPr="00C234B8">
        <w:rPr>
          <w:sz w:val="24"/>
          <w:szCs w:val="24"/>
          <w:lang w:val="en-GB" w:eastAsia="lt-LT"/>
        </w:rPr>
        <w:t>yra</w:t>
      </w:r>
      <w:proofErr w:type="spellEnd"/>
      <w:r w:rsidRPr="00C234B8">
        <w:rPr>
          <w:sz w:val="24"/>
          <w:szCs w:val="24"/>
          <w:lang w:val="en-GB" w:eastAsia="lt-LT"/>
        </w:rPr>
        <w:t xml:space="preserve"> </w:t>
      </w:r>
      <w:proofErr w:type="spellStart"/>
      <w:r w:rsidRPr="00C234B8">
        <w:rPr>
          <w:sz w:val="24"/>
          <w:szCs w:val="24"/>
          <w:lang w:val="en-GB" w:eastAsia="lt-LT"/>
        </w:rPr>
        <w:t>tik</w:t>
      </w:r>
      <w:proofErr w:type="spellEnd"/>
      <w:r w:rsidRPr="00C234B8">
        <w:rPr>
          <w:sz w:val="24"/>
          <w:szCs w:val="24"/>
          <w:lang w:val="en-GB" w:eastAsia="lt-LT"/>
        </w:rPr>
        <w:t xml:space="preserve"> </w:t>
      </w:r>
      <w:proofErr w:type="spellStart"/>
      <w:r w:rsidRPr="00C234B8">
        <w:rPr>
          <w:sz w:val="24"/>
          <w:szCs w:val="24"/>
          <w:lang w:val="en-GB" w:eastAsia="lt-LT"/>
        </w:rPr>
        <w:t>viena</w:t>
      </w:r>
      <w:proofErr w:type="spellEnd"/>
      <w:r w:rsidRPr="00C234B8">
        <w:rPr>
          <w:sz w:val="24"/>
          <w:szCs w:val="24"/>
          <w:lang w:val="en-GB" w:eastAsia="lt-LT"/>
        </w:rPr>
        <w:t xml:space="preserve"> </w:t>
      </w:r>
      <w:proofErr w:type="spellStart"/>
      <w:r w:rsidRPr="00C234B8">
        <w:rPr>
          <w:sz w:val="24"/>
          <w:szCs w:val="24"/>
          <w:lang w:val="en-GB" w:eastAsia="lt-LT"/>
        </w:rPr>
        <w:t>pareigybė</w:t>
      </w:r>
      <w:proofErr w:type="spellEnd"/>
      <w:r w:rsidRPr="00C234B8">
        <w:rPr>
          <w:sz w:val="24"/>
          <w:szCs w:val="24"/>
          <w:lang w:val="en-GB" w:eastAsia="lt-LT"/>
        </w:rPr>
        <w:t xml:space="preserve">, </w:t>
      </w:r>
      <w:proofErr w:type="spellStart"/>
      <w:r w:rsidRPr="00C234B8">
        <w:rPr>
          <w:sz w:val="24"/>
          <w:szCs w:val="24"/>
          <w:lang w:val="en-GB" w:eastAsia="lt-LT"/>
        </w:rPr>
        <w:t>priskirta</w:t>
      </w:r>
      <w:proofErr w:type="spellEnd"/>
      <w:r w:rsidRPr="00C234B8">
        <w:rPr>
          <w:sz w:val="24"/>
          <w:szCs w:val="24"/>
          <w:lang w:val="en-GB" w:eastAsia="lt-LT"/>
        </w:rPr>
        <w:t xml:space="preserve"> </w:t>
      </w:r>
      <w:proofErr w:type="spellStart"/>
      <w:r w:rsidRPr="00C234B8">
        <w:rPr>
          <w:sz w:val="24"/>
          <w:szCs w:val="24"/>
          <w:lang w:val="en-GB" w:eastAsia="lt-LT"/>
        </w:rPr>
        <w:t>prie</w:t>
      </w:r>
      <w:proofErr w:type="spellEnd"/>
      <w:r w:rsidRPr="00C234B8">
        <w:rPr>
          <w:sz w:val="24"/>
          <w:szCs w:val="24"/>
          <w:lang w:val="en-GB" w:eastAsia="lt-LT"/>
        </w:rPr>
        <w:t xml:space="preserve"> </w:t>
      </w:r>
      <w:proofErr w:type="spellStart"/>
      <w:r w:rsidRPr="00C234B8">
        <w:rPr>
          <w:sz w:val="24"/>
          <w:szCs w:val="24"/>
          <w:lang w:val="en-GB" w:eastAsia="lt-LT"/>
        </w:rPr>
        <w:t>didelius</w:t>
      </w:r>
      <w:proofErr w:type="spellEnd"/>
      <w:r w:rsidRPr="00C234B8">
        <w:rPr>
          <w:sz w:val="24"/>
          <w:szCs w:val="24"/>
          <w:lang w:val="en-GB" w:eastAsia="lt-LT"/>
        </w:rPr>
        <w:t xml:space="preserve"> SUP </w:t>
      </w:r>
      <w:proofErr w:type="spellStart"/>
      <w:r w:rsidRPr="00C234B8">
        <w:rPr>
          <w:sz w:val="24"/>
          <w:szCs w:val="24"/>
          <w:lang w:val="en-GB" w:eastAsia="lt-LT"/>
        </w:rPr>
        <w:t>turinčio</w:t>
      </w:r>
      <w:proofErr w:type="spellEnd"/>
      <w:r w:rsidRPr="00C234B8">
        <w:rPr>
          <w:sz w:val="24"/>
          <w:szCs w:val="24"/>
          <w:lang w:val="en-GB" w:eastAsia="lt-LT"/>
        </w:rPr>
        <w:t xml:space="preserve"> </w:t>
      </w:r>
      <w:proofErr w:type="spellStart"/>
      <w:r w:rsidRPr="00C234B8">
        <w:rPr>
          <w:sz w:val="24"/>
          <w:szCs w:val="24"/>
          <w:lang w:val="en-GB" w:eastAsia="lt-LT"/>
        </w:rPr>
        <w:t>mokinio</w:t>
      </w:r>
      <w:proofErr w:type="spellEnd"/>
      <w:r w:rsidRPr="00C234B8">
        <w:rPr>
          <w:sz w:val="24"/>
          <w:szCs w:val="24"/>
          <w:lang w:val="en-GB" w:eastAsia="lt-LT"/>
        </w:rPr>
        <w:t xml:space="preserve">, </w:t>
      </w:r>
      <w:proofErr w:type="spellStart"/>
      <w:r w:rsidRPr="00C234B8">
        <w:rPr>
          <w:sz w:val="24"/>
          <w:szCs w:val="24"/>
          <w:lang w:val="en-GB" w:eastAsia="lt-LT"/>
        </w:rPr>
        <w:t>tačiau</w:t>
      </w:r>
      <w:proofErr w:type="spellEnd"/>
      <w:r w:rsidRPr="00C234B8">
        <w:rPr>
          <w:sz w:val="24"/>
          <w:szCs w:val="24"/>
          <w:lang w:val="en-GB" w:eastAsia="lt-LT"/>
        </w:rPr>
        <w:t xml:space="preserve"> </w:t>
      </w:r>
      <w:proofErr w:type="spellStart"/>
      <w:r w:rsidRPr="00C234B8">
        <w:rPr>
          <w:sz w:val="24"/>
          <w:szCs w:val="24"/>
          <w:lang w:val="en-GB" w:eastAsia="lt-LT"/>
        </w:rPr>
        <w:t>specialiojo</w:t>
      </w:r>
      <w:proofErr w:type="spellEnd"/>
      <w:r w:rsidRPr="00C234B8">
        <w:rPr>
          <w:sz w:val="24"/>
          <w:szCs w:val="24"/>
          <w:lang w:val="en-GB" w:eastAsia="lt-LT"/>
        </w:rPr>
        <w:t xml:space="preserve"> </w:t>
      </w:r>
      <w:proofErr w:type="spellStart"/>
      <w:r w:rsidRPr="00C234B8">
        <w:rPr>
          <w:sz w:val="24"/>
          <w:szCs w:val="24"/>
          <w:lang w:val="en-GB" w:eastAsia="lt-LT"/>
        </w:rPr>
        <w:t>pedagogo</w:t>
      </w:r>
      <w:proofErr w:type="spellEnd"/>
      <w:r w:rsidRPr="00C234B8">
        <w:rPr>
          <w:sz w:val="24"/>
          <w:szCs w:val="24"/>
          <w:lang w:val="en-GB" w:eastAsia="lt-LT"/>
        </w:rPr>
        <w:t xml:space="preserve"> </w:t>
      </w:r>
      <w:proofErr w:type="spellStart"/>
      <w:r w:rsidRPr="00C234B8">
        <w:rPr>
          <w:sz w:val="24"/>
          <w:szCs w:val="24"/>
          <w:lang w:val="en-GB" w:eastAsia="lt-LT"/>
        </w:rPr>
        <w:t>ir</w:t>
      </w:r>
      <w:proofErr w:type="spellEnd"/>
      <w:r w:rsidRPr="00C234B8">
        <w:rPr>
          <w:sz w:val="24"/>
          <w:szCs w:val="24"/>
          <w:lang w:val="en-GB" w:eastAsia="lt-LT"/>
        </w:rPr>
        <w:t xml:space="preserve"> </w:t>
      </w:r>
      <w:proofErr w:type="spellStart"/>
      <w:r w:rsidRPr="00C234B8">
        <w:rPr>
          <w:sz w:val="24"/>
          <w:szCs w:val="24"/>
          <w:lang w:val="en-GB" w:eastAsia="lt-LT"/>
        </w:rPr>
        <w:t>padėjėjų</w:t>
      </w:r>
      <w:proofErr w:type="spellEnd"/>
      <w:r w:rsidRPr="00C234B8">
        <w:rPr>
          <w:sz w:val="24"/>
          <w:szCs w:val="24"/>
          <w:lang w:val="en-GB" w:eastAsia="lt-LT"/>
        </w:rPr>
        <w:t xml:space="preserve"> </w:t>
      </w:r>
      <w:proofErr w:type="spellStart"/>
      <w:r w:rsidRPr="00C234B8">
        <w:rPr>
          <w:sz w:val="24"/>
          <w:szCs w:val="24"/>
          <w:lang w:val="en-GB" w:eastAsia="lt-LT"/>
        </w:rPr>
        <w:t>pagalba</w:t>
      </w:r>
      <w:proofErr w:type="spellEnd"/>
      <w:r w:rsidRPr="00C234B8">
        <w:rPr>
          <w:sz w:val="24"/>
          <w:szCs w:val="24"/>
          <w:lang w:val="en-GB" w:eastAsia="lt-LT"/>
        </w:rPr>
        <w:t xml:space="preserve"> </w:t>
      </w:r>
      <w:proofErr w:type="spellStart"/>
      <w:r w:rsidRPr="00C234B8">
        <w:rPr>
          <w:sz w:val="24"/>
          <w:szCs w:val="24"/>
          <w:lang w:val="en-GB" w:eastAsia="lt-LT"/>
        </w:rPr>
        <w:t>rekomenduojama</w:t>
      </w:r>
      <w:proofErr w:type="spellEnd"/>
      <w:r w:rsidRPr="00C234B8">
        <w:rPr>
          <w:sz w:val="24"/>
          <w:szCs w:val="24"/>
          <w:lang w:val="en-GB" w:eastAsia="lt-LT"/>
        </w:rPr>
        <w:t xml:space="preserve"> </w:t>
      </w:r>
      <w:proofErr w:type="spellStart"/>
      <w:r w:rsidRPr="00C234B8">
        <w:rPr>
          <w:sz w:val="24"/>
          <w:szCs w:val="24"/>
          <w:lang w:val="en-GB" w:eastAsia="lt-LT"/>
        </w:rPr>
        <w:t>ir</w:t>
      </w:r>
      <w:proofErr w:type="spellEnd"/>
      <w:r w:rsidRPr="00C234B8">
        <w:rPr>
          <w:sz w:val="24"/>
          <w:szCs w:val="24"/>
          <w:lang w:val="en-GB" w:eastAsia="lt-LT"/>
        </w:rPr>
        <w:t xml:space="preserve"> </w:t>
      </w:r>
      <w:proofErr w:type="spellStart"/>
      <w:r w:rsidRPr="00C234B8">
        <w:rPr>
          <w:sz w:val="24"/>
          <w:szCs w:val="24"/>
          <w:lang w:val="en-GB" w:eastAsia="lt-LT"/>
        </w:rPr>
        <w:t>vidu</w:t>
      </w:r>
      <w:r w:rsidR="00606103">
        <w:rPr>
          <w:sz w:val="24"/>
          <w:szCs w:val="24"/>
          <w:lang w:val="en-GB" w:eastAsia="lt-LT"/>
        </w:rPr>
        <w:t>tinius</w:t>
      </w:r>
      <w:proofErr w:type="spellEnd"/>
      <w:r w:rsidR="00606103">
        <w:rPr>
          <w:sz w:val="24"/>
          <w:szCs w:val="24"/>
          <w:lang w:val="en-GB" w:eastAsia="lt-LT"/>
        </w:rPr>
        <w:t xml:space="preserve"> SUP </w:t>
      </w:r>
      <w:proofErr w:type="spellStart"/>
      <w:r w:rsidR="00606103">
        <w:rPr>
          <w:sz w:val="24"/>
          <w:szCs w:val="24"/>
          <w:lang w:val="en-GB" w:eastAsia="lt-LT"/>
        </w:rPr>
        <w:t>turintiems</w:t>
      </w:r>
      <w:proofErr w:type="spellEnd"/>
      <w:r w:rsidR="00606103">
        <w:rPr>
          <w:sz w:val="24"/>
          <w:szCs w:val="24"/>
          <w:lang w:val="en-GB" w:eastAsia="lt-LT"/>
        </w:rPr>
        <w:t xml:space="preserve"> </w:t>
      </w:r>
      <w:proofErr w:type="spellStart"/>
      <w:r w:rsidR="00606103">
        <w:rPr>
          <w:sz w:val="24"/>
          <w:szCs w:val="24"/>
          <w:lang w:val="en-GB" w:eastAsia="lt-LT"/>
        </w:rPr>
        <w:t>vaikams</w:t>
      </w:r>
      <w:proofErr w:type="spellEnd"/>
      <w:r w:rsidR="00606103">
        <w:rPr>
          <w:sz w:val="24"/>
          <w:szCs w:val="24"/>
          <w:lang w:val="en-GB" w:eastAsia="lt-LT"/>
        </w:rPr>
        <w:t>.</w:t>
      </w:r>
    </w:p>
    <w:p w:rsidR="00606103" w:rsidRPr="00C234B8" w:rsidRDefault="00606103" w:rsidP="00606103">
      <w:pPr>
        <w:pStyle w:val="Betarp"/>
        <w:ind w:firstLine="1296"/>
        <w:jc w:val="center"/>
        <w:rPr>
          <w:sz w:val="24"/>
          <w:szCs w:val="24"/>
          <w:lang w:val="en-GB" w:eastAsia="lt-LT"/>
        </w:rPr>
      </w:pPr>
      <w:r>
        <w:rPr>
          <w:sz w:val="24"/>
          <w:szCs w:val="24"/>
          <w:lang w:val="en-GB" w:eastAsia="lt-LT"/>
        </w:rPr>
        <w:t>______________________</w:t>
      </w:r>
      <w:bookmarkStart w:id="0" w:name="_GoBack"/>
      <w:bookmarkEnd w:id="0"/>
    </w:p>
    <w:sectPr w:rsidR="00606103" w:rsidRPr="00C234B8" w:rsidSect="00C234B8">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B5" w:rsidRDefault="005C10B5" w:rsidP="00C234B8">
      <w:pPr>
        <w:spacing w:after="0" w:line="240" w:lineRule="auto"/>
      </w:pPr>
      <w:r>
        <w:separator/>
      </w:r>
    </w:p>
  </w:endnote>
  <w:endnote w:type="continuationSeparator" w:id="0">
    <w:p w:rsidR="005C10B5" w:rsidRDefault="005C10B5" w:rsidP="00C2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B5" w:rsidRDefault="005C10B5" w:rsidP="00C234B8">
      <w:pPr>
        <w:spacing w:after="0" w:line="240" w:lineRule="auto"/>
      </w:pPr>
      <w:r>
        <w:separator/>
      </w:r>
    </w:p>
  </w:footnote>
  <w:footnote w:type="continuationSeparator" w:id="0">
    <w:p w:rsidR="005C10B5" w:rsidRDefault="005C10B5" w:rsidP="00C23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B8" w:rsidRDefault="00C234B8">
    <w:pPr>
      <w:pStyle w:val="Antrats"/>
      <w:jc w:val="center"/>
    </w:pPr>
    <w:r>
      <w:fldChar w:fldCharType="begin"/>
    </w:r>
    <w:r>
      <w:instrText>PAGE   \* MERGEFORMAT</w:instrText>
    </w:r>
    <w:r>
      <w:fldChar w:fldCharType="separate"/>
    </w:r>
    <w:r w:rsidR="00606103">
      <w:rPr>
        <w:noProof/>
      </w:rPr>
      <w:t>5</w:t>
    </w:r>
    <w:r>
      <w:fldChar w:fldCharType="end"/>
    </w:r>
  </w:p>
  <w:p w:rsidR="00C234B8" w:rsidRDefault="00C234B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B8"/>
    <w:rsid w:val="00040E0A"/>
    <w:rsid w:val="000E4F90"/>
    <w:rsid w:val="00294B99"/>
    <w:rsid w:val="005C10B5"/>
    <w:rsid w:val="00606103"/>
    <w:rsid w:val="006F0209"/>
    <w:rsid w:val="008A6330"/>
    <w:rsid w:val="00A40F52"/>
    <w:rsid w:val="00A548AA"/>
    <w:rsid w:val="00C234B8"/>
    <w:rsid w:val="00CF3059"/>
    <w:rsid w:val="00DF54CD"/>
    <w:rsid w:val="00F54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25EDB-F460-4C2F-8BB7-38F7BFA4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234B8"/>
    <w:pPr>
      <w:spacing w:before="100" w:beforeAutospacing="1" w:after="119" w:line="240" w:lineRule="auto"/>
    </w:pPr>
    <w:rPr>
      <w:rFonts w:ascii="Times New Roman" w:eastAsia="Times New Roman" w:hAnsi="Times New Roman"/>
      <w:sz w:val="24"/>
      <w:szCs w:val="24"/>
      <w:lang w:eastAsia="lt-LT"/>
    </w:rPr>
  </w:style>
  <w:style w:type="paragraph" w:styleId="Betarp">
    <w:name w:val="No Spacing"/>
    <w:uiPriority w:val="1"/>
    <w:qFormat/>
    <w:rsid w:val="00C234B8"/>
    <w:pPr>
      <w:suppressAutoHyphens/>
    </w:pPr>
    <w:rPr>
      <w:rFonts w:ascii="Times New Roman" w:eastAsia="Times New Roman" w:hAnsi="Times New Roman"/>
      <w:lang w:eastAsia="ar-SA"/>
    </w:rPr>
  </w:style>
  <w:style w:type="character" w:styleId="Grietas">
    <w:name w:val="Strong"/>
    <w:qFormat/>
    <w:rsid w:val="00C234B8"/>
    <w:rPr>
      <w:b/>
      <w:bCs/>
    </w:rPr>
  </w:style>
  <w:style w:type="paragraph" w:styleId="Antrats">
    <w:name w:val="header"/>
    <w:basedOn w:val="prastasis"/>
    <w:link w:val="AntratsDiagrama"/>
    <w:uiPriority w:val="99"/>
    <w:unhideWhenUsed/>
    <w:rsid w:val="00C234B8"/>
    <w:pPr>
      <w:tabs>
        <w:tab w:val="center" w:pos="4819"/>
        <w:tab w:val="right" w:pos="9638"/>
      </w:tabs>
    </w:pPr>
  </w:style>
  <w:style w:type="character" w:customStyle="1" w:styleId="AntratsDiagrama">
    <w:name w:val="Antraštės Diagrama"/>
    <w:link w:val="Antrats"/>
    <w:uiPriority w:val="99"/>
    <w:rsid w:val="00C234B8"/>
    <w:rPr>
      <w:sz w:val="22"/>
      <w:szCs w:val="22"/>
      <w:lang w:eastAsia="en-US"/>
    </w:rPr>
  </w:style>
  <w:style w:type="paragraph" w:styleId="Porat">
    <w:name w:val="footer"/>
    <w:basedOn w:val="prastasis"/>
    <w:link w:val="PoratDiagrama"/>
    <w:uiPriority w:val="99"/>
    <w:unhideWhenUsed/>
    <w:rsid w:val="00C234B8"/>
    <w:pPr>
      <w:tabs>
        <w:tab w:val="center" w:pos="4819"/>
        <w:tab w:val="right" w:pos="9638"/>
      </w:tabs>
    </w:pPr>
  </w:style>
  <w:style w:type="character" w:customStyle="1" w:styleId="PoratDiagrama">
    <w:name w:val="Poraštė Diagrama"/>
    <w:link w:val="Porat"/>
    <w:uiPriority w:val="99"/>
    <w:rsid w:val="00C234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28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7629</Words>
  <Characters>4350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dc:description/>
  <cp:lastModifiedBy>Birute Goberiene</cp:lastModifiedBy>
  <cp:revision>4</cp:revision>
  <dcterms:created xsi:type="dcterms:W3CDTF">2019-05-03T08:08:00Z</dcterms:created>
  <dcterms:modified xsi:type="dcterms:W3CDTF">2019-05-30T10:20:00Z</dcterms:modified>
</cp:coreProperties>
</file>