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892E19" w:rsidRDefault="00326B02" w:rsidP="00892E19">
      <w:pPr>
        <w:pStyle w:val="Pagrindiniotekstotrauka"/>
        <w:rPr>
          <w:rFonts w:cs="Times New Roman"/>
          <w:b/>
          <w:color w:val="000000"/>
        </w:rPr>
      </w:pPr>
      <w:r w:rsidRPr="00326B02">
        <w:rPr>
          <w:rFonts w:cs="Times New Roman"/>
          <w:b/>
          <w:color w:val="000000"/>
        </w:rPr>
        <w:t xml:space="preserve">DĖL </w:t>
      </w:r>
      <w:r w:rsidRPr="007F7C3C">
        <w:rPr>
          <w:rFonts w:cs="Times New Roman"/>
          <w:b/>
        </w:rPr>
        <w:t>METINIO ŽEMĖS NUOMOS MOKESČIO UŽ VALSTYBINĘ ŽEMĘ, IŠNUOMOTĄ NE AUKCIONO BŪDU,</w:t>
      </w:r>
      <w:r w:rsidRPr="007F7C3C">
        <w:rPr>
          <w:rFonts w:ascii="Calibri" w:hAnsi="Calibri"/>
        </w:rPr>
        <w:t xml:space="preserve"> </w:t>
      </w:r>
      <w:r w:rsidR="00482C65" w:rsidRPr="007F7C3C">
        <w:rPr>
          <w:rFonts w:cs="Times New Roman"/>
          <w:b/>
        </w:rPr>
        <w:t>TARIF</w:t>
      </w:r>
      <w:r w:rsidR="00245AF2" w:rsidRPr="007F7C3C">
        <w:rPr>
          <w:rFonts w:cs="Times New Roman"/>
          <w:b/>
        </w:rPr>
        <w:t>Ų</w:t>
      </w:r>
      <w:r w:rsidR="009B711B" w:rsidRPr="007F7C3C">
        <w:rPr>
          <w:rFonts w:cs="Times New Roman"/>
          <w:b/>
        </w:rPr>
        <w:t xml:space="preserve"> N</w:t>
      </w:r>
      <w:r w:rsidR="009B711B" w:rsidRPr="000D5B18">
        <w:rPr>
          <w:rFonts w:cs="Times New Roman"/>
          <w:b/>
        </w:rPr>
        <w:t>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DD50F4">
        <w:rPr>
          <w:rFonts w:cs="Times New Roman"/>
          <w:sz w:val="24"/>
        </w:rPr>
        <w:t>9</w:t>
      </w:r>
      <w:r w:rsidRPr="000D5B18">
        <w:rPr>
          <w:rFonts w:cs="Times New Roman"/>
          <w:sz w:val="24"/>
        </w:rPr>
        <w:t xml:space="preserve"> m. </w:t>
      </w:r>
      <w:r w:rsidR="00BA6222">
        <w:rPr>
          <w:rFonts w:cs="Times New Roman"/>
          <w:sz w:val="24"/>
        </w:rPr>
        <w:t xml:space="preserve">gegužės </w:t>
      </w:r>
      <w:r w:rsidR="009B6E8A">
        <w:rPr>
          <w:rFonts w:cs="Times New Roman"/>
          <w:sz w:val="24"/>
        </w:rPr>
        <w:t>30</w:t>
      </w:r>
      <w:r w:rsidR="00DD50F4">
        <w:rPr>
          <w:rFonts w:cs="Times New Roman"/>
          <w:sz w:val="24"/>
        </w:rPr>
        <w:t xml:space="preserve"> 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  <w:r w:rsidR="009309B9">
        <w:rPr>
          <w:rFonts w:cs="Times New Roman"/>
          <w:sz w:val="24"/>
        </w:rPr>
        <w:t xml:space="preserve"> </w:t>
      </w:r>
      <w:r w:rsidR="00C17398">
        <w:rPr>
          <w:rFonts w:cs="Times New Roman"/>
          <w:sz w:val="24"/>
        </w:rPr>
        <w:t>110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DD50F4">
        <w:rPr>
          <w:rFonts w:cs="Times New Roman"/>
        </w:rPr>
        <w:t xml:space="preserve"> ir 18 straipsnio 1 dalimi, </w:t>
      </w:r>
      <w:r w:rsidR="00892E19">
        <w:rPr>
          <w:rFonts w:cs="Times New Roman"/>
        </w:rPr>
        <w:t>Žemės vertinimo tvarka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="00892E19">
        <w:rPr>
          <w:rFonts w:cs="Times New Roman"/>
          <w:szCs w:val="24"/>
        </w:rPr>
        <w:t xml:space="preserve">patvirtinta </w:t>
      </w:r>
      <w:r w:rsidRPr="000D5B18">
        <w:rPr>
          <w:rFonts w:cs="Times New Roman"/>
        </w:rPr>
        <w:t xml:space="preserve">Lietuvos Respublikos </w:t>
      </w:r>
      <w:r w:rsidR="00DD50F4">
        <w:rPr>
          <w:rFonts w:cs="Times New Roman"/>
        </w:rPr>
        <w:t>Vyriausybės 1999 m. vasar</w:t>
      </w:r>
      <w:r w:rsidR="00892E19">
        <w:rPr>
          <w:rFonts w:cs="Times New Roman"/>
        </w:rPr>
        <w:t>io 24 d. nutarimu Nr. 205 „Dėl</w:t>
      </w:r>
      <w:r w:rsidR="00892E19" w:rsidRPr="00892E19">
        <w:rPr>
          <w:rFonts w:cs="Times New Roman"/>
        </w:rPr>
        <w:t xml:space="preserve"> </w:t>
      </w:r>
      <w:r w:rsidR="00892E19">
        <w:rPr>
          <w:rFonts w:cs="Times New Roman"/>
        </w:rPr>
        <w:t>Žemės vertinimo tvarkos</w:t>
      </w:r>
      <w:r w:rsidR="00DD50F4">
        <w:rPr>
          <w:rFonts w:cs="Times New Roman"/>
        </w:rPr>
        <w:t>“, Lietuvos Respublikos Vyriausybės 20</w:t>
      </w:r>
      <w:r w:rsidR="002E43C8">
        <w:rPr>
          <w:rFonts w:cs="Times New Roman"/>
        </w:rPr>
        <w:t>02</w:t>
      </w:r>
      <w:r w:rsidR="00DD50F4">
        <w:rPr>
          <w:rFonts w:cs="Times New Roman"/>
        </w:rPr>
        <w:t xml:space="preserve"> m. lapk</w:t>
      </w:r>
      <w:r w:rsidR="00892E19">
        <w:rPr>
          <w:rFonts w:cs="Times New Roman"/>
        </w:rPr>
        <w:t>ričio 19 d. nutarimu Nr. 1798 „D</w:t>
      </w:r>
      <w:r w:rsidR="00DD50F4">
        <w:rPr>
          <w:rFonts w:cs="Times New Roman"/>
        </w:rPr>
        <w:t>ėl nuomos mokesčio už valstybinę žemę“ ir Lietuvos Respublikos Vyriausybės 2003 m. lapkričio 10 d. nutarimu Nr. 1387 „Dėl nuomos mokesčio už valstybinės žemės sklypų naudojimą“,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="00892E19">
        <w:rPr>
          <w:rFonts w:cs="Times New Roman"/>
        </w:rPr>
        <w:br/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D736E4" w:rsidRPr="007F7C3C">
        <w:rPr>
          <w:rFonts w:cs="Times New Roman"/>
          <w:sz w:val="24"/>
          <w:szCs w:val="24"/>
        </w:rPr>
        <w:t>met</w:t>
      </w:r>
      <w:r w:rsidR="00DD50F4" w:rsidRPr="007F7C3C">
        <w:rPr>
          <w:rFonts w:cs="Times New Roman"/>
          <w:sz w:val="24"/>
          <w:szCs w:val="24"/>
        </w:rPr>
        <w:t>inio</w:t>
      </w:r>
      <w:r w:rsidR="00D736E4" w:rsidRPr="007F7C3C">
        <w:rPr>
          <w:rFonts w:cs="Times New Roman"/>
          <w:sz w:val="24"/>
          <w:szCs w:val="24"/>
        </w:rPr>
        <w:t xml:space="preserve"> </w:t>
      </w:r>
      <w:r w:rsidR="007F3E48" w:rsidRPr="007F7C3C">
        <w:rPr>
          <w:rFonts w:cs="Times New Roman"/>
          <w:sz w:val="24"/>
          <w:szCs w:val="24"/>
        </w:rPr>
        <w:t xml:space="preserve">žemės </w:t>
      </w:r>
      <w:r w:rsidR="00DD50F4" w:rsidRPr="007F7C3C">
        <w:rPr>
          <w:rFonts w:cs="Times New Roman"/>
          <w:sz w:val="24"/>
          <w:szCs w:val="24"/>
        </w:rPr>
        <w:t>nuomos mokesčio už valstybinę žemę</w:t>
      </w:r>
      <w:r w:rsidR="006D7051">
        <w:rPr>
          <w:rFonts w:cs="Times New Roman"/>
          <w:sz w:val="24"/>
          <w:szCs w:val="24"/>
        </w:rPr>
        <w:t>, išnuomotą ne aukciono būdu,</w:t>
      </w:r>
      <w:r w:rsidR="00DD50F4" w:rsidRPr="007F7C3C">
        <w:rPr>
          <w:rFonts w:cs="Times New Roman"/>
          <w:sz w:val="24"/>
          <w:szCs w:val="24"/>
        </w:rPr>
        <w:t xml:space="preserve"> </w:t>
      </w:r>
      <w:r w:rsidR="007F3E48" w:rsidRPr="007F7C3C">
        <w:rPr>
          <w:rFonts w:cs="Times New Roman"/>
          <w:sz w:val="24"/>
          <w:szCs w:val="24"/>
        </w:rPr>
        <w:t xml:space="preserve">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6D7051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491D82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kodas</w:t>
            </w:r>
          </w:p>
        </w:tc>
        <w:tc>
          <w:tcPr>
            <w:tcW w:w="3827" w:type="dxa"/>
          </w:tcPr>
          <w:p w:rsidR="007F3E48" w:rsidRPr="000D5B18" w:rsidRDefault="007F3E48" w:rsidP="00892E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491D82">
              <w:rPr>
                <w:rFonts w:cs="Times New Roman"/>
                <w:sz w:val="24"/>
                <w:szCs w:val="24"/>
              </w:rPr>
              <w:t>ir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892E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045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0457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BB79B2" w:rsidP="00DE217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33.1; 33.2 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6172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61725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F3E48" w:rsidRPr="000D5B18" w:rsidRDefault="000A7A9E" w:rsidP="004B146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015838">
              <w:rPr>
                <w:rFonts w:cs="Times New Roman"/>
                <w:sz w:val="24"/>
                <w:szCs w:val="24"/>
              </w:rPr>
              <w:t>49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9D6D53" w:rsidRPr="000D5B18">
              <w:rPr>
                <w:rFonts w:cs="Times New Roman"/>
                <w:sz w:val="24"/>
                <w:szCs w:val="24"/>
              </w:rPr>
              <w:t>33.5</w:t>
            </w:r>
            <w:r w:rsidR="004B146A">
              <w:rPr>
                <w:rFonts w:cs="Times New Roman"/>
                <w:sz w:val="24"/>
                <w:szCs w:val="24"/>
              </w:rPr>
              <w:t>0</w:t>
            </w:r>
            <w:r w:rsidR="009D6D53">
              <w:rPr>
                <w:rFonts w:cs="Times New Roman"/>
                <w:sz w:val="24"/>
                <w:szCs w:val="24"/>
              </w:rPr>
              <w:t>–</w:t>
            </w:r>
            <w:r w:rsidR="0080248F">
              <w:rPr>
                <w:rFonts w:cs="Times New Roman"/>
                <w:sz w:val="24"/>
                <w:szCs w:val="24"/>
              </w:rPr>
              <w:t>33.</w:t>
            </w:r>
            <w:r w:rsidR="00015838"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80248F" w:rsidRPr="000D5B18" w:rsidTr="000A7A9E">
        <w:trPr>
          <w:trHeight w:val="1307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33.18–</w:t>
            </w:r>
            <w:r w:rsidRPr="000D5B18">
              <w:rPr>
                <w:rFonts w:cs="Times New Roman"/>
                <w:sz w:val="24"/>
                <w:szCs w:val="24"/>
              </w:rPr>
              <w:t>33.22; 33.24; 33.37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33.3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0D5B18">
              <w:rPr>
                <w:rFonts w:cs="Times New Roman"/>
                <w:sz w:val="24"/>
                <w:szCs w:val="24"/>
              </w:rPr>
              <w:t>; 33.48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892E1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33.51; 33.52</w:t>
            </w:r>
            <w:r w:rsidR="00015838">
              <w:rPr>
                <w:rFonts w:cs="Times New Roman"/>
                <w:sz w:val="24"/>
                <w:szCs w:val="24"/>
              </w:rPr>
              <w:t>; 33,53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</w:t>
            </w:r>
            <w:r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557E68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C0A4A">
              <w:rPr>
                <w:rFonts w:cs="Times New Roman"/>
                <w:sz w:val="24"/>
                <w:szCs w:val="24"/>
              </w:rPr>
              <w:t>3.8; 33.9; 33.11; 33.23; 33.25–</w:t>
            </w:r>
            <w:r w:rsidRPr="000D5B18">
              <w:rPr>
                <w:rFonts w:cs="Times New Roman"/>
                <w:sz w:val="24"/>
                <w:szCs w:val="24"/>
              </w:rPr>
              <w:t>33.27</w:t>
            </w:r>
            <w:r w:rsidR="00557E68">
              <w:rPr>
                <w:rFonts w:cs="Times New Roman"/>
                <w:sz w:val="24"/>
                <w:szCs w:val="24"/>
              </w:rPr>
              <w:t>;</w:t>
            </w:r>
            <w:r w:rsidR="00892E19">
              <w:rPr>
                <w:rFonts w:cs="Times New Roman"/>
                <w:sz w:val="24"/>
                <w:szCs w:val="24"/>
              </w:rPr>
              <w:t xml:space="preserve"> </w:t>
            </w:r>
            <w:r w:rsidR="00557E68">
              <w:rPr>
                <w:rFonts w:cs="Times New Roman"/>
                <w:sz w:val="24"/>
                <w:szCs w:val="24"/>
              </w:rPr>
              <w:t>33.53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</w:t>
            </w:r>
            <w:r>
              <w:rPr>
                <w:rFonts w:cs="Times New Roman"/>
                <w:sz w:val="24"/>
                <w:szCs w:val="24"/>
              </w:rPr>
              <w:t>7; 33.49</w:t>
            </w:r>
            <w:r w:rsidR="00892E19">
              <w:rPr>
                <w:rFonts w:cs="Times New Roman"/>
                <w:sz w:val="24"/>
                <w:szCs w:val="24"/>
              </w:rPr>
              <w:t>;</w:t>
            </w:r>
            <w:r w:rsidR="009D6D53">
              <w:rPr>
                <w:rFonts w:cs="Times New Roman"/>
                <w:sz w:val="24"/>
                <w:szCs w:val="24"/>
              </w:rPr>
              <w:t xml:space="preserve"> 33.51–33.53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027216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80248F" w:rsidRPr="000D5B18" w:rsidRDefault="0080248F" w:rsidP="00B92F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584279" w:rsidRPr="000D5B18">
              <w:rPr>
                <w:rFonts w:cs="Times New Roman"/>
                <w:sz w:val="24"/>
                <w:szCs w:val="24"/>
              </w:rPr>
              <w:t>33.</w:t>
            </w:r>
            <w:r w:rsidR="00B92F6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C67A4" w:rsidRPr="000D5B18" w:rsidTr="000A7A9E">
        <w:tc>
          <w:tcPr>
            <w:tcW w:w="851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67A4" w:rsidRPr="000D5B18" w:rsidRDefault="005C67A4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C67A4" w:rsidRPr="00584279" w:rsidRDefault="005C67A4" w:rsidP="005073B3">
            <w:pPr>
              <w:jc w:val="center"/>
              <w:rPr>
                <w:rStyle w:val="Grietas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5073B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C67A4" w:rsidRDefault="005C67A4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B92F6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–33.4; 33.37</w:t>
            </w:r>
            <w:r w:rsidR="00027216">
              <w:rPr>
                <w:rFonts w:cs="Times New Roman"/>
                <w:sz w:val="24"/>
                <w:szCs w:val="24"/>
              </w:rPr>
              <w:t xml:space="preserve">; </w:t>
            </w:r>
            <w:r w:rsidR="00B92F60">
              <w:rPr>
                <w:rFonts w:cs="Times New Roman"/>
                <w:sz w:val="24"/>
                <w:szCs w:val="24"/>
              </w:rPr>
              <w:t>33.50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5E60BC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48F" w:rsidRPr="000D5B18" w:rsidRDefault="00EC0A4A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80248F">
              <w:rPr>
                <w:rFonts w:cs="Times New Roman"/>
                <w:sz w:val="24"/>
                <w:szCs w:val="24"/>
              </w:rPr>
              <w:t>33.7</w:t>
            </w:r>
            <w:r w:rsidR="00015838">
              <w:rPr>
                <w:rFonts w:cs="Times New Roman"/>
                <w:sz w:val="24"/>
                <w:szCs w:val="24"/>
              </w:rPr>
              <w:t>;</w:t>
            </w:r>
            <w:r w:rsidR="00584279">
              <w:rPr>
                <w:rFonts w:cs="Times New Roman"/>
                <w:sz w:val="24"/>
                <w:szCs w:val="24"/>
              </w:rPr>
              <w:t xml:space="preserve">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015838">
              <w:rPr>
                <w:rFonts w:cs="Times New Roman"/>
                <w:sz w:val="24"/>
                <w:szCs w:val="24"/>
              </w:rPr>
              <w:t xml:space="preserve">33.17–33.22;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015838">
              <w:rPr>
                <w:rFonts w:cs="Times New Roman"/>
                <w:sz w:val="24"/>
                <w:szCs w:val="24"/>
              </w:rPr>
              <w:t>33.24</w:t>
            </w:r>
            <w:r w:rsidR="005E60BC">
              <w:rPr>
                <w:rFonts w:cs="Times New Roman"/>
                <w:sz w:val="24"/>
                <w:szCs w:val="24"/>
              </w:rPr>
              <w:t>–33.27;</w:t>
            </w:r>
            <w:r w:rsidR="00892E19">
              <w:rPr>
                <w:rFonts w:cs="Times New Roman"/>
                <w:sz w:val="24"/>
                <w:szCs w:val="24"/>
              </w:rPr>
              <w:t xml:space="preserve"> 33.48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FF4F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FF4FF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57E68" w:rsidRPr="000D5B18" w:rsidRDefault="005E60BC" w:rsidP="00FF4F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57E68" w:rsidRPr="000D5B18" w:rsidRDefault="00557E68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Pr="000D5B18">
              <w:rPr>
                <w:rFonts w:cs="Times New Roman"/>
                <w:sz w:val="24"/>
                <w:szCs w:val="24"/>
              </w:rPr>
              <w:t>33.39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5E60BC">
              <w:rPr>
                <w:rFonts w:cs="Times New Roman"/>
                <w:sz w:val="24"/>
                <w:szCs w:val="24"/>
              </w:rPr>
              <w:t>33.51–</w:t>
            </w:r>
            <w:r>
              <w:rPr>
                <w:rFonts w:cs="Times New Roman"/>
                <w:sz w:val="24"/>
                <w:szCs w:val="24"/>
              </w:rPr>
              <w:t>33.53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5D683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5D683D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57E68" w:rsidRPr="000D5B18" w:rsidRDefault="00557E68" w:rsidP="005D68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557E68" w:rsidRPr="000D5B18" w:rsidRDefault="00557E68" w:rsidP="005C6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5C67A4">
              <w:rPr>
                <w:rFonts w:cs="Times New Roman"/>
                <w:sz w:val="24"/>
                <w:szCs w:val="24"/>
              </w:rPr>
              <w:t xml:space="preserve">33.11;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5C67A4">
              <w:rPr>
                <w:rFonts w:cs="Times New Roman"/>
                <w:sz w:val="24"/>
                <w:szCs w:val="24"/>
              </w:rPr>
              <w:t>33.13–</w:t>
            </w:r>
            <w:r w:rsidR="005E60BC">
              <w:rPr>
                <w:rFonts w:cs="Times New Roman"/>
                <w:sz w:val="24"/>
                <w:szCs w:val="24"/>
              </w:rPr>
              <w:t>33.16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5C67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33.23;</w:t>
            </w:r>
            <w:r w:rsidR="005E60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33.28–33.34; </w:t>
            </w:r>
            <w:r w:rsidR="00892E19">
              <w:rPr>
                <w:rFonts w:cs="Times New Roman"/>
                <w:sz w:val="24"/>
                <w:szCs w:val="24"/>
              </w:rPr>
              <w:br/>
              <w:t>33.40–33.47;</w:t>
            </w:r>
            <w:r w:rsidR="005E60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33.49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Pr="000D5B18" w:rsidRDefault="005C67A4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557E68" w:rsidRPr="000D5B18" w:rsidRDefault="00557E68" w:rsidP="00DF5F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</w:t>
            </w:r>
            <w:r w:rsidR="00DF5FFC">
              <w:rPr>
                <w:rFonts w:cs="Times New Roman"/>
                <w:sz w:val="24"/>
                <w:szCs w:val="24"/>
              </w:rPr>
              <w:t>–</w:t>
            </w:r>
            <w:r w:rsidR="00DF5FFC" w:rsidRPr="000D5B18">
              <w:rPr>
                <w:rFonts w:cs="Times New Roman"/>
                <w:sz w:val="24"/>
                <w:szCs w:val="24"/>
              </w:rPr>
              <w:t>33.</w:t>
            </w:r>
            <w:r w:rsidR="00DF5FFC">
              <w:rPr>
                <w:rFonts w:cs="Times New Roman"/>
                <w:sz w:val="24"/>
                <w:szCs w:val="24"/>
              </w:rPr>
              <w:t xml:space="preserve">7; </w:t>
            </w:r>
            <w:r w:rsidRPr="000D5B18">
              <w:rPr>
                <w:rFonts w:cs="Times New Roman"/>
                <w:sz w:val="24"/>
                <w:szCs w:val="24"/>
              </w:rPr>
              <w:t>33.50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Pr="000D5B18" w:rsidRDefault="005C67A4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557E68" w:rsidRPr="000D5B18" w:rsidRDefault="00802D8A" w:rsidP="005C6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557E68">
              <w:rPr>
                <w:rFonts w:cs="Times New Roman"/>
                <w:sz w:val="24"/>
                <w:szCs w:val="24"/>
              </w:rPr>
              <w:t>33.</w:t>
            </w:r>
            <w:r w:rsidR="00DF5FFC">
              <w:rPr>
                <w:rFonts w:cs="Times New Roman"/>
                <w:sz w:val="24"/>
                <w:szCs w:val="24"/>
              </w:rPr>
              <w:t>27</w:t>
            </w:r>
            <w:r w:rsidR="00557E68">
              <w:rPr>
                <w:rFonts w:cs="Times New Roman"/>
                <w:sz w:val="24"/>
                <w:szCs w:val="24"/>
              </w:rPr>
              <w:t xml:space="preserve">; </w:t>
            </w:r>
            <w:r w:rsidR="00DB0CA8">
              <w:rPr>
                <w:rFonts w:cs="Times New Roman"/>
                <w:sz w:val="24"/>
                <w:szCs w:val="24"/>
              </w:rPr>
              <w:t xml:space="preserve">33.24; </w:t>
            </w:r>
            <w:r w:rsidR="00557E68" w:rsidRPr="000D5B18">
              <w:rPr>
                <w:rFonts w:cs="Times New Roman"/>
                <w:sz w:val="24"/>
                <w:szCs w:val="24"/>
              </w:rPr>
              <w:t>33.4</w:t>
            </w:r>
            <w:r w:rsidR="00557E68">
              <w:rPr>
                <w:rFonts w:cs="Times New Roman"/>
                <w:sz w:val="24"/>
                <w:szCs w:val="24"/>
              </w:rPr>
              <w:t>8</w:t>
            </w:r>
            <w:r w:rsidR="009145F2">
              <w:rPr>
                <w:rFonts w:cs="Times New Roman"/>
                <w:sz w:val="24"/>
                <w:szCs w:val="24"/>
              </w:rPr>
              <w:t>;</w:t>
            </w:r>
            <w:r w:rsidR="00DF5FFC">
              <w:rPr>
                <w:rFonts w:cs="Times New Roman"/>
                <w:sz w:val="24"/>
                <w:szCs w:val="24"/>
              </w:rPr>
              <w:t xml:space="preserve"> </w:t>
            </w:r>
            <w:r w:rsidR="009145F2">
              <w:rPr>
                <w:rFonts w:cs="Times New Roman"/>
                <w:sz w:val="24"/>
                <w:szCs w:val="24"/>
              </w:rPr>
              <w:t>33.51–33.53</w:t>
            </w:r>
          </w:p>
        </w:tc>
      </w:tr>
      <w:tr w:rsidR="005C67A4" w:rsidRPr="000D5B18" w:rsidTr="000A7A9E">
        <w:tc>
          <w:tcPr>
            <w:tcW w:w="851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67A4" w:rsidRPr="000D5B18" w:rsidRDefault="005C67A4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C67A4" w:rsidRDefault="00DB0CA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67A4" w:rsidRDefault="00DB0CA8" w:rsidP="00FE79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33.35–33.39</w:t>
            </w:r>
            <w:bookmarkStart w:id="0" w:name="_GoBack"/>
            <w:bookmarkEnd w:id="0"/>
          </w:p>
          <w:p w:rsidR="00AA373B" w:rsidRDefault="00AA373B" w:rsidP="00AA373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Default="00557E6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DB0CA8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557E68" w:rsidRDefault="00DF5FFC" w:rsidP="00F577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DB0CA8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–33.</w:t>
            </w:r>
            <w:r w:rsidR="00DB0CA8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DB0CA8">
              <w:rPr>
                <w:rFonts w:cs="Times New Roman"/>
                <w:sz w:val="24"/>
                <w:szCs w:val="24"/>
              </w:rPr>
              <w:t>33.13</w:t>
            </w:r>
            <w:r w:rsidR="00603BE6">
              <w:rPr>
                <w:rFonts w:cs="Times New Roman"/>
                <w:sz w:val="24"/>
                <w:szCs w:val="24"/>
              </w:rPr>
              <w:t>–</w:t>
            </w:r>
            <w:r w:rsidR="00DB0CA8">
              <w:rPr>
                <w:rFonts w:cs="Times New Roman"/>
                <w:sz w:val="24"/>
                <w:szCs w:val="24"/>
              </w:rPr>
              <w:t xml:space="preserve">33.16; 33.23 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Default="00557E6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557E68" w:rsidRDefault="00DF5FFC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33.28–33.34;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C17398">
              <w:rPr>
                <w:rFonts w:cs="Times New Roman"/>
                <w:sz w:val="24"/>
                <w:szCs w:val="24"/>
              </w:rPr>
              <w:t>33</w:t>
            </w:r>
            <w:r>
              <w:rPr>
                <w:rFonts w:cs="Times New Roman"/>
                <w:sz w:val="24"/>
                <w:szCs w:val="24"/>
              </w:rPr>
              <w:t>.40–33.</w:t>
            </w:r>
            <w:r w:rsidR="00557E68">
              <w:rPr>
                <w:rFonts w:cs="Times New Roman"/>
                <w:sz w:val="24"/>
                <w:szCs w:val="24"/>
              </w:rPr>
              <w:t>47; 33.49</w:t>
            </w:r>
            <w:r w:rsidR="009D6D5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9D6D53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</w:t>
      </w:r>
      <w:r w:rsidR="009D6D53">
        <w:rPr>
          <w:rFonts w:cs="Times New Roman"/>
        </w:rPr>
        <w:t>Pripažinti netekusiais galios:</w:t>
      </w:r>
    </w:p>
    <w:p w:rsidR="000929A4" w:rsidRDefault="009D6D53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1.2.1. Panevėžio rajono savivaldybės tarybos 2014 m. gegužė</w:t>
      </w:r>
      <w:r w:rsidR="00892E19">
        <w:rPr>
          <w:rFonts w:cs="Times New Roman"/>
        </w:rPr>
        <w:t xml:space="preserve">s 8 d. sprendimo Nr. T-93 „Dėl </w:t>
      </w:r>
      <w:r>
        <w:rPr>
          <w:rFonts w:cs="Times New Roman"/>
        </w:rPr>
        <w:t>metinio nuomos mokesčio už</w:t>
      </w:r>
      <w:r w:rsidR="00892E19">
        <w:rPr>
          <w:rFonts w:cs="Times New Roman"/>
        </w:rPr>
        <w:t xml:space="preserve"> </w:t>
      </w:r>
      <w:r>
        <w:rPr>
          <w:rFonts w:cs="Times New Roman"/>
        </w:rPr>
        <w:t xml:space="preserve">valstybinę </w:t>
      </w:r>
      <w:r w:rsidR="00892E19">
        <w:rPr>
          <w:rFonts w:cs="Times New Roman"/>
        </w:rPr>
        <w:t>žemę tarifų nustatymo“ 1 punktą;</w:t>
      </w:r>
    </w:p>
    <w:p w:rsidR="009D6D53" w:rsidRDefault="009D6D53" w:rsidP="009D6D53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1.2.2.</w:t>
      </w:r>
      <w:r w:rsidRPr="009D6D53">
        <w:rPr>
          <w:rFonts w:cs="Times New Roman"/>
        </w:rPr>
        <w:t xml:space="preserve"> </w:t>
      </w:r>
      <w:r>
        <w:rPr>
          <w:rFonts w:cs="Times New Roman"/>
        </w:rPr>
        <w:t>Panevėžio rajono savivaldybės tarybos 2015 m. gegužės 7 d. sprendimo Nr. T-106 „</w:t>
      </w:r>
      <w:r w:rsidR="00892E19">
        <w:rPr>
          <w:rFonts w:cs="Times New Roman"/>
        </w:rPr>
        <w:t xml:space="preserve">Dėl </w:t>
      </w:r>
      <w:r>
        <w:rPr>
          <w:rFonts w:cs="Times New Roman"/>
        </w:rPr>
        <w:t>Panevėžio rajono savivaldybės tarybos 2014 m. geguž</w:t>
      </w:r>
      <w:r w:rsidR="00892E19">
        <w:rPr>
          <w:rFonts w:cs="Times New Roman"/>
        </w:rPr>
        <w:t>ės 8 d. sprendimo Nr. T-93 „Dėl</w:t>
      </w:r>
      <w:r>
        <w:rPr>
          <w:rFonts w:cs="Times New Roman"/>
        </w:rPr>
        <w:t xml:space="preserve"> metinio nuomos mokesčio už</w:t>
      </w:r>
      <w:r w:rsidR="00892E19">
        <w:rPr>
          <w:rFonts w:cs="Times New Roman"/>
        </w:rPr>
        <w:t xml:space="preserve"> </w:t>
      </w:r>
      <w:r>
        <w:rPr>
          <w:rFonts w:cs="Times New Roman"/>
        </w:rPr>
        <w:t>valstybinę žemę tarifų nustatymo“ pakeitimo“ 1 punktą.</w:t>
      </w:r>
    </w:p>
    <w:p w:rsidR="009145F2" w:rsidRDefault="00B4746D" w:rsidP="0004570A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1C06AF" w:rsidRDefault="001C06AF" w:rsidP="0004570A">
      <w:pPr>
        <w:pStyle w:val="Pagrindiniotekstotrauka"/>
        <w:ind w:firstLine="720"/>
        <w:jc w:val="both"/>
        <w:rPr>
          <w:rFonts w:cs="Times New Roman"/>
        </w:rPr>
      </w:pPr>
    </w:p>
    <w:p w:rsidR="001C06AF" w:rsidRDefault="000B11C7" w:rsidP="00892E19">
      <w:pPr>
        <w:pStyle w:val="Pagrindiniotekstotrauka"/>
        <w:jc w:val="both"/>
        <w:rPr>
          <w:rFonts w:cs="Times New Roman"/>
        </w:rPr>
      </w:pPr>
      <w:r>
        <w:rPr>
          <w:rFonts w:cs="Times New Roman"/>
        </w:rPr>
        <w:t xml:space="preserve">Savivaldybės meras </w:t>
      </w:r>
      <w:r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</w:r>
      <w:r w:rsidR="009B6E8A">
        <w:rPr>
          <w:rFonts w:cs="Times New Roman"/>
        </w:rPr>
        <w:tab/>
        <w:t xml:space="preserve">   Povilas </w:t>
      </w:r>
      <w:proofErr w:type="spellStart"/>
      <w:r w:rsidR="009B6E8A">
        <w:rPr>
          <w:rFonts w:cs="Times New Roman"/>
        </w:rPr>
        <w:t>Žagunis</w:t>
      </w:r>
      <w:proofErr w:type="spellEnd"/>
    </w:p>
    <w:sectPr w:rsidR="001C06AF" w:rsidSect="009B6E8A">
      <w:pgSz w:w="11907" w:h="16840" w:code="9"/>
      <w:pgMar w:top="1440" w:right="1077" w:bottom="1440" w:left="1077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5B" w:rsidRDefault="00D7255B">
      <w:r>
        <w:separator/>
      </w:r>
    </w:p>
  </w:endnote>
  <w:endnote w:type="continuationSeparator" w:id="0">
    <w:p w:rsidR="00D7255B" w:rsidRDefault="00D7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5B" w:rsidRDefault="00D7255B">
      <w:r>
        <w:separator/>
      </w:r>
    </w:p>
  </w:footnote>
  <w:footnote w:type="continuationSeparator" w:id="0">
    <w:p w:rsidR="00D7255B" w:rsidRDefault="00D7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5838"/>
    <w:rsid w:val="00017814"/>
    <w:rsid w:val="00020C07"/>
    <w:rsid w:val="00022413"/>
    <w:rsid w:val="00027216"/>
    <w:rsid w:val="00034F17"/>
    <w:rsid w:val="00037492"/>
    <w:rsid w:val="000450D3"/>
    <w:rsid w:val="0004570A"/>
    <w:rsid w:val="00054387"/>
    <w:rsid w:val="00064245"/>
    <w:rsid w:val="00067B7C"/>
    <w:rsid w:val="00086250"/>
    <w:rsid w:val="000929A4"/>
    <w:rsid w:val="00094421"/>
    <w:rsid w:val="000978C7"/>
    <w:rsid w:val="000A19E5"/>
    <w:rsid w:val="000A7A9E"/>
    <w:rsid w:val="000B11C7"/>
    <w:rsid w:val="000B26B0"/>
    <w:rsid w:val="000C326C"/>
    <w:rsid w:val="000D5B18"/>
    <w:rsid w:val="000E42FA"/>
    <w:rsid w:val="000E5C25"/>
    <w:rsid w:val="000E6744"/>
    <w:rsid w:val="000F40FC"/>
    <w:rsid w:val="000F4AEC"/>
    <w:rsid w:val="001056F7"/>
    <w:rsid w:val="00105DE8"/>
    <w:rsid w:val="00107984"/>
    <w:rsid w:val="001201EE"/>
    <w:rsid w:val="0012147E"/>
    <w:rsid w:val="001232DD"/>
    <w:rsid w:val="00123E09"/>
    <w:rsid w:val="00134261"/>
    <w:rsid w:val="00153C3B"/>
    <w:rsid w:val="00155A45"/>
    <w:rsid w:val="00160202"/>
    <w:rsid w:val="00172A5D"/>
    <w:rsid w:val="001825FA"/>
    <w:rsid w:val="00184A76"/>
    <w:rsid w:val="001B2960"/>
    <w:rsid w:val="001B5878"/>
    <w:rsid w:val="001B6F85"/>
    <w:rsid w:val="001C06AF"/>
    <w:rsid w:val="001C5E20"/>
    <w:rsid w:val="001F634F"/>
    <w:rsid w:val="00206D40"/>
    <w:rsid w:val="002226E5"/>
    <w:rsid w:val="002372D9"/>
    <w:rsid w:val="00244317"/>
    <w:rsid w:val="0024568D"/>
    <w:rsid w:val="00245AF2"/>
    <w:rsid w:val="002475DF"/>
    <w:rsid w:val="00254999"/>
    <w:rsid w:val="00255971"/>
    <w:rsid w:val="00260F1C"/>
    <w:rsid w:val="002651E6"/>
    <w:rsid w:val="00275EE1"/>
    <w:rsid w:val="00280059"/>
    <w:rsid w:val="002839AE"/>
    <w:rsid w:val="002915F5"/>
    <w:rsid w:val="00297AB2"/>
    <w:rsid w:val="002A0805"/>
    <w:rsid w:val="002A3D19"/>
    <w:rsid w:val="002B0527"/>
    <w:rsid w:val="002B1791"/>
    <w:rsid w:val="002D4D80"/>
    <w:rsid w:val="002E063A"/>
    <w:rsid w:val="002E171B"/>
    <w:rsid w:val="002E43C8"/>
    <w:rsid w:val="002F2C53"/>
    <w:rsid w:val="002F5959"/>
    <w:rsid w:val="002F6832"/>
    <w:rsid w:val="003220C8"/>
    <w:rsid w:val="00326B02"/>
    <w:rsid w:val="003274AB"/>
    <w:rsid w:val="00332262"/>
    <w:rsid w:val="00336ED4"/>
    <w:rsid w:val="00343C09"/>
    <w:rsid w:val="0034749E"/>
    <w:rsid w:val="003474B6"/>
    <w:rsid w:val="0035186A"/>
    <w:rsid w:val="00353B28"/>
    <w:rsid w:val="003554FB"/>
    <w:rsid w:val="003632CB"/>
    <w:rsid w:val="00364217"/>
    <w:rsid w:val="003917D6"/>
    <w:rsid w:val="003A16F3"/>
    <w:rsid w:val="003A3DD4"/>
    <w:rsid w:val="003A49B5"/>
    <w:rsid w:val="003A7E8B"/>
    <w:rsid w:val="003B01B5"/>
    <w:rsid w:val="003C0EA4"/>
    <w:rsid w:val="003E3A5F"/>
    <w:rsid w:val="003F04A0"/>
    <w:rsid w:val="004253DB"/>
    <w:rsid w:val="00434A8A"/>
    <w:rsid w:val="00461AAE"/>
    <w:rsid w:val="00467FD6"/>
    <w:rsid w:val="004725CB"/>
    <w:rsid w:val="00474941"/>
    <w:rsid w:val="00482C65"/>
    <w:rsid w:val="00491D82"/>
    <w:rsid w:val="0049741C"/>
    <w:rsid w:val="004B146A"/>
    <w:rsid w:val="004B1FD0"/>
    <w:rsid w:val="004B2A47"/>
    <w:rsid w:val="004B4305"/>
    <w:rsid w:val="004B7489"/>
    <w:rsid w:val="004B7638"/>
    <w:rsid w:val="004C4586"/>
    <w:rsid w:val="00500037"/>
    <w:rsid w:val="0050551C"/>
    <w:rsid w:val="005073B3"/>
    <w:rsid w:val="00512002"/>
    <w:rsid w:val="00525E12"/>
    <w:rsid w:val="00526532"/>
    <w:rsid w:val="0054028B"/>
    <w:rsid w:val="0055300A"/>
    <w:rsid w:val="00557E68"/>
    <w:rsid w:val="005729D2"/>
    <w:rsid w:val="00584279"/>
    <w:rsid w:val="005875B3"/>
    <w:rsid w:val="005A0025"/>
    <w:rsid w:val="005A504F"/>
    <w:rsid w:val="005A78A5"/>
    <w:rsid w:val="005B3AB6"/>
    <w:rsid w:val="005B70B5"/>
    <w:rsid w:val="005B7E0D"/>
    <w:rsid w:val="005C555E"/>
    <w:rsid w:val="005C67A4"/>
    <w:rsid w:val="005D234B"/>
    <w:rsid w:val="005D536A"/>
    <w:rsid w:val="005E0A2C"/>
    <w:rsid w:val="005E395D"/>
    <w:rsid w:val="005E60BC"/>
    <w:rsid w:val="00603BE6"/>
    <w:rsid w:val="00604098"/>
    <w:rsid w:val="00606A0B"/>
    <w:rsid w:val="006147FE"/>
    <w:rsid w:val="00616699"/>
    <w:rsid w:val="0061725D"/>
    <w:rsid w:val="00621AD2"/>
    <w:rsid w:val="0063401E"/>
    <w:rsid w:val="00636BB5"/>
    <w:rsid w:val="00644113"/>
    <w:rsid w:val="00654388"/>
    <w:rsid w:val="006674CC"/>
    <w:rsid w:val="006846AE"/>
    <w:rsid w:val="006927C3"/>
    <w:rsid w:val="006A3CE1"/>
    <w:rsid w:val="006B6FA9"/>
    <w:rsid w:val="006D7051"/>
    <w:rsid w:val="006D73A1"/>
    <w:rsid w:val="006F0FFD"/>
    <w:rsid w:val="00701E4F"/>
    <w:rsid w:val="00704CFF"/>
    <w:rsid w:val="00725EAB"/>
    <w:rsid w:val="00742E07"/>
    <w:rsid w:val="00756AC5"/>
    <w:rsid w:val="00763D21"/>
    <w:rsid w:val="00785948"/>
    <w:rsid w:val="00790EED"/>
    <w:rsid w:val="00797939"/>
    <w:rsid w:val="007A13F0"/>
    <w:rsid w:val="007B05B4"/>
    <w:rsid w:val="007C6DF9"/>
    <w:rsid w:val="007D00F5"/>
    <w:rsid w:val="007D4C8E"/>
    <w:rsid w:val="007D5137"/>
    <w:rsid w:val="007D7E38"/>
    <w:rsid w:val="007F3E48"/>
    <w:rsid w:val="007F7C3C"/>
    <w:rsid w:val="0080248F"/>
    <w:rsid w:val="00802D8A"/>
    <w:rsid w:val="00804D3E"/>
    <w:rsid w:val="00826FD6"/>
    <w:rsid w:val="00840D3B"/>
    <w:rsid w:val="00847A22"/>
    <w:rsid w:val="00852880"/>
    <w:rsid w:val="00877F5D"/>
    <w:rsid w:val="00892E19"/>
    <w:rsid w:val="008933A2"/>
    <w:rsid w:val="00894DD4"/>
    <w:rsid w:val="008B3C5B"/>
    <w:rsid w:val="008C3F66"/>
    <w:rsid w:val="008D0134"/>
    <w:rsid w:val="008D28BB"/>
    <w:rsid w:val="008D6A36"/>
    <w:rsid w:val="00907EDA"/>
    <w:rsid w:val="009145F2"/>
    <w:rsid w:val="00922004"/>
    <w:rsid w:val="00925E8D"/>
    <w:rsid w:val="009309B9"/>
    <w:rsid w:val="00933E29"/>
    <w:rsid w:val="009353AE"/>
    <w:rsid w:val="009554BB"/>
    <w:rsid w:val="009748F7"/>
    <w:rsid w:val="00980318"/>
    <w:rsid w:val="00980F65"/>
    <w:rsid w:val="00986716"/>
    <w:rsid w:val="0099011E"/>
    <w:rsid w:val="00993B03"/>
    <w:rsid w:val="00996609"/>
    <w:rsid w:val="009A5AD4"/>
    <w:rsid w:val="009B2A9D"/>
    <w:rsid w:val="009B6920"/>
    <w:rsid w:val="009B6E8A"/>
    <w:rsid w:val="009B711B"/>
    <w:rsid w:val="009D2AF7"/>
    <w:rsid w:val="009D6D53"/>
    <w:rsid w:val="009D7AA7"/>
    <w:rsid w:val="009F50B6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A373B"/>
    <w:rsid w:val="00AA46FC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4F4D"/>
    <w:rsid w:val="00B3760F"/>
    <w:rsid w:val="00B4078B"/>
    <w:rsid w:val="00B471F0"/>
    <w:rsid w:val="00B4746D"/>
    <w:rsid w:val="00B55F53"/>
    <w:rsid w:val="00B72C44"/>
    <w:rsid w:val="00B74D34"/>
    <w:rsid w:val="00B77F0D"/>
    <w:rsid w:val="00B80DC4"/>
    <w:rsid w:val="00B909E2"/>
    <w:rsid w:val="00B90FE4"/>
    <w:rsid w:val="00B92F60"/>
    <w:rsid w:val="00B951F0"/>
    <w:rsid w:val="00B97007"/>
    <w:rsid w:val="00BA0F7D"/>
    <w:rsid w:val="00BA15E9"/>
    <w:rsid w:val="00BA1EBD"/>
    <w:rsid w:val="00BA299F"/>
    <w:rsid w:val="00BA6222"/>
    <w:rsid w:val="00BB63B8"/>
    <w:rsid w:val="00BB79B2"/>
    <w:rsid w:val="00BD0AEA"/>
    <w:rsid w:val="00BD63BE"/>
    <w:rsid w:val="00BE109B"/>
    <w:rsid w:val="00BF42DB"/>
    <w:rsid w:val="00C17398"/>
    <w:rsid w:val="00C230B7"/>
    <w:rsid w:val="00C2562B"/>
    <w:rsid w:val="00C33B5B"/>
    <w:rsid w:val="00C34135"/>
    <w:rsid w:val="00C53B63"/>
    <w:rsid w:val="00C924CC"/>
    <w:rsid w:val="00CB288F"/>
    <w:rsid w:val="00CD5F1A"/>
    <w:rsid w:val="00CD7229"/>
    <w:rsid w:val="00CF015E"/>
    <w:rsid w:val="00D051B1"/>
    <w:rsid w:val="00D201A8"/>
    <w:rsid w:val="00D2318D"/>
    <w:rsid w:val="00D23EA7"/>
    <w:rsid w:val="00D27373"/>
    <w:rsid w:val="00D407E0"/>
    <w:rsid w:val="00D44A3B"/>
    <w:rsid w:val="00D46E28"/>
    <w:rsid w:val="00D6545C"/>
    <w:rsid w:val="00D7255B"/>
    <w:rsid w:val="00D736E4"/>
    <w:rsid w:val="00DA7B3C"/>
    <w:rsid w:val="00DB0CA8"/>
    <w:rsid w:val="00DB6BC9"/>
    <w:rsid w:val="00DD50F4"/>
    <w:rsid w:val="00DE2173"/>
    <w:rsid w:val="00DF5FFC"/>
    <w:rsid w:val="00DF72D7"/>
    <w:rsid w:val="00DF7C9C"/>
    <w:rsid w:val="00E0082D"/>
    <w:rsid w:val="00E0118B"/>
    <w:rsid w:val="00E06312"/>
    <w:rsid w:val="00E21572"/>
    <w:rsid w:val="00E46D84"/>
    <w:rsid w:val="00E80982"/>
    <w:rsid w:val="00E9647A"/>
    <w:rsid w:val="00EC0A4A"/>
    <w:rsid w:val="00EC18A0"/>
    <w:rsid w:val="00EC1CD9"/>
    <w:rsid w:val="00EC5399"/>
    <w:rsid w:val="00EF0C98"/>
    <w:rsid w:val="00F47E96"/>
    <w:rsid w:val="00F50883"/>
    <w:rsid w:val="00F50B72"/>
    <w:rsid w:val="00F57710"/>
    <w:rsid w:val="00F639B3"/>
    <w:rsid w:val="00F65159"/>
    <w:rsid w:val="00F727DE"/>
    <w:rsid w:val="00F836B8"/>
    <w:rsid w:val="00F8795D"/>
    <w:rsid w:val="00FA2D0B"/>
    <w:rsid w:val="00FA53EF"/>
    <w:rsid w:val="00FE09E2"/>
    <w:rsid w:val="00FE45B3"/>
    <w:rsid w:val="00FE7928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D23EA7"/>
    <w:rPr>
      <w:b/>
      <w:bCs/>
    </w:rPr>
  </w:style>
  <w:style w:type="character" w:styleId="Rykuspabraukimas">
    <w:name w:val="Intense Emphasis"/>
    <w:basedOn w:val="Numatytasispastraiposriftas"/>
    <w:uiPriority w:val="21"/>
    <w:qFormat/>
    <w:rsid w:val="0058427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D23EA7"/>
    <w:rPr>
      <w:b/>
      <w:bCs/>
    </w:rPr>
  </w:style>
  <w:style w:type="character" w:styleId="Rykuspabraukimas">
    <w:name w:val="Intense Emphasis"/>
    <w:basedOn w:val="Numatytasispastraiposriftas"/>
    <w:uiPriority w:val="21"/>
    <w:qFormat/>
    <w:rsid w:val="0058427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5936-B8C7-4350-AFB7-8429976F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16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12</cp:revision>
  <cp:lastPrinted>2019-05-30T08:26:00Z</cp:lastPrinted>
  <dcterms:created xsi:type="dcterms:W3CDTF">2019-05-17T12:27:00Z</dcterms:created>
  <dcterms:modified xsi:type="dcterms:W3CDTF">2019-05-30T10:26:00Z</dcterms:modified>
</cp:coreProperties>
</file>