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A" w:rsidRDefault="00A34F0A" w:rsidP="00A34F0A">
      <w:pPr>
        <w:pStyle w:val="Header"/>
        <w:jc w:val="center"/>
        <w:rPr>
          <w:szCs w:val="24"/>
        </w:rPr>
      </w:pPr>
    </w:p>
    <w:p w:rsidR="00A34F0A" w:rsidRDefault="00AA1E08" w:rsidP="00A34F0A">
      <w:pPr>
        <w:pStyle w:val="Header"/>
        <w:jc w:val="center"/>
        <w:rPr>
          <w:szCs w:val="24"/>
        </w:rPr>
      </w:pPr>
      <w:r>
        <w:rPr>
          <w:szCs w:val="24"/>
        </w:rPr>
        <w:t>2018 m. sausio 18</w:t>
      </w:r>
      <w:r w:rsidR="00A34F0A">
        <w:rPr>
          <w:szCs w:val="24"/>
        </w:rPr>
        <w:t xml:space="preserve"> d. Nr. </w:t>
      </w:r>
      <w:r w:rsidR="00A76719">
        <w:rPr>
          <w:szCs w:val="24"/>
        </w:rPr>
        <w:t>T-11</w:t>
      </w:r>
    </w:p>
    <w:p w:rsidR="00A34F0A" w:rsidRDefault="00A34F0A" w:rsidP="00A34F0A">
      <w:pPr>
        <w:pStyle w:val="Header"/>
        <w:jc w:val="center"/>
        <w:rPr>
          <w:szCs w:val="24"/>
        </w:rPr>
      </w:pPr>
      <w:r>
        <w:rPr>
          <w:szCs w:val="24"/>
        </w:rPr>
        <w:t>Panevėžys</w:t>
      </w: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Pr="007A5E7F" w:rsidRDefault="00A34F0A" w:rsidP="00A34F0A">
      <w:pPr>
        <w:ind w:firstLine="720"/>
        <w:jc w:val="both"/>
        <w:rPr>
          <w:sz w:val="24"/>
          <w:szCs w:val="24"/>
          <w:lang w:eastAsia="lt-LT"/>
        </w:rPr>
      </w:pPr>
      <w:r w:rsidRPr="001109A5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</w:t>
      </w:r>
      <w:r w:rsidR="004D4264">
        <w:rPr>
          <w:sz w:val="24"/>
          <w:szCs w:val="24"/>
        </w:rPr>
        <w:t>kos vietos savivaldos įstatymo 18</w:t>
      </w:r>
      <w:r>
        <w:rPr>
          <w:sz w:val="24"/>
          <w:szCs w:val="24"/>
        </w:rPr>
        <w:t xml:space="preserve"> str</w:t>
      </w:r>
      <w:r w:rsidR="004D4264">
        <w:rPr>
          <w:sz w:val="24"/>
          <w:szCs w:val="24"/>
        </w:rPr>
        <w:t>aipsnio 1 dalimi</w:t>
      </w:r>
      <w:r w:rsidR="00C87C38">
        <w:rPr>
          <w:sz w:val="24"/>
          <w:szCs w:val="24"/>
        </w:rPr>
        <w:t xml:space="preserve">, </w:t>
      </w:r>
      <w:r w:rsidRPr="007A5E7F">
        <w:rPr>
          <w:sz w:val="24"/>
          <w:szCs w:val="24"/>
          <w:lang w:eastAsia="lt-LT"/>
        </w:rPr>
        <w:t xml:space="preserve">Lietuvos Respublikos </w:t>
      </w:r>
      <w:proofErr w:type="gramStart"/>
      <w:r w:rsidR="00C87C38">
        <w:rPr>
          <w:sz w:val="24"/>
          <w:szCs w:val="24"/>
          <w:lang w:eastAsia="lt-LT"/>
        </w:rPr>
        <w:t>švietimo ir mokslo ministro</w:t>
      </w:r>
      <w:proofErr w:type="gramEnd"/>
      <w:r w:rsidR="00C87C38">
        <w:rPr>
          <w:sz w:val="24"/>
          <w:szCs w:val="24"/>
          <w:lang w:eastAsia="lt-LT"/>
        </w:rPr>
        <w:t xml:space="preserve"> 2017 m. gruodžio 22</w:t>
      </w:r>
      <w:r w:rsidRPr="007A5E7F">
        <w:rPr>
          <w:sz w:val="24"/>
          <w:szCs w:val="24"/>
          <w:lang w:eastAsia="lt-LT"/>
        </w:rPr>
        <w:t xml:space="preserve"> d. </w:t>
      </w:r>
      <w:r w:rsidR="00C87C38">
        <w:rPr>
          <w:sz w:val="24"/>
          <w:szCs w:val="24"/>
          <w:lang w:eastAsia="lt-LT"/>
        </w:rPr>
        <w:t xml:space="preserve">įsakymu Nr. V-1088 </w:t>
      </w:r>
      <w:r w:rsidRPr="007A5E7F">
        <w:rPr>
          <w:sz w:val="24"/>
          <w:szCs w:val="24"/>
          <w:lang w:eastAsia="lt-LT"/>
        </w:rPr>
        <w:t>„Dėl švietimo ir mokslo ministro 2016 m. sa</w:t>
      </w:r>
      <w:r w:rsidR="003435FD">
        <w:rPr>
          <w:sz w:val="24"/>
          <w:szCs w:val="24"/>
          <w:lang w:eastAsia="lt-LT"/>
        </w:rPr>
        <w:t>usio 5 d. įsakymo Nr. V-1 „Dėl N</w:t>
      </w:r>
      <w:r w:rsidRPr="007A5E7F">
        <w:rPr>
          <w:sz w:val="24"/>
          <w:szCs w:val="24"/>
          <w:lang w:eastAsia="lt-LT"/>
        </w:rPr>
        <w:t>eformaliojo vaikų švietimo lėšų skyrimo ir panaudojimo tvarkos aprašo patvirtinimo“ pakeitimo“,</w:t>
      </w:r>
      <w:r>
        <w:rPr>
          <w:sz w:val="24"/>
          <w:szCs w:val="24"/>
          <w:lang w:eastAsia="lt-LT"/>
        </w:rPr>
        <w:t xml:space="preserve"> Panevėžio</w:t>
      </w:r>
      <w:r w:rsidRPr="007A5E7F">
        <w:rPr>
          <w:sz w:val="24"/>
          <w:szCs w:val="24"/>
          <w:lang w:eastAsia="lt-LT"/>
        </w:rPr>
        <w:t xml:space="preserve"> rajono savivaldybės taryba n u s p r e n d ž i a: </w:t>
      </w:r>
    </w:p>
    <w:p w:rsidR="00A34F0A" w:rsidRPr="007A5E7F" w:rsidRDefault="00A34F0A" w:rsidP="00A34F0A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 N</w:t>
      </w:r>
      <w:r w:rsidRPr="007A5E7F">
        <w:rPr>
          <w:sz w:val="24"/>
          <w:szCs w:val="24"/>
          <w:lang w:eastAsia="lt-LT"/>
        </w:rPr>
        <w:t>eformaliojo vaikų švietimo lėšų skyri</w:t>
      </w:r>
      <w:r>
        <w:rPr>
          <w:sz w:val="24"/>
          <w:szCs w:val="24"/>
          <w:lang w:eastAsia="lt-LT"/>
        </w:rPr>
        <w:t>mo ir panaudojimo tvarkos aprašą, patvirtintą Panevėžio</w:t>
      </w:r>
      <w:r w:rsidRPr="007A5E7F">
        <w:rPr>
          <w:sz w:val="24"/>
          <w:szCs w:val="24"/>
          <w:lang w:eastAsia="lt-LT"/>
        </w:rPr>
        <w:t xml:space="preserve"> rajono </w:t>
      </w:r>
      <w:proofErr w:type="gramStart"/>
      <w:r w:rsidRPr="007A5E7F">
        <w:rPr>
          <w:sz w:val="24"/>
          <w:szCs w:val="24"/>
          <w:lang w:eastAsia="lt-LT"/>
        </w:rPr>
        <w:t>saviva</w:t>
      </w:r>
      <w:r>
        <w:rPr>
          <w:sz w:val="24"/>
          <w:szCs w:val="24"/>
          <w:lang w:eastAsia="lt-LT"/>
        </w:rPr>
        <w:t>ldybės tarybos</w:t>
      </w:r>
      <w:proofErr w:type="gramEnd"/>
      <w:r>
        <w:rPr>
          <w:sz w:val="24"/>
          <w:szCs w:val="24"/>
          <w:lang w:eastAsia="lt-LT"/>
        </w:rPr>
        <w:t xml:space="preserve"> 2016 m. sausio 28 d. sprendimu Nr. T-7</w:t>
      </w:r>
      <w:r w:rsidRPr="007A5E7F">
        <w:rPr>
          <w:sz w:val="24"/>
          <w:szCs w:val="24"/>
          <w:lang w:eastAsia="lt-LT"/>
        </w:rPr>
        <w:t>:</w:t>
      </w:r>
    </w:p>
    <w:p w:rsidR="00A34F0A" w:rsidRPr="00777960" w:rsidRDefault="003435FD" w:rsidP="00A34F0A">
      <w:pPr>
        <w:pStyle w:val="NoSpacing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pakeisti 1</w:t>
      </w:r>
      <w:r w:rsidR="00A34F0A" w:rsidRPr="0077796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punktą</w:t>
      </w:r>
      <w:r w:rsidR="00A34F0A" w:rsidRPr="00777960">
        <w:rPr>
          <w:sz w:val="24"/>
          <w:szCs w:val="24"/>
          <w:lang w:eastAsia="lt-LT"/>
        </w:rPr>
        <w:t xml:space="preserve"> ir jį išdėstyti taip:</w:t>
      </w:r>
    </w:p>
    <w:p w:rsidR="00A34F0A" w:rsidRPr="00777960" w:rsidRDefault="003435FD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</w:t>
      </w:r>
      <w:r w:rsidR="00A34F0A" w:rsidRPr="00777960">
        <w:rPr>
          <w:sz w:val="24"/>
          <w:szCs w:val="24"/>
        </w:rPr>
        <w:t xml:space="preserve"> Neformaliojo vaikų švietimo lėšų skyrimo ir panaudojimo tvarkos aprašo (toliau – Aprašas) paskirtis – apibrėžti valstybės biudžeto ir / arba Europos Sąjungos finansinės paramos ir bendrojo finansavimo lėšų, skiriamų savivaldybei mokinių ugdymui pagal neformaliojo švietimo (išskyrus ikimokyklinio, priešmokyklinio ir formalųjį švietimą papildančio ugdymo) (toliau – NVŠ) programas, skyrimo principus, lėšų naudojimą, reikalavimus švietimo teikėjui ir NVŠ programoms, NVŠ tikslinėmis lėšomis finansuojamų vaikų apskaitą, NVŠ programų vertinimo, kokybės užtikrinimo ir atsiskaitymo už NVŠ lėšas tvarką“;</w:t>
      </w:r>
    </w:p>
    <w:p w:rsidR="00A34F0A" w:rsidRPr="00777960" w:rsidRDefault="004F2D8D" w:rsidP="00A34F0A">
      <w:pPr>
        <w:pStyle w:val="NoSpacing"/>
        <w:ind w:firstLine="720"/>
        <w:jc w:val="both"/>
        <w:rPr>
          <w:sz w:val="24"/>
          <w:szCs w:val="24"/>
          <w:lang w:eastAsia="lt-LT"/>
        </w:rPr>
      </w:pPr>
      <w:r w:rsidRPr="00777960">
        <w:rPr>
          <w:sz w:val="24"/>
          <w:szCs w:val="24"/>
        </w:rPr>
        <w:t>2</w:t>
      </w:r>
      <w:r w:rsidR="00A34F0A" w:rsidRPr="00777960">
        <w:rPr>
          <w:sz w:val="24"/>
          <w:szCs w:val="24"/>
        </w:rPr>
        <w:t>. pakeisti 4 punktą ir jį išdėstyti taip:</w:t>
      </w:r>
      <w:r w:rsidR="00A34F0A" w:rsidRPr="00777960">
        <w:rPr>
          <w:sz w:val="24"/>
          <w:szCs w:val="24"/>
          <w:lang w:eastAsia="lt-LT"/>
        </w:rPr>
        <w:t xml:space="preserve"> </w:t>
      </w:r>
    </w:p>
    <w:p w:rsidR="00A34F0A" w:rsidRPr="00777960" w:rsidRDefault="00A34F0A" w:rsidP="00A34F0A">
      <w:pPr>
        <w:pStyle w:val="NoSpacing"/>
        <w:ind w:firstLine="720"/>
        <w:jc w:val="both"/>
        <w:rPr>
          <w:sz w:val="24"/>
          <w:szCs w:val="24"/>
        </w:rPr>
      </w:pPr>
      <w:r w:rsidRPr="00777960">
        <w:rPr>
          <w:sz w:val="24"/>
          <w:szCs w:val="24"/>
          <w:lang w:eastAsia="lt-LT"/>
        </w:rPr>
        <w:t xml:space="preserve">„4. </w:t>
      </w:r>
      <w:r w:rsidRPr="00777960">
        <w:rPr>
          <w:sz w:val="24"/>
          <w:szCs w:val="24"/>
        </w:rPr>
        <w:t>NVŠ lėšos skirstomos taip:</w:t>
      </w:r>
    </w:p>
    <w:p w:rsidR="00A34F0A" w:rsidRPr="00777960" w:rsidRDefault="00A34F0A" w:rsidP="00A34F0A">
      <w:pPr>
        <w:pStyle w:val="NoSpacing"/>
        <w:ind w:firstLine="720"/>
        <w:jc w:val="both"/>
        <w:rPr>
          <w:sz w:val="24"/>
          <w:szCs w:val="24"/>
        </w:rPr>
      </w:pPr>
      <w:r w:rsidRPr="00777960">
        <w:rPr>
          <w:sz w:val="24"/>
          <w:szCs w:val="24"/>
        </w:rPr>
        <w:t>4.1. nustatoma vienam mokiniui skiriama lėšų suma, kuri apskaičiuojama visą NVŠ skirtą sumą padalijus iš mokinių, praėjusių kalendorinių metų rugsėjo 1 d. besimokiusių pagal bendrojo ugdymo programas, skaičiaus ir iš finansuojamo laikotarpio mėnesių skaičiaus;</w:t>
      </w:r>
    </w:p>
    <w:p w:rsidR="00A34F0A" w:rsidRPr="003D7EBE" w:rsidRDefault="00A34F0A" w:rsidP="00A34F0A">
      <w:pPr>
        <w:pStyle w:val="NoSpacing"/>
        <w:ind w:firstLine="720"/>
        <w:jc w:val="both"/>
        <w:rPr>
          <w:sz w:val="24"/>
          <w:szCs w:val="24"/>
        </w:rPr>
      </w:pPr>
      <w:r w:rsidRPr="00777960">
        <w:rPr>
          <w:sz w:val="24"/>
          <w:szCs w:val="24"/>
        </w:rPr>
        <w:t>4.2. savivaldybei tenkanti lėšų suma apskaičiuojama vienam mokiniui 4.1 papunktyje nustatytą dydį padauginus iš savivaldybėje praėjusių kalendorinių metų rugsėjo 1 d. pagal bendrojo ugdymo programas besimokiusių vaikų skaičiaus ir mėnesių skaičiaus</w:t>
      </w:r>
      <w:r w:rsidR="009D6892" w:rsidRPr="003435FD">
        <w:rPr>
          <w:sz w:val="24"/>
          <w:szCs w:val="24"/>
        </w:rPr>
        <w:t xml:space="preserve">. </w:t>
      </w:r>
      <w:r w:rsidR="009D6892">
        <w:rPr>
          <w:sz w:val="24"/>
          <w:szCs w:val="24"/>
        </w:rPr>
        <w:t xml:space="preserve">Lėšos savivaldybei skiriamos </w:t>
      </w:r>
      <w:proofErr w:type="gramStart"/>
      <w:r w:rsidR="009D6892">
        <w:rPr>
          <w:sz w:val="24"/>
          <w:szCs w:val="24"/>
        </w:rPr>
        <w:t>švietimo ir mokslo ministro</w:t>
      </w:r>
      <w:proofErr w:type="gramEnd"/>
      <w:r w:rsidR="009D6892">
        <w:rPr>
          <w:sz w:val="24"/>
          <w:szCs w:val="24"/>
        </w:rPr>
        <w:t xml:space="preserve"> įsakymu“</w:t>
      </w:r>
      <w:r w:rsidR="003435FD">
        <w:rPr>
          <w:sz w:val="24"/>
          <w:szCs w:val="24"/>
        </w:rPr>
        <w:t>;</w:t>
      </w:r>
    </w:p>
    <w:p w:rsidR="00A34F0A" w:rsidRDefault="009A19A3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34F0A">
        <w:rPr>
          <w:sz w:val="24"/>
          <w:szCs w:val="24"/>
        </w:rPr>
        <w:t>. p</w:t>
      </w:r>
      <w:r w:rsidR="009D190A">
        <w:rPr>
          <w:sz w:val="24"/>
          <w:szCs w:val="24"/>
        </w:rPr>
        <w:t>akeisti 7</w:t>
      </w:r>
      <w:r>
        <w:rPr>
          <w:sz w:val="24"/>
          <w:szCs w:val="24"/>
        </w:rPr>
        <w:t xml:space="preserve"> </w:t>
      </w:r>
      <w:r w:rsidR="00A34F0A" w:rsidRPr="003D7EBE">
        <w:rPr>
          <w:sz w:val="24"/>
          <w:szCs w:val="24"/>
        </w:rPr>
        <w:t>punktą ir jį išdėstyti taip:</w:t>
      </w:r>
    </w:p>
    <w:p w:rsidR="009C74FE" w:rsidRPr="003D7EBE" w:rsidRDefault="009D190A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„7</w:t>
      </w:r>
      <w:r w:rsidR="009C74FE">
        <w:rPr>
          <w:sz w:val="24"/>
          <w:szCs w:val="24"/>
        </w:rPr>
        <w:t>. NVŠ lėšų suma vienam NVŠ program</w:t>
      </w:r>
      <w:r w:rsidR="00777960">
        <w:rPr>
          <w:sz w:val="24"/>
          <w:szCs w:val="24"/>
        </w:rPr>
        <w:t>oje dalyvaujančiam vaikui negal</w:t>
      </w:r>
      <w:r w:rsidR="009C74FE">
        <w:rPr>
          <w:sz w:val="24"/>
          <w:szCs w:val="24"/>
        </w:rPr>
        <w:t>i būti mažesnė nei 10 eurų ir didesnė nei 20 eurų.“</w:t>
      </w:r>
      <w:r w:rsidR="003435FD">
        <w:rPr>
          <w:sz w:val="24"/>
          <w:szCs w:val="24"/>
        </w:rPr>
        <w:t>;</w:t>
      </w:r>
    </w:p>
    <w:p w:rsidR="00A34F0A" w:rsidRDefault="009A1DF9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4F0A">
        <w:rPr>
          <w:sz w:val="24"/>
          <w:szCs w:val="24"/>
        </w:rPr>
        <w:t>. p</w:t>
      </w:r>
      <w:r>
        <w:rPr>
          <w:sz w:val="24"/>
          <w:szCs w:val="24"/>
        </w:rPr>
        <w:t>akeisti 1</w:t>
      </w:r>
      <w:r w:rsidR="00A34F0A" w:rsidRPr="003D7EBE">
        <w:rPr>
          <w:sz w:val="24"/>
          <w:szCs w:val="24"/>
        </w:rPr>
        <w:t>1 punktą ir jį išdėstyti taip:</w:t>
      </w:r>
    </w:p>
    <w:p w:rsidR="009A1DF9" w:rsidRDefault="009A1DF9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„11. NVŠ lėšos skiriamos vaiko, dalyvaujančio NVŠ programoje, ugdymo procesui ir tiesiogiai s</w:t>
      </w:r>
      <w:r w:rsidR="009011AA">
        <w:rPr>
          <w:sz w:val="24"/>
          <w:szCs w:val="24"/>
        </w:rPr>
        <w:t>u juo susijusiomis išlaidomis f</w:t>
      </w:r>
      <w:r>
        <w:rPr>
          <w:sz w:val="24"/>
          <w:szCs w:val="24"/>
        </w:rPr>
        <w:t>inansuoti</w:t>
      </w:r>
      <w:r w:rsidR="003435FD">
        <w:rPr>
          <w:sz w:val="24"/>
          <w:szCs w:val="24"/>
        </w:rPr>
        <w:t>.“;</w:t>
      </w:r>
    </w:p>
    <w:p w:rsidR="009011AA" w:rsidRDefault="009011AA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Pakeisti 12 punktą ir jį išdėstyti taip:</w:t>
      </w:r>
    </w:p>
    <w:p w:rsidR="001F79CC" w:rsidRDefault="001F79CC" w:rsidP="003435FD">
      <w:pPr>
        <w:pStyle w:val="Hyperlink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„12. </w:t>
      </w:r>
      <w:r w:rsidRPr="00F94A3E">
        <w:rPr>
          <w:rFonts w:ascii="Times New Roman" w:hAnsi="Times New Roman"/>
          <w:sz w:val="24"/>
          <w:szCs w:val="24"/>
          <w:lang w:val="lt-LT"/>
        </w:rPr>
        <w:t>NVŠ lėšų negalima naudoti:</w:t>
      </w:r>
    </w:p>
    <w:p w:rsidR="001F79CC" w:rsidRDefault="001F79CC" w:rsidP="001F79CC">
      <w:pPr>
        <w:pStyle w:val="Hyperlink1"/>
        <w:ind w:left="360" w:firstLine="49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12.1. </w:t>
      </w:r>
      <w:r w:rsidRPr="00F94A3E">
        <w:rPr>
          <w:rFonts w:ascii="Times New Roman" w:hAnsi="Times New Roman"/>
          <w:sz w:val="24"/>
          <w:szCs w:val="24"/>
          <w:lang w:val="lt-LT"/>
        </w:rPr>
        <w:t xml:space="preserve">pramoginių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0174EA">
        <w:rPr>
          <w:rFonts w:ascii="Times New Roman" w:hAnsi="Times New Roman"/>
          <w:sz w:val="24"/>
          <w:szCs w:val="24"/>
          <w:lang w:val="lt-LT"/>
        </w:rPr>
        <w:t>poilsio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94A3E">
        <w:rPr>
          <w:rFonts w:ascii="Times New Roman" w:hAnsi="Times New Roman"/>
          <w:sz w:val="24"/>
          <w:szCs w:val="24"/>
          <w:lang w:val="lt-LT"/>
        </w:rPr>
        <w:t>renginių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94A3E">
        <w:rPr>
          <w:rFonts w:ascii="Times New Roman" w:hAnsi="Times New Roman"/>
          <w:sz w:val="24"/>
          <w:szCs w:val="24"/>
          <w:lang w:val="lt-LT"/>
        </w:rPr>
        <w:t>išlaidoms apmokėti;</w:t>
      </w:r>
    </w:p>
    <w:p w:rsidR="001F79CC" w:rsidRDefault="001F79CC" w:rsidP="001F79CC">
      <w:pPr>
        <w:pStyle w:val="Hyperlink1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12.2. </w:t>
      </w:r>
      <w:r w:rsidRPr="00F94A3E">
        <w:rPr>
          <w:rFonts w:ascii="Times New Roman" w:hAnsi="Times New Roman"/>
          <w:sz w:val="24"/>
          <w:szCs w:val="24"/>
          <w:lang w:val="lt-LT" w:eastAsia="lt-LT"/>
        </w:rPr>
        <w:t>NVŠ programoms, kai NVŠ teikėjas yra mokykla, teikianti bendrąjį ugdymą, finansuoti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:rsidR="001F79CC" w:rsidRPr="00F94A3E" w:rsidRDefault="001F79CC" w:rsidP="001F79CC">
      <w:pPr>
        <w:pStyle w:val="Hyperlink1"/>
        <w:ind w:left="360" w:firstLine="49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12.3. </w:t>
      </w:r>
      <w:r w:rsidRPr="00F94A3E">
        <w:rPr>
          <w:rFonts w:ascii="Times New Roman" w:hAnsi="Times New Roman"/>
          <w:sz w:val="24"/>
          <w:szCs w:val="24"/>
          <w:lang w:val="lt-LT"/>
        </w:rPr>
        <w:t xml:space="preserve">rekonstrukcijos, </w:t>
      </w:r>
      <w:r w:rsidRPr="000174EA">
        <w:rPr>
          <w:rFonts w:ascii="Times New Roman" w:hAnsi="Times New Roman"/>
          <w:sz w:val="24"/>
          <w:szCs w:val="24"/>
          <w:lang w:val="lt-LT"/>
        </w:rPr>
        <w:t>remonto,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94A3E">
        <w:rPr>
          <w:rFonts w:ascii="Times New Roman" w:hAnsi="Times New Roman"/>
          <w:sz w:val="24"/>
          <w:szCs w:val="24"/>
          <w:lang w:val="lt-LT"/>
        </w:rPr>
        <w:t xml:space="preserve">statybos išlaidoms padengti ir </w:t>
      </w:r>
      <w:r w:rsidRPr="00EE0AEF">
        <w:rPr>
          <w:rFonts w:ascii="Times New Roman" w:hAnsi="Times New Roman"/>
          <w:sz w:val="24"/>
          <w:szCs w:val="24"/>
          <w:lang w:val="lt-LT"/>
        </w:rPr>
        <w:t>ilgalaikiam turtui įsigyti</w:t>
      </w:r>
      <w:r w:rsidRPr="00F94A3E">
        <w:rPr>
          <w:rFonts w:ascii="Times New Roman" w:hAnsi="Times New Roman"/>
          <w:sz w:val="24"/>
          <w:szCs w:val="24"/>
          <w:lang w:val="lt-LT"/>
        </w:rPr>
        <w:t>;</w:t>
      </w:r>
    </w:p>
    <w:p w:rsidR="001F79CC" w:rsidRDefault="001F79CC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12.</w:t>
      </w:r>
      <w:r w:rsidRPr="008907DC">
        <w:rPr>
          <w:rFonts w:ascii="Times New Roman" w:hAnsi="Times New Roman"/>
          <w:sz w:val="24"/>
          <w:szCs w:val="24"/>
          <w:lang w:val="lt-LT"/>
        </w:rPr>
        <w:t>4. NVŠ programos vykdytojo įsiskolinimams padengti.“</w:t>
      </w:r>
      <w:r w:rsidR="003435FD">
        <w:rPr>
          <w:rFonts w:ascii="Times New Roman" w:hAnsi="Times New Roman"/>
          <w:sz w:val="24"/>
          <w:szCs w:val="24"/>
          <w:lang w:val="lt-LT"/>
        </w:rPr>
        <w:t>;</w:t>
      </w:r>
    </w:p>
    <w:p w:rsidR="00FA25E3" w:rsidRDefault="00FA25E3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 pakeisti 22 punktą ir jį išdėstyti taip:</w:t>
      </w:r>
    </w:p>
    <w:p w:rsidR="00FA25E3" w:rsidRDefault="00FA25E3" w:rsidP="003435FD">
      <w:pPr>
        <w:pStyle w:val="Hyperlink1"/>
        <w:tabs>
          <w:tab w:val="left" w:pos="851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„22. Savivaldybės administracijos direktorius, atsižvelgdamas į Komisijos siūlymą, priima sprendimus dėl programos atitikties reikalavimams, dėl programos atitikties pratęsimo</w:t>
      </w:r>
      <w:r w:rsidR="003435FD">
        <w:rPr>
          <w:rFonts w:ascii="Times New Roman" w:hAnsi="Times New Roman"/>
          <w:sz w:val="24"/>
          <w:szCs w:val="24"/>
          <w:lang w:val="lt-LT"/>
        </w:rPr>
        <w:t>.“;</w:t>
      </w:r>
    </w:p>
    <w:p w:rsidR="000937AE" w:rsidRDefault="00D92454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937AE">
        <w:rPr>
          <w:rFonts w:ascii="Times New Roman" w:hAnsi="Times New Roman"/>
          <w:sz w:val="24"/>
          <w:szCs w:val="24"/>
          <w:lang w:val="lt-LT"/>
        </w:rPr>
        <w:t>. pakeisti 29 punktą ir jį išdėstyti taip:</w:t>
      </w:r>
    </w:p>
    <w:p w:rsidR="000937AE" w:rsidRDefault="000937AE" w:rsidP="003435FD">
      <w:pPr>
        <w:pStyle w:val="Hyperlink1"/>
        <w:tabs>
          <w:tab w:val="left" w:pos="851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„29. Savivaldybė už Europos Sąjungos finansinės paramos ir bendrojo finansavimo lėšas atsiskaito teisės aktų nustatyta tvarka</w:t>
      </w:r>
      <w:r w:rsidR="003435FD">
        <w:rPr>
          <w:rFonts w:ascii="Times New Roman" w:hAnsi="Times New Roman"/>
          <w:sz w:val="24"/>
          <w:szCs w:val="24"/>
          <w:lang w:val="lt-LT"/>
        </w:rPr>
        <w:t>.“;</w:t>
      </w:r>
    </w:p>
    <w:p w:rsidR="000937AE" w:rsidRPr="008907DC" w:rsidRDefault="00D92454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</w:t>
      </w:r>
      <w:r w:rsidR="003435FD">
        <w:rPr>
          <w:rFonts w:ascii="Times New Roman" w:hAnsi="Times New Roman"/>
          <w:sz w:val="24"/>
          <w:szCs w:val="24"/>
          <w:lang w:val="lt-LT"/>
        </w:rPr>
        <w:t>. p</w:t>
      </w:r>
      <w:r w:rsidR="000937AE">
        <w:rPr>
          <w:rFonts w:ascii="Times New Roman" w:hAnsi="Times New Roman"/>
          <w:sz w:val="24"/>
          <w:szCs w:val="24"/>
          <w:lang w:val="lt-LT"/>
        </w:rPr>
        <w:t>ripažinti netekusiu galio</w:t>
      </w:r>
      <w:r w:rsidR="003435FD">
        <w:rPr>
          <w:rFonts w:ascii="Times New Roman" w:hAnsi="Times New Roman"/>
          <w:sz w:val="24"/>
          <w:szCs w:val="24"/>
          <w:lang w:val="lt-LT"/>
        </w:rPr>
        <w:t>s</w:t>
      </w:r>
      <w:r w:rsidR="000937AE">
        <w:rPr>
          <w:rFonts w:ascii="Times New Roman" w:hAnsi="Times New Roman"/>
          <w:sz w:val="24"/>
          <w:szCs w:val="24"/>
          <w:lang w:val="lt-LT"/>
        </w:rPr>
        <w:t xml:space="preserve"> 3 priedą.</w:t>
      </w:r>
    </w:p>
    <w:p w:rsidR="00A34F0A" w:rsidRDefault="00A34F0A" w:rsidP="003435FD">
      <w:pPr>
        <w:pStyle w:val="NoSpacing"/>
        <w:ind w:firstLine="851"/>
        <w:jc w:val="both"/>
        <w:rPr>
          <w:sz w:val="24"/>
          <w:szCs w:val="24"/>
        </w:rPr>
      </w:pPr>
      <w:r w:rsidRPr="003D7EBE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79575C" w:rsidRDefault="0079575C" w:rsidP="003435FD">
      <w:pPr>
        <w:pStyle w:val="NoSpacing"/>
        <w:ind w:firstLine="851"/>
        <w:jc w:val="both"/>
        <w:rPr>
          <w:sz w:val="24"/>
          <w:szCs w:val="24"/>
        </w:rPr>
      </w:pPr>
    </w:p>
    <w:p w:rsidR="0079575C" w:rsidRDefault="0079575C" w:rsidP="003435FD">
      <w:pPr>
        <w:pStyle w:val="NoSpacing"/>
        <w:ind w:firstLine="851"/>
        <w:jc w:val="both"/>
        <w:rPr>
          <w:sz w:val="24"/>
          <w:szCs w:val="24"/>
        </w:rPr>
      </w:pPr>
    </w:p>
    <w:p w:rsidR="0079575C" w:rsidRPr="003D7EBE" w:rsidRDefault="0079575C" w:rsidP="0079575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  <w:bookmarkStart w:id="0" w:name="_GoBack"/>
      <w:bookmarkEnd w:id="0"/>
    </w:p>
    <w:sectPr w:rsidR="008344FF" w:rsidSect="00F253E8">
      <w:headerReference w:type="default" r:id="rId7"/>
      <w:headerReference w:type="firs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92" w:rsidRDefault="00B03992" w:rsidP="00A34F0A">
      <w:r>
        <w:separator/>
      </w:r>
    </w:p>
  </w:endnote>
  <w:endnote w:type="continuationSeparator" w:id="0">
    <w:p w:rsidR="00B03992" w:rsidRDefault="00B03992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92" w:rsidRDefault="00B03992" w:rsidP="00A34F0A">
      <w:r>
        <w:separator/>
      </w:r>
    </w:p>
  </w:footnote>
  <w:footnote w:type="continuationSeparator" w:id="0">
    <w:p w:rsidR="00B03992" w:rsidRDefault="00B03992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33" w:rsidRDefault="00F44033">
    <w:pPr>
      <w:pStyle w:val="Header"/>
      <w:jc w:val="center"/>
    </w:pPr>
  </w:p>
  <w:p w:rsidR="00F253E8" w:rsidRPr="00F44033" w:rsidRDefault="00F253E8" w:rsidP="00F440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0A" w:rsidRDefault="00A34F0A" w:rsidP="00A34F0A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7787264" r:id="rId2"/>
      </w:object>
    </w:r>
  </w:p>
  <w:p w:rsidR="00A34F0A" w:rsidRDefault="00A34F0A" w:rsidP="00A34F0A">
    <w:pPr>
      <w:pStyle w:val="Header"/>
      <w:jc w:val="center"/>
    </w:pPr>
  </w:p>
  <w:p w:rsidR="00A34F0A" w:rsidRPr="003D7EBE" w:rsidRDefault="00A34F0A" w:rsidP="00A34F0A">
    <w:pPr>
      <w:pStyle w:val="Header"/>
      <w:jc w:val="center"/>
      <w:rPr>
        <w:b/>
        <w:szCs w:val="24"/>
      </w:rPr>
    </w:pPr>
    <w:r>
      <w:t xml:space="preserve">                                                                                                        </w:t>
    </w:r>
    <w:r w:rsidR="00A76719">
      <w:t xml:space="preserve">                               </w:t>
    </w:r>
  </w:p>
  <w:p w:rsidR="00A34F0A" w:rsidRPr="00CE0DC4" w:rsidRDefault="00A34F0A" w:rsidP="00A34F0A">
    <w:pPr>
      <w:pStyle w:val="Header"/>
      <w:jc w:val="center"/>
      <w:rPr>
        <w:b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A34F0A" w:rsidRDefault="00A34F0A" w:rsidP="00A34F0A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Default="00A34F0A" w:rsidP="00A34F0A">
    <w:pPr>
      <w:pStyle w:val="Header"/>
      <w:jc w:val="center"/>
      <w:rPr>
        <w:b/>
        <w:sz w:val="28"/>
      </w:rPr>
    </w:pPr>
  </w:p>
  <w:p w:rsidR="00A34F0A" w:rsidRDefault="00A34F0A" w:rsidP="00A34F0A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A34F0A" w:rsidRPr="003D7EBE" w:rsidRDefault="00A34F0A" w:rsidP="00A34F0A">
    <w:pPr>
      <w:pStyle w:val="Header"/>
      <w:jc w:val="center"/>
      <w:rPr>
        <w:b/>
        <w:szCs w:val="24"/>
      </w:rPr>
    </w:pPr>
    <w:r w:rsidRPr="003D7EBE">
      <w:rPr>
        <w:b/>
        <w:szCs w:val="24"/>
      </w:rPr>
      <w:t>DĖL</w:t>
    </w:r>
    <w:r w:rsidR="00D80E81">
      <w:rPr>
        <w:b/>
        <w:szCs w:val="24"/>
      </w:rPr>
      <w:t xml:space="preserve"> PANEVĖŽIO RAJONO SAVIVALDYBĖS TARYBOS 2016 M. SAUSIO 28 D. SPRENDIMO NR. T-7 „DĖL</w:t>
    </w:r>
    <w:r w:rsidR="00D80E81" w:rsidRPr="003D7EBE">
      <w:rPr>
        <w:b/>
        <w:szCs w:val="24"/>
      </w:rPr>
      <w:t xml:space="preserve"> </w:t>
    </w:r>
    <w:r w:rsidRPr="003D7EBE">
      <w:rPr>
        <w:b/>
        <w:szCs w:val="24"/>
      </w:rPr>
      <w:t>NEFORMALIOJO VAIKŲ ŠVIETIMO LĖŠŲ SKYRIMO IR PANAUDOJI</w:t>
    </w:r>
    <w:r w:rsidR="00851681">
      <w:rPr>
        <w:b/>
        <w:szCs w:val="24"/>
      </w:rPr>
      <w:t xml:space="preserve">MO TVARKOS APRAŠO PATVIRTINIMO“ </w:t>
    </w:r>
    <w:r w:rsidRPr="003D7EBE">
      <w:rPr>
        <w:b/>
        <w:szCs w:val="24"/>
      </w:rPr>
      <w:t>PAKEITIMO</w:t>
    </w:r>
  </w:p>
  <w:p w:rsidR="00A34F0A" w:rsidRDefault="00A34F0A" w:rsidP="00A34F0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0A"/>
    <w:rsid w:val="000109EF"/>
    <w:rsid w:val="00040F8D"/>
    <w:rsid w:val="000937AE"/>
    <w:rsid w:val="00111E1C"/>
    <w:rsid w:val="001B1BEC"/>
    <w:rsid w:val="001B343A"/>
    <w:rsid w:val="001F6FC4"/>
    <w:rsid w:val="001F79CC"/>
    <w:rsid w:val="00240923"/>
    <w:rsid w:val="003435FD"/>
    <w:rsid w:val="00356392"/>
    <w:rsid w:val="00465D1A"/>
    <w:rsid w:val="00476CC0"/>
    <w:rsid w:val="00492AC7"/>
    <w:rsid w:val="004B6319"/>
    <w:rsid w:val="004D4264"/>
    <w:rsid w:val="004E7691"/>
    <w:rsid w:val="004F2D8D"/>
    <w:rsid w:val="005F2644"/>
    <w:rsid w:val="00777960"/>
    <w:rsid w:val="0079575C"/>
    <w:rsid w:val="007D79AA"/>
    <w:rsid w:val="00800D70"/>
    <w:rsid w:val="008344FF"/>
    <w:rsid w:val="008347F2"/>
    <w:rsid w:val="00851681"/>
    <w:rsid w:val="00866D77"/>
    <w:rsid w:val="008B0C7E"/>
    <w:rsid w:val="008B7E91"/>
    <w:rsid w:val="008D3141"/>
    <w:rsid w:val="009011AA"/>
    <w:rsid w:val="00926E51"/>
    <w:rsid w:val="0093571C"/>
    <w:rsid w:val="009666CD"/>
    <w:rsid w:val="009A15F0"/>
    <w:rsid w:val="009A19A3"/>
    <w:rsid w:val="009A1DF9"/>
    <w:rsid w:val="009B6095"/>
    <w:rsid w:val="009C74FE"/>
    <w:rsid w:val="009D190A"/>
    <w:rsid w:val="009D6892"/>
    <w:rsid w:val="009E7BFF"/>
    <w:rsid w:val="00A05604"/>
    <w:rsid w:val="00A14E06"/>
    <w:rsid w:val="00A21BFE"/>
    <w:rsid w:val="00A34F0A"/>
    <w:rsid w:val="00A76719"/>
    <w:rsid w:val="00AA1E08"/>
    <w:rsid w:val="00AA5EB5"/>
    <w:rsid w:val="00AB6C62"/>
    <w:rsid w:val="00B03992"/>
    <w:rsid w:val="00BC361B"/>
    <w:rsid w:val="00BF6F68"/>
    <w:rsid w:val="00C74183"/>
    <w:rsid w:val="00C87C38"/>
    <w:rsid w:val="00CA4D46"/>
    <w:rsid w:val="00D07649"/>
    <w:rsid w:val="00D212FD"/>
    <w:rsid w:val="00D21868"/>
    <w:rsid w:val="00D53260"/>
    <w:rsid w:val="00D80E81"/>
    <w:rsid w:val="00D92454"/>
    <w:rsid w:val="00DB0A8D"/>
    <w:rsid w:val="00F253E8"/>
    <w:rsid w:val="00F44033"/>
    <w:rsid w:val="00F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F0A"/>
  </w:style>
  <w:style w:type="paragraph" w:styleId="Footer">
    <w:name w:val="footer"/>
    <w:basedOn w:val="Normal"/>
    <w:link w:val="Foot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4F0A"/>
  </w:style>
  <w:style w:type="paragraph" w:styleId="NoSpacing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Title">
    <w:name w:val="Title"/>
    <w:basedOn w:val="Normal"/>
    <w:link w:val="TitleChar"/>
    <w:qFormat/>
    <w:rsid w:val="00F44033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basedOn w:val="DefaultParagraphFont"/>
    <w:link w:val="Title"/>
    <w:rsid w:val="00F44033"/>
    <w:rPr>
      <w:rFonts w:eastAsia="Times New Roman"/>
      <w:b/>
      <w:bCs w:val="0"/>
      <w:color w:val="auto"/>
      <w:szCs w:val="20"/>
      <w:lang w:val="x-none" w:eastAsia="ru-RU"/>
    </w:rPr>
  </w:style>
  <w:style w:type="paragraph" w:customStyle="1" w:styleId="Hyperlink1">
    <w:name w:val="Hyperlink1"/>
    <w:rsid w:val="001F79C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bCs w:val="0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83"/>
    <w:rPr>
      <w:rFonts w:ascii="Tahoma" w:eastAsia="Times New Roman" w:hAnsi="Tahoma" w:cs="Tahoma"/>
      <w:bCs w:val="0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F0A"/>
  </w:style>
  <w:style w:type="paragraph" w:styleId="Footer">
    <w:name w:val="footer"/>
    <w:basedOn w:val="Normal"/>
    <w:link w:val="Foot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4F0A"/>
  </w:style>
  <w:style w:type="paragraph" w:styleId="NoSpacing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Title">
    <w:name w:val="Title"/>
    <w:basedOn w:val="Normal"/>
    <w:link w:val="TitleChar"/>
    <w:qFormat/>
    <w:rsid w:val="00F44033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basedOn w:val="DefaultParagraphFont"/>
    <w:link w:val="Title"/>
    <w:rsid w:val="00F44033"/>
    <w:rPr>
      <w:rFonts w:eastAsia="Times New Roman"/>
      <w:b/>
      <w:bCs w:val="0"/>
      <w:color w:val="auto"/>
      <w:szCs w:val="20"/>
      <w:lang w:val="x-none" w:eastAsia="ru-RU"/>
    </w:rPr>
  </w:style>
  <w:style w:type="paragraph" w:customStyle="1" w:styleId="Hyperlink1">
    <w:name w:val="Hyperlink1"/>
    <w:rsid w:val="001F79C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bCs w:val="0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83"/>
    <w:rPr>
      <w:rFonts w:ascii="Tahoma" w:eastAsia="Times New Roman" w:hAnsi="Tahoma" w:cs="Tahoma"/>
      <w:bCs w:val="0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Sigita</cp:lastModifiedBy>
  <cp:revision>4</cp:revision>
  <cp:lastPrinted>2018-01-08T08:41:00Z</cp:lastPrinted>
  <dcterms:created xsi:type="dcterms:W3CDTF">2018-01-18T11:19:00Z</dcterms:created>
  <dcterms:modified xsi:type="dcterms:W3CDTF">2018-01-18T11:28:00Z</dcterms:modified>
</cp:coreProperties>
</file>