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DE" w:rsidRDefault="00DE625F">
      <w:pPr>
        <w:pStyle w:val="Header"/>
        <w:jc w:val="center"/>
      </w:pPr>
      <w:bookmarkStart w:id="0" w:name="_GoBack"/>
      <w:bookmarkEnd w:id="0"/>
      <w:r>
        <w:t xml:space="preserve">                                   </w:t>
      </w:r>
      <w:r>
        <w:rPr>
          <w:noProof/>
          <w:lang w:eastAsia="lt-LT"/>
        </w:rPr>
        <w:drawing>
          <wp:inline distT="0" distB="0" distL="0" distR="0">
            <wp:extent cx="542880" cy="647640"/>
            <wp:effectExtent l="0" t="0" r="0" b="6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80" cy="647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b/>
          <w:bCs/>
          <w:sz w:val="24"/>
          <w:szCs w:val="24"/>
        </w:rPr>
        <w:t xml:space="preserve">  </w:t>
      </w:r>
    </w:p>
    <w:p w:rsidR="00674EDE" w:rsidRDefault="00DE625F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674EDE" w:rsidRDefault="00674EDE">
      <w:pPr>
        <w:pStyle w:val="Header"/>
        <w:ind w:firstLine="5245"/>
        <w:jc w:val="center"/>
        <w:rPr>
          <w:b/>
          <w:sz w:val="24"/>
          <w:szCs w:val="24"/>
        </w:rPr>
      </w:pPr>
    </w:p>
    <w:p w:rsidR="00674EDE" w:rsidRDefault="00DE625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674EDE" w:rsidRDefault="00674EDE">
      <w:pPr>
        <w:pStyle w:val="Header"/>
        <w:rPr>
          <w:b/>
          <w:sz w:val="28"/>
        </w:rPr>
      </w:pPr>
    </w:p>
    <w:p w:rsidR="00674EDE" w:rsidRDefault="00DE625F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674EDE" w:rsidRDefault="00DE625F">
      <w:pPr>
        <w:pStyle w:val="Textbody"/>
        <w:spacing w:after="0"/>
        <w:jc w:val="center"/>
      </w:pPr>
      <w:r>
        <w:rPr>
          <w:b/>
          <w:bCs/>
          <w:sz w:val="24"/>
          <w:szCs w:val="24"/>
        </w:rPr>
        <w:t xml:space="preserve">DĖL PANEVĖŽIO RAJONO SAVIVALDYBĖS </w:t>
      </w:r>
      <w:r>
        <w:rPr>
          <w:b/>
          <w:bCs/>
          <w:color w:val="000000"/>
          <w:sz w:val="24"/>
          <w:szCs w:val="24"/>
          <w:lang w:eastAsia="lt-LT"/>
        </w:rPr>
        <w:t xml:space="preserve">KELIŲ PRIEŽIŪROS IR PLĖTROS PROGRAMOS LĖŠOMIS FINANSUOJAMŲ VIETINĖS REIKŠMĖS KELIŲ (GATVIŲ) TIESIMO, REKONSTRAVIMO, TAISYMO </w:t>
      </w:r>
      <w:r>
        <w:rPr>
          <w:b/>
          <w:bCs/>
          <w:color w:val="000000"/>
          <w:sz w:val="24"/>
          <w:szCs w:val="24"/>
          <w:lang w:eastAsia="lt-LT"/>
        </w:rPr>
        <w:t>(REMONTO), PRIEŽIŪROS IR SAUGAUS EISMO SĄ</w:t>
      </w:r>
      <w:r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  <w:lang w:eastAsia="lt-LT"/>
        </w:rPr>
        <w:t>2017 METAIS OBJEKTŲ SĄRAŠO</w:t>
      </w:r>
      <w:r>
        <w:t xml:space="preserve"> </w:t>
      </w:r>
      <w:r>
        <w:rPr>
          <w:b/>
          <w:bCs/>
          <w:sz w:val="24"/>
          <w:szCs w:val="24"/>
        </w:rPr>
        <w:t>PATVIRTINIMO</w:t>
      </w:r>
    </w:p>
    <w:p w:rsidR="00674EDE" w:rsidRDefault="00674EDE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674EDE" w:rsidRDefault="00674EDE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674EDE" w:rsidRDefault="00DE625F">
      <w:pPr>
        <w:pStyle w:val="NormalWeb"/>
        <w:spacing w:before="0" w:after="0"/>
        <w:ind w:left="1296" w:firstLine="1296"/>
        <w:jc w:val="both"/>
      </w:pPr>
      <w:r>
        <w:t xml:space="preserve">                  2017 m. gegužės 4 d. Nr. T-96</w:t>
      </w:r>
    </w:p>
    <w:p w:rsidR="00674EDE" w:rsidRDefault="00DE625F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674EDE" w:rsidRDefault="00674EDE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674EDE" w:rsidRDefault="00674EDE">
      <w:pPr>
        <w:pStyle w:val="NormalWeb"/>
        <w:spacing w:before="0" w:after="0"/>
        <w:ind w:firstLine="1296"/>
        <w:jc w:val="both"/>
        <w:rPr>
          <w:bCs/>
          <w:color w:val="000000"/>
        </w:rPr>
      </w:pPr>
    </w:p>
    <w:p w:rsidR="00674EDE" w:rsidRDefault="00DE625F">
      <w:pPr>
        <w:pStyle w:val="NormalWeb"/>
        <w:spacing w:before="0" w:after="0"/>
        <w:ind w:firstLine="1296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22 ir </w:t>
      </w:r>
      <w:r>
        <w:rPr>
          <w:bCs/>
          <w:color w:val="000000"/>
        </w:rPr>
        <w:t xml:space="preserve">                  32 punktais, Lietuvos Respublikos Vyriausybės 2005 m. balandžio 21 d. nutarimu Nr. 447 „Dėl  Lietuvos Respublikos kelių priežiūros ir plėtros programos finansavimo įstatymo įgyvendinimo“, Lietuvos automobilių kelių direkcijos prie Susisie</w:t>
      </w:r>
      <w:r>
        <w:rPr>
          <w:bCs/>
          <w:color w:val="000000"/>
        </w:rPr>
        <w:t xml:space="preserve">kimo ministerijos direktorius </w:t>
      </w:r>
      <w:r>
        <w:rPr>
          <w:bCs/>
          <w:color w:val="000000"/>
        </w:rPr>
        <w:t>2017 m. balandžio 18 d. įsakymu Nr. V-163 „Dėl Kelių priežiūros ir plėtros programos finansavimo lėšų vietinės  reikšmės keliams (gatvėms) tiesti, rekonstruoti, taisyti (remontuoti), prižiūrėti ir saugaus eismo    sąlygoms užt</w:t>
      </w:r>
      <w:r>
        <w:rPr>
          <w:bCs/>
          <w:color w:val="000000"/>
        </w:rPr>
        <w:t>ikrinti paskirstymo savivaldybėms 2017 metais“,</w:t>
      </w:r>
      <w:r>
        <w:rPr>
          <w:bCs/>
          <w:color w:val="000000"/>
        </w:rPr>
        <w:t xml:space="preserve"> Kelių priežiūros ir plėtros programos lėšų, skirtų savivaldybės vietinės reikšmės keliams ir gatvėms tiesti, rekonstruoti, taisyti              (remontuoti), prižiūrėti ir saugaus eismo sąlygoms užtikrinti, n</w:t>
      </w:r>
      <w:r>
        <w:rPr>
          <w:bCs/>
          <w:color w:val="000000"/>
        </w:rPr>
        <w:t>audojimo ir skirstymo tvarkos        aprašu, patvirtintu Panevėžio rajono savivaldybės tarybos 2015 m. gruodžio 21 d. sprendimu          Nr. T-258 „Dėl Kelių priežiūros ir plėtros programos lėšų, skirtų savivaldybės vietinės reikšmės   keliams ir gatvėms t</w:t>
      </w:r>
      <w:r>
        <w:rPr>
          <w:bCs/>
          <w:color w:val="000000"/>
        </w:rPr>
        <w:t>iesti, rekonstruoti, taisyti (remontuoti), prižiūrėti ir saugaus eismo sąlygoms  užtikrinti, naudojimo ir skirstymo tvarkos aprašo patvirtinimo“, Panevėžio rajono savivaldybės     taryba n u s p r e n d ž i a:</w:t>
      </w:r>
    </w:p>
    <w:p w:rsidR="00674EDE" w:rsidRDefault="00DE625F">
      <w:pPr>
        <w:pStyle w:val="NormalWeb"/>
        <w:spacing w:before="0" w:after="0"/>
        <w:ind w:firstLine="1296"/>
        <w:jc w:val="both"/>
      </w:pPr>
      <w:r>
        <w:t xml:space="preserve">Patvirtinti Panevėžio rajono savivaldybės </w:t>
      </w:r>
      <w:r>
        <w:rPr>
          <w:bCs/>
          <w:color w:val="000000"/>
        </w:rPr>
        <w:t>Keli</w:t>
      </w:r>
      <w:r>
        <w:rPr>
          <w:bCs/>
          <w:color w:val="000000"/>
        </w:rPr>
        <w:t xml:space="preserve">ų priežiūros ir plėtros programos         lėšomis finansuojamų vietinės reikšmės kelių (gatvių) tiesimo, rekonstravimo, taisymo (remonto), priežiūros ir saugaus eismo sąlygų užtikrinimo 2017 metais objektų sąrašą </w:t>
      </w:r>
      <w:r>
        <w:t>(pridedama).</w:t>
      </w:r>
    </w:p>
    <w:p w:rsidR="00674EDE" w:rsidRDefault="00674EDE">
      <w:pPr>
        <w:pStyle w:val="NormalWeb"/>
        <w:spacing w:before="0" w:after="0"/>
        <w:jc w:val="both"/>
      </w:pPr>
    </w:p>
    <w:p w:rsidR="00674EDE" w:rsidRDefault="00674EDE">
      <w:pPr>
        <w:pStyle w:val="NormalWeb"/>
        <w:spacing w:before="0" w:after="0"/>
        <w:jc w:val="both"/>
      </w:pPr>
    </w:p>
    <w:p w:rsidR="00674EDE" w:rsidRDefault="00DE625F">
      <w:pPr>
        <w:pStyle w:val="NormalWeb"/>
        <w:spacing w:before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 xml:space="preserve">                          Povilas </w:t>
      </w:r>
      <w:proofErr w:type="spellStart"/>
      <w:r>
        <w:t>Žagunis</w:t>
      </w:r>
      <w:proofErr w:type="spellEnd"/>
    </w:p>
    <w:p w:rsidR="00674EDE" w:rsidRDefault="00674EDE">
      <w:pPr>
        <w:pStyle w:val="NormalWeb"/>
        <w:spacing w:before="0" w:after="0"/>
        <w:jc w:val="both"/>
      </w:pPr>
    </w:p>
    <w:p w:rsidR="00674EDE" w:rsidRDefault="00674EDE">
      <w:pPr>
        <w:pStyle w:val="NormalWeb"/>
        <w:spacing w:before="0"/>
      </w:pPr>
    </w:p>
    <w:p w:rsidR="00674EDE" w:rsidRDefault="00674EDE">
      <w:pPr>
        <w:pStyle w:val="Standard"/>
        <w:jc w:val="both"/>
        <w:rPr>
          <w:color w:val="000000"/>
          <w:sz w:val="28"/>
        </w:rPr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</w:pPr>
    </w:p>
    <w:p w:rsidR="00674EDE" w:rsidRDefault="00674EDE">
      <w:pPr>
        <w:pStyle w:val="Standard"/>
        <w:jc w:val="both"/>
      </w:pPr>
    </w:p>
    <w:p w:rsidR="00674EDE" w:rsidRDefault="00674EDE">
      <w:pPr>
        <w:pStyle w:val="Standard"/>
        <w:jc w:val="both"/>
      </w:pPr>
    </w:p>
    <w:p w:rsidR="00674EDE" w:rsidRDefault="00674EDE">
      <w:pPr>
        <w:pStyle w:val="Standard"/>
        <w:jc w:val="both"/>
        <w:rPr>
          <w:sz w:val="24"/>
          <w:szCs w:val="24"/>
        </w:rPr>
      </w:pPr>
    </w:p>
    <w:p w:rsidR="00674EDE" w:rsidRDefault="00674EDE">
      <w:pPr>
        <w:pStyle w:val="Standard"/>
        <w:jc w:val="both"/>
        <w:rPr>
          <w:sz w:val="24"/>
          <w:szCs w:val="24"/>
        </w:rPr>
      </w:pPr>
    </w:p>
    <w:p w:rsidR="00674EDE" w:rsidRDefault="00DE625F">
      <w:pPr>
        <w:pStyle w:val="Standard"/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  <w:szCs w:val="24"/>
        </w:rPr>
        <w:t>PATVIRTINTA</w:t>
      </w:r>
    </w:p>
    <w:p w:rsidR="00674EDE" w:rsidRDefault="00DE625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 m. gegužės 4 d. sprendimu Nr. T-96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74EDE" w:rsidRDefault="00674EDE">
      <w:pPr>
        <w:pStyle w:val="Standard"/>
        <w:rPr>
          <w:sz w:val="24"/>
          <w:szCs w:val="24"/>
        </w:rPr>
      </w:pPr>
    </w:p>
    <w:tbl>
      <w:tblPr>
        <w:tblW w:w="998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0"/>
      </w:tblGrid>
      <w:tr w:rsidR="00674ED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4EDE" w:rsidRDefault="00DE625F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SAVIVALDYBĖS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9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4EDE" w:rsidRDefault="00DE625F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KELIŲ PRIEŽIŪROS IR PLĖTROS PROGRAMOS LĖŠOMIS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FINANSUOJAMŲ            VIETINĖS REIKŠMĖS KELIŲ (GATVIŲ) TIESIMO, REKONSTRAVIMO, TAISYMO   (REMONTO), PRIEŽIŪROS IR SAUGAUS EISMO SĄLYGŲ UŽTIKRINIMO                                                2017 METAIS OBJEKTŲ SĄRAŠAS</w:t>
            </w:r>
          </w:p>
        </w:tc>
      </w:tr>
    </w:tbl>
    <w:p w:rsidR="00674EDE" w:rsidRDefault="00674EDE">
      <w:pPr>
        <w:pStyle w:val="Standard"/>
      </w:pPr>
    </w:p>
    <w:tbl>
      <w:tblPr>
        <w:tblW w:w="9678" w:type="dxa"/>
        <w:tblInd w:w="-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4"/>
        <w:gridCol w:w="6405"/>
        <w:gridCol w:w="1530"/>
        <w:gridCol w:w="1159"/>
      </w:tblGrid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Objekto pavadinimas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</w:t>
            </w:r>
            <w:r>
              <w:rPr>
                <w:sz w:val="24"/>
                <w:szCs w:val="24"/>
                <w:lang w:eastAsia="lt-LT"/>
              </w:rPr>
              <w:t>lgis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Plotis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Kapitalui formuoti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Likiškių</w:t>
            </w:r>
            <w:proofErr w:type="spellEnd"/>
            <w:r>
              <w:rPr>
                <w:sz w:val="24"/>
                <w:szCs w:val="24"/>
              </w:rPr>
              <w:t xml:space="preserve"> g. KAR-86 </w:t>
            </w:r>
            <w:proofErr w:type="spellStart"/>
            <w:r>
              <w:rPr>
                <w:sz w:val="24"/>
                <w:szCs w:val="24"/>
              </w:rPr>
              <w:t>Tiltagalių</w:t>
            </w:r>
            <w:proofErr w:type="spellEnd"/>
            <w:r>
              <w:rPr>
                <w:sz w:val="24"/>
                <w:szCs w:val="24"/>
              </w:rPr>
              <w:t xml:space="preserve"> k. Karsakiškio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Tilto g. Krekenavos mstl. Krekenavos sen. šaligatvio KRE-174A KRE-174B ir lietaus kanalizacijos tinklų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šaligatvio 630 m</w:t>
            </w:r>
          </w:p>
          <w:p w:rsidR="00674EDE" w:rsidRDefault="00DE625F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kanalizacijos     325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1,2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Basanavičiaus g. NAU-110 Naujamiesčio mstl. Naujamiesčio sen. </w:t>
            </w:r>
            <w:r>
              <w:rPr>
                <w:sz w:val="24"/>
                <w:szCs w:val="24"/>
              </w:rPr>
              <w:t>šaligatvio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97m</w:t>
            </w:r>
          </w:p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1,0 m</w:t>
            </w:r>
          </w:p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1,7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Samanynės g. PAN-127 Vaivadų k. Panevėžio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3,5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Pamiškės g. PAN-108 Vaivadų k. Panevėžio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Tvenkinio g. PAN-208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Panevėžio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Beržyno g. RAM-152 RAM-158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 Ramygalos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598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Stultiškių</w:t>
            </w:r>
            <w:proofErr w:type="spellEnd"/>
            <w:r>
              <w:rPr>
                <w:sz w:val="24"/>
                <w:szCs w:val="24"/>
              </w:rPr>
              <w:t xml:space="preserve"> k. kelio UPY-49 Upytės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Vykinto g. VEL-43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 m</w:t>
            </w:r>
          </w:p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4,0 m  3,5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Žemdirbių g. VEL-149 ir lietaus kanalizacijos tinklų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kapitalinis remontas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 m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Savanorių g. VEL-63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kapitalinio remonto projekto </w:t>
            </w:r>
            <w:r>
              <w:rPr>
                <w:sz w:val="24"/>
                <w:szCs w:val="24"/>
              </w:rPr>
              <w:t>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Savanorių g. VEL-47 Vyčių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kapitalinio remonto projekto parengimas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TableConten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Kęstučio g. VEL-67 Vyčių k. </w:t>
            </w:r>
            <w:proofErr w:type="spellStart"/>
            <w:r>
              <w:rPr>
                <w:sz w:val="24"/>
                <w:szCs w:val="24"/>
              </w:rPr>
              <w:t>Velžio</w:t>
            </w:r>
            <w:proofErr w:type="spellEnd"/>
            <w:r>
              <w:rPr>
                <w:sz w:val="24"/>
                <w:szCs w:val="24"/>
              </w:rPr>
              <w:t xml:space="preserve"> sen. rekonstravimo techninio projekto koregavimas, ekspertizė</w:t>
            </w:r>
          </w:p>
        </w:tc>
        <w:tc>
          <w:tcPr>
            <w:tcW w:w="153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715 m</w:t>
            </w:r>
          </w:p>
        </w:tc>
        <w:tc>
          <w:tcPr>
            <w:tcW w:w="11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EDE" w:rsidRDefault="00DE625F">
            <w:pPr>
              <w:pStyle w:val="TableContents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kapitalui </w:t>
            </w:r>
            <w:r>
              <w:rPr>
                <w:b/>
                <w:sz w:val="24"/>
                <w:szCs w:val="24"/>
                <w:lang w:eastAsia="lt-LT"/>
              </w:rPr>
              <w:t xml:space="preserve">formuoti: 702,7 tūkst. </w:t>
            </w:r>
            <w:proofErr w:type="spellStart"/>
            <w:r>
              <w:rPr>
                <w:b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Einamiesiems tikslams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rajono vietinės reikšmės kelių ir gatvių </w:t>
            </w:r>
            <w:proofErr w:type="spellStart"/>
            <w:r>
              <w:rPr>
                <w:sz w:val="24"/>
                <w:szCs w:val="24"/>
                <w:lang w:eastAsia="lt-LT"/>
              </w:rPr>
              <w:t>greideriavimas</w:t>
            </w:r>
            <w:proofErr w:type="spellEnd"/>
            <w:r>
              <w:rPr>
                <w:sz w:val="24"/>
                <w:szCs w:val="24"/>
                <w:lang w:eastAsia="lt-LT"/>
              </w:rPr>
              <w:t>, sniego valymas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1 700  km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rajono vietinės reikšmės kelių ir gatvių žvyravimas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1 245 km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rajono vietinės </w:t>
            </w:r>
            <w:r>
              <w:rPr>
                <w:sz w:val="24"/>
                <w:szCs w:val="24"/>
                <w:lang w:eastAsia="lt-LT"/>
              </w:rPr>
              <w:t xml:space="preserve">reikšmės kelių ir gatvių asfalto      dangos </w:t>
            </w:r>
            <w:proofErr w:type="spellStart"/>
            <w:r>
              <w:rPr>
                <w:sz w:val="24"/>
                <w:szCs w:val="24"/>
                <w:lang w:eastAsia="lt-LT"/>
              </w:rPr>
              <w:t>išdaužų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taisymas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262 km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Kelio ženklų, ženklinimo įrengimas ir priežiūra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130 vnt.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Paviršinio vandens nuotekų tinklai Krekenavos mstl.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60 m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Automobilių stovėjimo aikštelių remontas </w:t>
            </w:r>
            <w:proofErr w:type="spellStart"/>
            <w:r>
              <w:rPr>
                <w:sz w:val="24"/>
                <w:szCs w:val="24"/>
                <w:lang w:eastAsia="lt-LT"/>
              </w:rPr>
              <w:t>Gustonių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k. ir </w:t>
            </w:r>
            <w:r>
              <w:rPr>
                <w:sz w:val="24"/>
                <w:szCs w:val="24"/>
                <w:lang w:eastAsia="lt-LT"/>
              </w:rPr>
              <w:t>Naujamiesčio mstl. Naujamiesčio sen., Miežiškių mstl. Miežiškių sen., Smilgių mstl. Smilgių sen.</w:t>
            </w:r>
          </w:p>
        </w:tc>
        <w:tc>
          <w:tcPr>
            <w:tcW w:w="2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620 m²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Žemdirbių g. VEL-147 </w:t>
            </w:r>
            <w:proofErr w:type="spellStart"/>
            <w:r>
              <w:rPr>
                <w:sz w:val="24"/>
                <w:szCs w:val="24"/>
                <w:lang w:eastAsia="lt-LT"/>
              </w:rPr>
              <w:t>Velžio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k. </w:t>
            </w:r>
            <w:proofErr w:type="spellStart"/>
            <w:r>
              <w:rPr>
                <w:sz w:val="24"/>
                <w:szCs w:val="24"/>
                <w:lang w:eastAsia="lt-LT"/>
              </w:rPr>
              <w:t>Velžio</w:t>
            </w:r>
            <w:proofErr w:type="spellEnd"/>
            <w:r>
              <w:rPr>
                <w:sz w:val="24"/>
                <w:szCs w:val="24"/>
                <w:lang w:eastAsia="lt-LT"/>
              </w:rPr>
              <w:t xml:space="preserve"> sen. remontas</w:t>
            </w:r>
          </w:p>
        </w:tc>
        <w:tc>
          <w:tcPr>
            <w:tcW w:w="26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378 m²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6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Šaligatvio remontas Upytės k. Upytės sen.</w:t>
            </w:r>
          </w:p>
        </w:tc>
        <w:tc>
          <w:tcPr>
            <w:tcW w:w="26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266 m²</w:t>
            </w:r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einamiesiems tikslams: </w:t>
            </w:r>
            <w:r>
              <w:rPr>
                <w:b/>
                <w:sz w:val="24"/>
                <w:szCs w:val="24"/>
                <w:lang w:eastAsia="lt-LT"/>
              </w:rPr>
              <w:t xml:space="preserve">702,6 tūkst. </w:t>
            </w:r>
            <w:proofErr w:type="spellStart"/>
            <w:r>
              <w:rPr>
                <w:b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right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 xml:space="preserve">Iš viso Kelių priežiūros ir plėtros programos lėšų: 1 405,3 tūkst. </w:t>
            </w:r>
            <w:proofErr w:type="spellStart"/>
            <w:r>
              <w:rPr>
                <w:b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674E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6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EDE" w:rsidRDefault="00DE625F">
            <w:pPr>
              <w:pStyle w:val="Standard"/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Iš jų ne mažiau kaip 5 proc. eismo saugumo priemonėms: 70,3 tūkst. </w:t>
            </w:r>
            <w:proofErr w:type="spellStart"/>
            <w:r>
              <w:rPr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</w:tbl>
    <w:p w:rsidR="00674EDE" w:rsidRDefault="00DE625F">
      <w:pPr>
        <w:pStyle w:val="Standard"/>
        <w:suppressAutoHyphens w:val="0"/>
        <w:jc w:val="center"/>
        <w:rPr>
          <w:lang w:eastAsia="lt-LT"/>
        </w:rPr>
      </w:pPr>
      <w:r>
        <w:rPr>
          <w:lang w:eastAsia="lt-LT"/>
        </w:rPr>
        <w:t>___________________</w:t>
      </w: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lang w:eastAsia="lt-LT"/>
        </w:rPr>
      </w:pPr>
    </w:p>
    <w:p w:rsidR="00674EDE" w:rsidRDefault="00674EDE">
      <w:pPr>
        <w:pStyle w:val="Standard"/>
        <w:suppressAutoHyphens w:val="0"/>
        <w:jc w:val="center"/>
        <w:rPr>
          <w:sz w:val="24"/>
          <w:szCs w:val="24"/>
          <w:lang w:eastAsia="lt-LT"/>
        </w:rPr>
      </w:pPr>
    </w:p>
    <w:sectPr w:rsidR="00674EDE">
      <w:footerReference w:type="default" r:id="rId7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5F" w:rsidRDefault="00DE625F">
      <w:r>
        <w:separator/>
      </w:r>
    </w:p>
  </w:endnote>
  <w:endnote w:type="continuationSeparator" w:id="0">
    <w:p w:rsidR="00DE625F" w:rsidRDefault="00DE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42" w:rsidRDefault="00DE625F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5F" w:rsidRDefault="00DE625F">
      <w:r>
        <w:rPr>
          <w:color w:val="000000"/>
        </w:rPr>
        <w:separator/>
      </w:r>
    </w:p>
  </w:footnote>
  <w:footnote w:type="continuationSeparator" w:id="0">
    <w:p w:rsidR="00DE625F" w:rsidRDefault="00DE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74EDE"/>
    <w:rsid w:val="003D1586"/>
    <w:rsid w:val="00674EDE"/>
    <w:rsid w:val="00D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0F669-A6D5-4338-8DBB-51B61CB8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Pr>
      <w:color w:val="000000"/>
      <w:sz w:val="24"/>
      <w:szCs w:val="24"/>
    </w:rPr>
  </w:style>
  <w:style w:type="paragraph" w:customStyle="1" w:styleId="BalloonText1">
    <w:name w:val="Balloon Text1"/>
    <w:basedOn w:val="Standard"/>
    <w:rPr>
      <w:rFonts w:ascii="Segoe UI" w:hAnsi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pPr>
      <w:widowControl/>
    </w:pPr>
    <w:rPr>
      <w:rFonts w:eastAsia="Arial"/>
      <w:lang w:eastAsia="ar-SA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1">
    <w:name w:val="Default Paragraph Font1"/>
  </w:style>
  <w:style w:type="character" w:customStyle="1" w:styleId="Raminta">
    <w:name w:val="Raminta"/>
    <w:rPr>
      <w:color w:val="00000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Pr>
      <w:kern w:val="3"/>
    </w:rPr>
  </w:style>
  <w:style w:type="character" w:customStyle="1" w:styleId="HeaderChar">
    <w:name w:val="Header Char"/>
    <w:rPr>
      <w:kern w:val="3"/>
    </w:rPr>
  </w:style>
  <w:style w:type="character" w:customStyle="1" w:styleId="FooterChar">
    <w:name w:val="Footer Char"/>
  </w:style>
  <w:style w:type="character" w:customStyle="1" w:styleId="ListLabel1">
    <w:name w:val="ListLabel 1"/>
    <w:rPr>
      <w:rFonts w:eastAsia="Times New Roman" w:cs="TimesNewRomanPS-BoldMT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character" w:customStyle="1" w:styleId="HeaderChar1">
    <w:name w:val="Header Char1"/>
    <w:rPr>
      <w:kern w:val="3"/>
      <w:lang w:eastAsia="ar-SA"/>
    </w:rPr>
  </w:style>
  <w:style w:type="character" w:customStyle="1" w:styleId="BalloonTextChar1">
    <w:name w:val="Balloon Text Char1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3148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Ernesta Ziauniene</cp:lastModifiedBy>
  <cp:revision>2</cp:revision>
  <cp:lastPrinted>2017-04-24T14:38:00Z</cp:lastPrinted>
  <dcterms:created xsi:type="dcterms:W3CDTF">2017-05-04T10:22:00Z</dcterms:created>
  <dcterms:modified xsi:type="dcterms:W3CDTF">2017-05-04T10:22:00Z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