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6174AA">
      <w:pPr>
        <w:pStyle w:val="Antrats"/>
        <w:jc w:val="center"/>
      </w:pPr>
      <w:r>
        <w:tab/>
      </w:r>
      <w:r w:rsidR="00B07407">
        <w:t xml:space="preserve"> </w:t>
      </w:r>
      <w:r w:rsidR="00EC7E9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F1AC1" w:rsidRDefault="00B07407" w:rsidP="007F1AC1">
      <w:pPr>
        <w:pStyle w:val="Pagrindinistekstas"/>
      </w:pPr>
      <w:r>
        <w:rPr>
          <w:lang w:val="lt-LT"/>
        </w:rPr>
        <w:t xml:space="preserve">  </w:t>
      </w:r>
      <w:r w:rsidR="007F1AC1">
        <w:t>DĖL BIUDŽETINIŲ ĮSTAIGŲ VALOMŲ PATALPŲ VIDAUS IR LAUKO PLOTŲ NORMATYVŲ NUSTATYMO</w:t>
      </w:r>
    </w:p>
    <w:p w:rsidR="007F1AC1" w:rsidRDefault="007F1AC1" w:rsidP="007F1AC1">
      <w:pPr>
        <w:rPr>
          <w:sz w:val="24"/>
          <w:lang w:val="lt-LT"/>
        </w:rPr>
      </w:pPr>
    </w:p>
    <w:p w:rsidR="007F1AC1" w:rsidRDefault="007F1AC1" w:rsidP="007F1AC1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 m. gegužės 4  d. Nr. T-</w:t>
      </w:r>
      <w:r w:rsidR="00F5097A">
        <w:rPr>
          <w:sz w:val="24"/>
          <w:lang w:val="lt-LT"/>
        </w:rPr>
        <w:t>95</w:t>
      </w:r>
    </w:p>
    <w:p w:rsidR="007F1AC1" w:rsidRDefault="007F1AC1" w:rsidP="007F1AC1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7F1AC1" w:rsidRDefault="007F1AC1" w:rsidP="007F1AC1">
      <w:pPr>
        <w:rPr>
          <w:sz w:val="24"/>
          <w:lang w:val="lt-LT"/>
        </w:rPr>
      </w:pPr>
    </w:p>
    <w:p w:rsidR="007F1AC1" w:rsidRPr="0041169E" w:rsidRDefault="007F1AC1" w:rsidP="007F1AC1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Pr="0041169E">
        <w:rPr>
          <w:sz w:val="24"/>
          <w:lang w:val="lt-LT"/>
        </w:rPr>
        <w:t xml:space="preserve">Vadovaudamasi Lietuvos Respublikos vietos savivaldos įstatymo </w:t>
      </w:r>
      <w:r w:rsidR="00FC7791" w:rsidRPr="0041169E">
        <w:rPr>
          <w:sz w:val="24"/>
          <w:lang w:val="lt-LT"/>
        </w:rPr>
        <w:t xml:space="preserve">16 straipsnio 4 dalimi,          </w:t>
      </w:r>
      <w:r w:rsidR="00AD3396" w:rsidRPr="0041169E">
        <w:rPr>
          <w:sz w:val="24"/>
          <w:lang w:val="lt-LT"/>
        </w:rPr>
        <w:t>18 straipsnio 1 dalimi ir</w:t>
      </w:r>
      <w:r w:rsidR="00533145" w:rsidRPr="0041169E">
        <w:rPr>
          <w:sz w:val="24"/>
          <w:lang w:val="lt-LT"/>
        </w:rPr>
        <w:t xml:space="preserve"> </w:t>
      </w:r>
      <w:r w:rsidR="003A02D5" w:rsidRPr="0041169E">
        <w:rPr>
          <w:sz w:val="24"/>
          <w:lang w:val="lt-LT"/>
        </w:rPr>
        <w:t>Lietuvos Respublikos biudžetinių įstaigų įstatymo 4 straipsnio 3 dalies                 7 punktu</w:t>
      </w:r>
      <w:r w:rsidR="00533145" w:rsidRPr="0041169E">
        <w:rPr>
          <w:sz w:val="24"/>
          <w:lang w:val="lt-LT"/>
        </w:rPr>
        <w:t>,</w:t>
      </w:r>
      <w:r w:rsidRPr="0041169E">
        <w:rPr>
          <w:sz w:val="24"/>
          <w:lang w:val="lt-LT"/>
        </w:rPr>
        <w:t xml:space="preserve"> Savivaldybės taryba n u s p r e n d ž i a: </w:t>
      </w:r>
    </w:p>
    <w:p w:rsidR="00397799" w:rsidRPr="0041169E" w:rsidRDefault="007F1AC1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</w:r>
      <w:r w:rsidR="00DB6785" w:rsidRPr="0041169E">
        <w:rPr>
          <w:sz w:val="24"/>
          <w:lang w:val="lt-LT"/>
        </w:rPr>
        <w:t xml:space="preserve"> </w:t>
      </w:r>
      <w:r w:rsidR="00397799" w:rsidRPr="0041169E">
        <w:rPr>
          <w:sz w:val="24"/>
          <w:lang w:val="lt-LT"/>
        </w:rPr>
        <w:t>1. Nustatyti biudžetinių įstaigų valomų patalpų vidaus ir lauko plotų normatyvus:</w:t>
      </w:r>
    </w:p>
    <w:p w:rsidR="00397799" w:rsidRPr="0041169E" w:rsidRDefault="00397799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 xml:space="preserve">1.1. valomas patalpų vidaus plotas vienai pareigybei – </w:t>
      </w:r>
      <w:r w:rsidR="00990431" w:rsidRPr="0041169E">
        <w:rPr>
          <w:sz w:val="24"/>
          <w:lang w:val="lt-LT"/>
        </w:rPr>
        <w:t>750</w:t>
      </w:r>
      <w:r w:rsidRPr="0041169E">
        <w:rPr>
          <w:sz w:val="24"/>
          <w:lang w:val="lt-LT"/>
        </w:rPr>
        <w:t xml:space="preserve"> kv. metrų;</w:t>
      </w:r>
    </w:p>
    <w:p w:rsidR="00397799" w:rsidRPr="0041169E" w:rsidRDefault="00397799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>1.2. valomas lauko p</w:t>
      </w:r>
      <w:r w:rsidR="00EB2940" w:rsidRPr="0041169E">
        <w:rPr>
          <w:sz w:val="24"/>
          <w:lang w:val="lt-LT"/>
        </w:rPr>
        <w:t xml:space="preserve">lotas vienai pareigybei – </w:t>
      </w:r>
      <w:r w:rsidRPr="0041169E">
        <w:rPr>
          <w:sz w:val="24"/>
          <w:lang w:val="lt-LT"/>
        </w:rPr>
        <w:t>4 500  kv. metrų (vasaros ir žiemos normų vidurkis).</w:t>
      </w:r>
    </w:p>
    <w:p w:rsidR="00397799" w:rsidRPr="0041169E" w:rsidRDefault="00397799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>2. Valomų patalpų vidaus ir  lauko plotų perskaičiavimo koeficientai:</w:t>
      </w:r>
    </w:p>
    <w:p w:rsidR="00397799" w:rsidRPr="0041169E" w:rsidRDefault="00397799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>2.1. kabinetai</w:t>
      </w:r>
      <w:r w:rsidR="00434990" w:rsidRPr="0041169E">
        <w:rPr>
          <w:sz w:val="24"/>
          <w:lang w:val="lt-LT"/>
        </w:rPr>
        <w:t>, klasės, koridoriai,</w:t>
      </w:r>
      <w:r w:rsidRPr="0041169E">
        <w:rPr>
          <w:sz w:val="24"/>
          <w:lang w:val="lt-LT"/>
        </w:rPr>
        <w:t xml:space="preserve"> rūbinės, biblioteka, valgyklos salė – 1, iš jų  patalpoms, naudojamoms 3 ir </w:t>
      </w:r>
      <w:r w:rsidR="00CC1A68" w:rsidRPr="0041169E">
        <w:rPr>
          <w:sz w:val="24"/>
          <w:lang w:val="lt-LT"/>
        </w:rPr>
        <w:t>mažiau kartų per savaitę</w:t>
      </w:r>
      <w:r w:rsidR="0041169E">
        <w:rPr>
          <w:sz w:val="24"/>
          <w:lang w:val="lt-LT"/>
        </w:rPr>
        <w:t>,</w:t>
      </w:r>
      <w:r w:rsidR="00CC1A68" w:rsidRPr="0041169E">
        <w:rPr>
          <w:sz w:val="24"/>
          <w:lang w:val="lt-LT"/>
        </w:rPr>
        <w:t xml:space="preserve"> – 0,25, kabinetai, kuriuose mokosi klasės, turinčios 20 ir daugiau mokinių</w:t>
      </w:r>
      <w:r w:rsidR="0041169E">
        <w:rPr>
          <w:sz w:val="24"/>
          <w:lang w:val="lt-LT"/>
        </w:rPr>
        <w:t>,</w:t>
      </w:r>
      <w:r w:rsidR="00CC1A68" w:rsidRPr="0041169E">
        <w:rPr>
          <w:sz w:val="24"/>
          <w:lang w:val="lt-LT"/>
        </w:rPr>
        <w:t xml:space="preserve"> – 1,3;</w:t>
      </w:r>
    </w:p>
    <w:p w:rsidR="00397799" w:rsidRPr="0041169E" w:rsidRDefault="00397799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>2.2. aktų, posėdžių salės – 0,25;</w:t>
      </w:r>
    </w:p>
    <w:p w:rsidR="00397799" w:rsidRPr="0041169E" w:rsidRDefault="00397799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>2.3. sporto, choreografijos salės – 1, sporto salės</w:t>
      </w:r>
      <w:r w:rsidR="0041169E">
        <w:rPr>
          <w:sz w:val="24"/>
          <w:lang w:val="lt-LT"/>
        </w:rPr>
        <w:t>,</w:t>
      </w:r>
      <w:r w:rsidRPr="0041169E">
        <w:rPr>
          <w:sz w:val="24"/>
          <w:lang w:val="lt-LT"/>
        </w:rPr>
        <w:t xml:space="preserve"> naudojamos ilgiau kaip </w:t>
      </w:r>
      <w:r w:rsidR="00990431" w:rsidRPr="0041169E">
        <w:rPr>
          <w:sz w:val="24"/>
          <w:lang w:val="lt-LT"/>
        </w:rPr>
        <w:t>8</w:t>
      </w:r>
      <w:r w:rsidRPr="0041169E">
        <w:rPr>
          <w:sz w:val="24"/>
          <w:lang w:val="lt-LT"/>
        </w:rPr>
        <w:t xml:space="preserve"> val. per dieną</w:t>
      </w:r>
      <w:r w:rsidR="0041169E">
        <w:rPr>
          <w:sz w:val="24"/>
          <w:lang w:val="lt-LT"/>
        </w:rPr>
        <w:t>,</w:t>
      </w:r>
      <w:r w:rsidRPr="0041169E">
        <w:rPr>
          <w:sz w:val="24"/>
          <w:lang w:val="lt-LT"/>
        </w:rPr>
        <w:t xml:space="preserve"> – 1,5</w:t>
      </w:r>
      <w:r w:rsidR="0041169E">
        <w:rPr>
          <w:sz w:val="24"/>
          <w:lang w:val="lt-LT"/>
        </w:rPr>
        <w:t>; ikimokyklinio ugdymo</w:t>
      </w:r>
      <w:r w:rsidR="00CC1A68" w:rsidRPr="0041169E">
        <w:rPr>
          <w:sz w:val="24"/>
          <w:lang w:val="lt-LT"/>
        </w:rPr>
        <w:t xml:space="preserve"> įstaig</w:t>
      </w:r>
      <w:r w:rsidR="0041169E">
        <w:rPr>
          <w:sz w:val="24"/>
          <w:lang w:val="lt-LT"/>
        </w:rPr>
        <w:t>ų ir mokyklų-darželių salės –1,5</w:t>
      </w:r>
      <w:r w:rsidRPr="0041169E">
        <w:rPr>
          <w:sz w:val="24"/>
          <w:lang w:val="lt-LT"/>
        </w:rPr>
        <w:t>;</w:t>
      </w:r>
    </w:p>
    <w:p w:rsidR="00397799" w:rsidRPr="0041169E" w:rsidRDefault="00397799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>2.4. laiptai, dirbtuvės</w:t>
      </w:r>
      <w:r w:rsidR="00434990" w:rsidRPr="0041169E">
        <w:rPr>
          <w:sz w:val="24"/>
          <w:lang w:val="lt-LT"/>
        </w:rPr>
        <w:t xml:space="preserve">, </w:t>
      </w:r>
      <w:r w:rsidR="008B5DA4" w:rsidRPr="0041169E">
        <w:rPr>
          <w:sz w:val="24"/>
          <w:lang w:val="lt-LT"/>
        </w:rPr>
        <w:t>technologijų klasės</w:t>
      </w:r>
      <w:r w:rsidRPr="0041169E">
        <w:rPr>
          <w:sz w:val="24"/>
          <w:lang w:val="lt-LT"/>
        </w:rPr>
        <w:t xml:space="preserve"> – 1,5;</w:t>
      </w:r>
    </w:p>
    <w:p w:rsidR="00397799" w:rsidRPr="0041169E" w:rsidRDefault="00397799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>2.5. pagalbinės patalpos (kabinetų paruošiamieji kambariai, sandėliai), archyvai</w:t>
      </w:r>
      <w:r w:rsidR="008B5DA4" w:rsidRPr="0041169E">
        <w:rPr>
          <w:sz w:val="24"/>
          <w:lang w:val="lt-LT"/>
        </w:rPr>
        <w:t>, muziejai, šiluminiai punktai, rūsiai</w:t>
      </w:r>
      <w:r w:rsidRPr="0041169E">
        <w:rPr>
          <w:sz w:val="24"/>
          <w:lang w:val="lt-LT"/>
        </w:rPr>
        <w:t xml:space="preserve"> ir kitos ne kiekvieną dieną naudojam</w:t>
      </w:r>
      <w:r w:rsidR="00CC1A68" w:rsidRPr="0041169E">
        <w:rPr>
          <w:sz w:val="24"/>
          <w:lang w:val="lt-LT"/>
        </w:rPr>
        <w:t>os patalpos – 0,2</w:t>
      </w:r>
      <w:r w:rsidRPr="0041169E">
        <w:rPr>
          <w:sz w:val="24"/>
          <w:lang w:val="lt-LT"/>
        </w:rPr>
        <w:t>;</w:t>
      </w:r>
    </w:p>
    <w:p w:rsidR="00CC1A68" w:rsidRPr="0041169E" w:rsidRDefault="00CC1A68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>2.6. suolai, lentos, palangės, langai – 0,25;</w:t>
      </w:r>
    </w:p>
    <w:p w:rsidR="00397799" w:rsidRPr="0041169E" w:rsidRDefault="00CC1A68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>2.7</w:t>
      </w:r>
      <w:r w:rsidR="00397799" w:rsidRPr="0041169E">
        <w:rPr>
          <w:sz w:val="24"/>
          <w:lang w:val="lt-LT"/>
        </w:rPr>
        <w:t xml:space="preserve">. </w:t>
      </w:r>
      <w:r w:rsidR="008B5DA4" w:rsidRPr="0041169E">
        <w:rPr>
          <w:sz w:val="24"/>
          <w:lang w:val="lt-LT"/>
        </w:rPr>
        <w:t xml:space="preserve">virtuvės patalpos, dušai, </w:t>
      </w:r>
      <w:r w:rsidR="00397799" w:rsidRPr="0041169E">
        <w:rPr>
          <w:sz w:val="24"/>
          <w:lang w:val="lt-LT"/>
        </w:rPr>
        <w:t>tualetai – 3;</w:t>
      </w:r>
    </w:p>
    <w:p w:rsidR="00397799" w:rsidRPr="0041169E" w:rsidRDefault="00E11ED8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>2.8</w:t>
      </w:r>
      <w:r w:rsidR="00397799" w:rsidRPr="0041169E">
        <w:rPr>
          <w:sz w:val="24"/>
          <w:lang w:val="lt-LT"/>
        </w:rPr>
        <w:t>. gatvės, šaligatviai,</w:t>
      </w:r>
      <w:r w:rsidR="004E46CF" w:rsidRPr="0041169E">
        <w:rPr>
          <w:sz w:val="24"/>
          <w:lang w:val="lt-LT"/>
        </w:rPr>
        <w:t xml:space="preserve"> aikštynai,</w:t>
      </w:r>
      <w:r w:rsidR="00397799" w:rsidRPr="0041169E">
        <w:rPr>
          <w:sz w:val="24"/>
          <w:lang w:val="lt-LT"/>
        </w:rPr>
        <w:t xml:space="preserve"> kiemai:</w:t>
      </w:r>
    </w:p>
    <w:p w:rsidR="00397799" w:rsidRPr="0041169E" w:rsidRDefault="00397799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>2.</w:t>
      </w:r>
      <w:r w:rsidR="00E11ED8" w:rsidRPr="0041169E">
        <w:rPr>
          <w:sz w:val="24"/>
          <w:lang w:val="lt-LT"/>
        </w:rPr>
        <w:t>8</w:t>
      </w:r>
      <w:r w:rsidRPr="0041169E">
        <w:rPr>
          <w:sz w:val="24"/>
          <w:lang w:val="lt-LT"/>
        </w:rPr>
        <w:t>.1. asfaltuota danga</w:t>
      </w:r>
      <w:r w:rsidR="00B13916" w:rsidRPr="0041169E">
        <w:rPr>
          <w:sz w:val="24"/>
          <w:lang w:val="lt-LT"/>
        </w:rPr>
        <w:t>, plytelės, trinkelės, guminė danga</w:t>
      </w:r>
      <w:r w:rsidRPr="0041169E">
        <w:rPr>
          <w:sz w:val="24"/>
          <w:lang w:val="lt-LT"/>
        </w:rPr>
        <w:t xml:space="preserve"> – 1;</w:t>
      </w:r>
    </w:p>
    <w:p w:rsidR="00397799" w:rsidRPr="0041169E" w:rsidRDefault="00397799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>2.</w:t>
      </w:r>
      <w:r w:rsidR="00E11ED8" w:rsidRPr="0041169E">
        <w:rPr>
          <w:sz w:val="24"/>
          <w:lang w:val="lt-LT"/>
        </w:rPr>
        <w:t>8</w:t>
      </w:r>
      <w:r w:rsidRPr="0041169E">
        <w:rPr>
          <w:sz w:val="24"/>
          <w:lang w:val="lt-LT"/>
        </w:rPr>
        <w:t>.2. akmenų arba skaldos danga – 0,75;</w:t>
      </w:r>
    </w:p>
    <w:p w:rsidR="00397799" w:rsidRPr="0041169E" w:rsidRDefault="00397799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>2.</w:t>
      </w:r>
      <w:r w:rsidR="00E11ED8" w:rsidRPr="0041169E">
        <w:rPr>
          <w:sz w:val="24"/>
          <w:lang w:val="lt-LT"/>
        </w:rPr>
        <w:t>8</w:t>
      </w:r>
      <w:r w:rsidRPr="0041169E">
        <w:rPr>
          <w:sz w:val="24"/>
          <w:lang w:val="lt-LT"/>
        </w:rPr>
        <w:t>.3. negrįsta danga – 0,4;</w:t>
      </w:r>
    </w:p>
    <w:p w:rsidR="00397799" w:rsidRPr="0041169E" w:rsidRDefault="00397799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>2.</w:t>
      </w:r>
      <w:r w:rsidR="00E11ED8" w:rsidRPr="0041169E">
        <w:rPr>
          <w:sz w:val="24"/>
          <w:lang w:val="lt-LT"/>
        </w:rPr>
        <w:t>9</w:t>
      </w:r>
      <w:r w:rsidRPr="0041169E">
        <w:rPr>
          <w:sz w:val="24"/>
          <w:lang w:val="lt-LT"/>
        </w:rPr>
        <w:t>. žalia veja, gėlynai – 0,2;</w:t>
      </w:r>
    </w:p>
    <w:p w:rsidR="00397799" w:rsidRPr="0041169E" w:rsidRDefault="00397799" w:rsidP="00397799">
      <w:pPr>
        <w:jc w:val="both"/>
        <w:rPr>
          <w:sz w:val="24"/>
          <w:lang w:val="lt-LT"/>
        </w:rPr>
      </w:pPr>
      <w:r w:rsidRPr="0041169E">
        <w:rPr>
          <w:sz w:val="24"/>
          <w:lang w:val="lt-LT"/>
        </w:rPr>
        <w:tab/>
        <w:t>2.</w:t>
      </w:r>
      <w:r w:rsidR="00E11ED8" w:rsidRPr="0041169E">
        <w:rPr>
          <w:sz w:val="24"/>
          <w:lang w:val="lt-LT"/>
        </w:rPr>
        <w:t>10</w:t>
      </w:r>
      <w:r w:rsidRPr="0041169E">
        <w:rPr>
          <w:sz w:val="24"/>
          <w:lang w:val="lt-LT"/>
        </w:rPr>
        <w:t>. lauko laiptai – 1,5.</w:t>
      </w:r>
    </w:p>
    <w:p w:rsidR="00397799" w:rsidRDefault="00397799" w:rsidP="00397799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>
        <w:rPr>
          <w:sz w:val="24"/>
          <w:lang w:val="lt-LT"/>
        </w:rPr>
        <w:tab/>
        <w:t>3. Nustatant patalpų vidaus ir lauko plotų valytojų (kiemsargių) pareigybių skaičių, taikyti gaut</w:t>
      </w:r>
      <w:r w:rsidR="004E46CF">
        <w:rPr>
          <w:sz w:val="24"/>
          <w:lang w:val="lt-LT"/>
        </w:rPr>
        <w:t>ų pareigybių vienetų apvalinimą:</w:t>
      </w:r>
    </w:p>
    <w:p w:rsidR="00397799" w:rsidRDefault="00397799" w:rsidP="0039779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3.1. 0,13 – 0,37 apvalinama į 0,25 pareigybės;</w:t>
      </w:r>
    </w:p>
    <w:p w:rsidR="00397799" w:rsidRDefault="00397799" w:rsidP="0039779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3.2. 0,38 – 0,62 apvalinama į 0,5 pareigybės;</w:t>
      </w:r>
    </w:p>
    <w:p w:rsidR="00397799" w:rsidRDefault="00397799" w:rsidP="0039779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3.3. 0,63 – 0,86 apvalinama į 0,75 pareigybės;</w:t>
      </w:r>
    </w:p>
    <w:p w:rsidR="00397799" w:rsidRDefault="00397799" w:rsidP="0039779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3.4. 0,87 – 1,12 apvalinama į 1,0 pareigybės.</w:t>
      </w:r>
    </w:p>
    <w:p w:rsidR="00616C5D" w:rsidRPr="00616C5D" w:rsidRDefault="00616C5D" w:rsidP="00397799">
      <w:pPr>
        <w:jc w:val="both"/>
        <w:rPr>
          <w:bCs/>
          <w:sz w:val="24"/>
          <w:lang w:val="lt-LT"/>
        </w:rPr>
      </w:pPr>
      <w:r>
        <w:rPr>
          <w:sz w:val="24"/>
          <w:lang w:val="lt-LT"/>
        </w:rPr>
        <w:tab/>
        <w:t xml:space="preserve">4. Pripažinti netekusiu galios </w:t>
      </w:r>
      <w:r>
        <w:rPr>
          <w:bCs/>
          <w:sz w:val="24"/>
          <w:lang w:val="lt-LT"/>
        </w:rPr>
        <w:t>Savivaldybės tarybos 2011 m. sausio 26 d. sprendimą Nr. T-10 „Dėl biudžetinių įstaigų patalpų valytojų ir kiemsargių valomų plotų normatyvų patvirtinimo“</w:t>
      </w:r>
      <w:r w:rsidR="00271957">
        <w:rPr>
          <w:bCs/>
          <w:sz w:val="24"/>
          <w:lang w:val="lt-LT"/>
        </w:rPr>
        <w:t>.</w:t>
      </w:r>
    </w:p>
    <w:p w:rsidR="00397799" w:rsidRDefault="00397799" w:rsidP="0039779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616C5D">
        <w:rPr>
          <w:sz w:val="24"/>
          <w:lang w:val="lt-LT"/>
        </w:rPr>
        <w:t>5</w:t>
      </w:r>
      <w:r>
        <w:rPr>
          <w:sz w:val="24"/>
          <w:lang w:val="lt-LT"/>
        </w:rPr>
        <w:t>. Sprendimas įsigalioja 2017 m. rugsėjo 1 d.</w:t>
      </w:r>
    </w:p>
    <w:p w:rsidR="000D4C16" w:rsidRDefault="00397799" w:rsidP="000D4C16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Šis sprendimas gali būti skundžiamas Lietuvos Respublikos administracinės bylų teisenos įstatymo nustatyta tvarka.</w:t>
      </w:r>
    </w:p>
    <w:p w:rsidR="000D4C16" w:rsidRDefault="000D4C16" w:rsidP="000D4C16">
      <w:pPr>
        <w:jc w:val="both"/>
        <w:rPr>
          <w:sz w:val="24"/>
          <w:lang w:val="lt-LT"/>
        </w:rPr>
      </w:pPr>
    </w:p>
    <w:p w:rsidR="004E46CF" w:rsidRPr="00397799" w:rsidRDefault="00EC7E94">
      <w:pPr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</w:t>
      </w:r>
      <w:bookmarkStart w:id="0" w:name="_GoBack"/>
      <w:bookmarkEnd w:id="0"/>
      <w:r>
        <w:rPr>
          <w:sz w:val="24"/>
          <w:lang w:val="lt-LT"/>
        </w:rPr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795949" w:rsidRDefault="00795949">
      <w:pPr>
        <w:jc w:val="center"/>
        <w:rPr>
          <w:b/>
          <w:sz w:val="24"/>
          <w:szCs w:val="24"/>
        </w:rPr>
      </w:pPr>
    </w:p>
    <w:sectPr w:rsidR="00795949" w:rsidSect="000D4C16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458E5"/>
    <w:rsid w:val="0007096E"/>
    <w:rsid w:val="00072855"/>
    <w:rsid w:val="00085EB2"/>
    <w:rsid w:val="00090F20"/>
    <w:rsid w:val="00097069"/>
    <w:rsid w:val="000C3191"/>
    <w:rsid w:val="000D4C16"/>
    <w:rsid w:val="000F19D1"/>
    <w:rsid w:val="00107A6D"/>
    <w:rsid w:val="00133229"/>
    <w:rsid w:val="00146AC9"/>
    <w:rsid w:val="001C19EA"/>
    <w:rsid w:val="001C2743"/>
    <w:rsid w:val="001E4014"/>
    <w:rsid w:val="002035BF"/>
    <w:rsid w:val="002141B6"/>
    <w:rsid w:val="00241D89"/>
    <w:rsid w:val="00247F32"/>
    <w:rsid w:val="00271957"/>
    <w:rsid w:val="002777E5"/>
    <w:rsid w:val="002E37C4"/>
    <w:rsid w:val="0031198D"/>
    <w:rsid w:val="003819D6"/>
    <w:rsid w:val="003913F2"/>
    <w:rsid w:val="00397799"/>
    <w:rsid w:val="003A02D5"/>
    <w:rsid w:val="003A79BB"/>
    <w:rsid w:val="003B2355"/>
    <w:rsid w:val="003B374A"/>
    <w:rsid w:val="003D4454"/>
    <w:rsid w:val="003F392F"/>
    <w:rsid w:val="0041169E"/>
    <w:rsid w:val="004156C0"/>
    <w:rsid w:val="00416AE4"/>
    <w:rsid w:val="00434990"/>
    <w:rsid w:val="00462F79"/>
    <w:rsid w:val="00475C80"/>
    <w:rsid w:val="00485A91"/>
    <w:rsid w:val="004A22D5"/>
    <w:rsid w:val="004A4324"/>
    <w:rsid w:val="004C6AE6"/>
    <w:rsid w:val="004E46CF"/>
    <w:rsid w:val="004E4CB0"/>
    <w:rsid w:val="005014C3"/>
    <w:rsid w:val="00507D5D"/>
    <w:rsid w:val="00514303"/>
    <w:rsid w:val="00533145"/>
    <w:rsid w:val="00536BAA"/>
    <w:rsid w:val="0053782D"/>
    <w:rsid w:val="005475B0"/>
    <w:rsid w:val="005A02BB"/>
    <w:rsid w:val="005C7AD7"/>
    <w:rsid w:val="0061682A"/>
    <w:rsid w:val="00616C5D"/>
    <w:rsid w:val="006174AA"/>
    <w:rsid w:val="00632C6F"/>
    <w:rsid w:val="006573E7"/>
    <w:rsid w:val="006737E7"/>
    <w:rsid w:val="006B7870"/>
    <w:rsid w:val="00701317"/>
    <w:rsid w:val="00711013"/>
    <w:rsid w:val="007729B7"/>
    <w:rsid w:val="00794F81"/>
    <w:rsid w:val="00795949"/>
    <w:rsid w:val="007B6765"/>
    <w:rsid w:val="007C36BB"/>
    <w:rsid w:val="007E573E"/>
    <w:rsid w:val="007F1317"/>
    <w:rsid w:val="007F1AC1"/>
    <w:rsid w:val="007F27CE"/>
    <w:rsid w:val="007F42B1"/>
    <w:rsid w:val="008142EE"/>
    <w:rsid w:val="00821C18"/>
    <w:rsid w:val="00825234"/>
    <w:rsid w:val="0086322B"/>
    <w:rsid w:val="008B5DA4"/>
    <w:rsid w:val="008D3053"/>
    <w:rsid w:val="008F4158"/>
    <w:rsid w:val="008F63BF"/>
    <w:rsid w:val="00944836"/>
    <w:rsid w:val="009601EB"/>
    <w:rsid w:val="00963782"/>
    <w:rsid w:val="00990431"/>
    <w:rsid w:val="009A631B"/>
    <w:rsid w:val="009A73FC"/>
    <w:rsid w:val="009E7588"/>
    <w:rsid w:val="009F6057"/>
    <w:rsid w:val="00A32199"/>
    <w:rsid w:val="00A428D6"/>
    <w:rsid w:val="00A66166"/>
    <w:rsid w:val="00A74DDE"/>
    <w:rsid w:val="00AB2205"/>
    <w:rsid w:val="00AC0D13"/>
    <w:rsid w:val="00AD3396"/>
    <w:rsid w:val="00B07407"/>
    <w:rsid w:val="00B13916"/>
    <w:rsid w:val="00B43A20"/>
    <w:rsid w:val="00B552DF"/>
    <w:rsid w:val="00BA28A9"/>
    <w:rsid w:val="00BB631A"/>
    <w:rsid w:val="00BB77F5"/>
    <w:rsid w:val="00BC30A1"/>
    <w:rsid w:val="00BD4D43"/>
    <w:rsid w:val="00C026CD"/>
    <w:rsid w:val="00C179A1"/>
    <w:rsid w:val="00C20227"/>
    <w:rsid w:val="00C353C6"/>
    <w:rsid w:val="00C446CE"/>
    <w:rsid w:val="00C626E5"/>
    <w:rsid w:val="00C66805"/>
    <w:rsid w:val="00C678C3"/>
    <w:rsid w:val="00C72940"/>
    <w:rsid w:val="00C83668"/>
    <w:rsid w:val="00C94752"/>
    <w:rsid w:val="00CC1A68"/>
    <w:rsid w:val="00CE7BD6"/>
    <w:rsid w:val="00D01A8D"/>
    <w:rsid w:val="00D2790D"/>
    <w:rsid w:val="00D47DF1"/>
    <w:rsid w:val="00D57BE9"/>
    <w:rsid w:val="00DB39DD"/>
    <w:rsid w:val="00DB6785"/>
    <w:rsid w:val="00DF6F12"/>
    <w:rsid w:val="00E11ED8"/>
    <w:rsid w:val="00E4183E"/>
    <w:rsid w:val="00E7592D"/>
    <w:rsid w:val="00E95902"/>
    <w:rsid w:val="00EA3223"/>
    <w:rsid w:val="00EB2940"/>
    <w:rsid w:val="00EC7E94"/>
    <w:rsid w:val="00ED3389"/>
    <w:rsid w:val="00ED3E66"/>
    <w:rsid w:val="00EE3FD0"/>
    <w:rsid w:val="00EF7D24"/>
    <w:rsid w:val="00F00F07"/>
    <w:rsid w:val="00F32BB4"/>
    <w:rsid w:val="00F5097A"/>
    <w:rsid w:val="00F73737"/>
    <w:rsid w:val="00FB12AD"/>
    <w:rsid w:val="00FC7791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7196E46-19E7-4FA1-BF69-8A59040B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F1AC1"/>
    <w:rPr>
      <w:b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1582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2017-05-04T10:41:00Z</cp:lastPrinted>
  <dcterms:created xsi:type="dcterms:W3CDTF">2017-05-04T10:42:00Z</dcterms:created>
  <dcterms:modified xsi:type="dcterms:W3CDTF">2017-05-04T10:42:00Z</dcterms:modified>
</cp:coreProperties>
</file>