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1E6" w:rsidRPr="00C651E6" w:rsidRDefault="00C651E6" w:rsidP="00C651E6">
      <w:pPr>
        <w:pStyle w:val="Betarp"/>
        <w:ind w:left="3888" w:firstLine="1296"/>
        <w:rPr>
          <w:rStyle w:val="Grietas"/>
          <w:rFonts w:ascii="Times New Roman" w:hAnsi="Times New Roman" w:cs="Times New Roman"/>
          <w:b w:val="0"/>
          <w:color w:val="000000"/>
          <w:sz w:val="24"/>
          <w:szCs w:val="24"/>
        </w:rPr>
      </w:pPr>
      <w:r w:rsidRPr="00C651E6">
        <w:rPr>
          <w:rStyle w:val="Grietas"/>
          <w:rFonts w:ascii="Times New Roman" w:hAnsi="Times New Roman" w:cs="Times New Roman"/>
          <w:b w:val="0"/>
          <w:color w:val="000000"/>
          <w:sz w:val="24"/>
          <w:szCs w:val="24"/>
        </w:rPr>
        <w:t>PRITARTA</w:t>
      </w:r>
    </w:p>
    <w:p w:rsidR="00C651E6" w:rsidRPr="00C651E6" w:rsidRDefault="00C651E6" w:rsidP="00C651E6">
      <w:pPr>
        <w:pStyle w:val="Betarp"/>
        <w:rPr>
          <w:rStyle w:val="Grietas"/>
          <w:rFonts w:ascii="Times New Roman" w:hAnsi="Times New Roman" w:cs="Times New Roman"/>
          <w:b w:val="0"/>
          <w:color w:val="000000"/>
          <w:sz w:val="24"/>
          <w:szCs w:val="24"/>
        </w:rPr>
      </w:pPr>
      <w:r w:rsidRPr="00C651E6">
        <w:rPr>
          <w:rStyle w:val="Grietas"/>
          <w:rFonts w:ascii="Times New Roman" w:hAnsi="Times New Roman" w:cs="Times New Roman"/>
          <w:b w:val="0"/>
          <w:color w:val="000000"/>
          <w:sz w:val="24"/>
          <w:szCs w:val="24"/>
        </w:rPr>
        <w:tab/>
      </w:r>
      <w:r w:rsidRPr="00C651E6">
        <w:rPr>
          <w:rStyle w:val="Grietas"/>
          <w:rFonts w:ascii="Times New Roman" w:hAnsi="Times New Roman" w:cs="Times New Roman"/>
          <w:b w:val="0"/>
          <w:color w:val="000000"/>
          <w:sz w:val="24"/>
          <w:szCs w:val="24"/>
        </w:rPr>
        <w:tab/>
      </w:r>
      <w:r w:rsidRPr="00C651E6">
        <w:rPr>
          <w:rStyle w:val="Grietas"/>
          <w:rFonts w:ascii="Times New Roman" w:hAnsi="Times New Roman" w:cs="Times New Roman"/>
          <w:b w:val="0"/>
          <w:color w:val="000000"/>
          <w:sz w:val="24"/>
          <w:szCs w:val="24"/>
        </w:rPr>
        <w:tab/>
      </w:r>
      <w:r w:rsidRPr="00C651E6">
        <w:rPr>
          <w:rStyle w:val="Grietas"/>
          <w:rFonts w:ascii="Times New Roman" w:hAnsi="Times New Roman" w:cs="Times New Roman"/>
          <w:b w:val="0"/>
          <w:color w:val="000000"/>
          <w:sz w:val="24"/>
          <w:szCs w:val="24"/>
        </w:rPr>
        <w:tab/>
        <w:t>Panevėžio rajono savivaldybės tarybos</w:t>
      </w:r>
    </w:p>
    <w:p w:rsidR="00C651E6" w:rsidRPr="00C651E6" w:rsidRDefault="00C651E6" w:rsidP="00C651E6">
      <w:pPr>
        <w:pStyle w:val="Betarp"/>
        <w:rPr>
          <w:rStyle w:val="Grietas"/>
          <w:rFonts w:ascii="Times New Roman" w:hAnsi="Times New Roman" w:cs="Times New Roman"/>
          <w:b w:val="0"/>
          <w:color w:val="000000"/>
          <w:sz w:val="24"/>
          <w:szCs w:val="24"/>
        </w:rPr>
      </w:pPr>
      <w:r w:rsidRPr="00C651E6">
        <w:rPr>
          <w:rStyle w:val="Grietas"/>
          <w:rFonts w:ascii="Times New Roman" w:hAnsi="Times New Roman" w:cs="Times New Roman"/>
          <w:b w:val="0"/>
          <w:color w:val="000000"/>
          <w:sz w:val="24"/>
          <w:szCs w:val="24"/>
        </w:rPr>
        <w:tab/>
      </w:r>
      <w:r w:rsidRPr="00C651E6">
        <w:rPr>
          <w:rStyle w:val="Grietas"/>
          <w:rFonts w:ascii="Times New Roman" w:hAnsi="Times New Roman" w:cs="Times New Roman"/>
          <w:b w:val="0"/>
          <w:color w:val="000000"/>
          <w:sz w:val="24"/>
          <w:szCs w:val="24"/>
        </w:rPr>
        <w:tab/>
      </w:r>
      <w:r w:rsidRPr="00C651E6">
        <w:rPr>
          <w:rStyle w:val="Grietas"/>
          <w:rFonts w:ascii="Times New Roman" w:hAnsi="Times New Roman" w:cs="Times New Roman"/>
          <w:b w:val="0"/>
          <w:color w:val="000000"/>
          <w:sz w:val="24"/>
          <w:szCs w:val="24"/>
        </w:rPr>
        <w:tab/>
      </w:r>
      <w:r w:rsidRPr="00C651E6">
        <w:rPr>
          <w:rStyle w:val="Grietas"/>
          <w:rFonts w:ascii="Times New Roman" w:hAnsi="Times New Roman" w:cs="Times New Roman"/>
          <w:b w:val="0"/>
          <w:color w:val="000000"/>
          <w:sz w:val="24"/>
          <w:szCs w:val="24"/>
        </w:rPr>
        <w:tab/>
        <w:t>2017 m. gegužės 4 d. sprendimu Nr. T-87</w:t>
      </w:r>
    </w:p>
    <w:p w:rsidR="00C651E6" w:rsidRDefault="00C651E6" w:rsidP="007351FD">
      <w:pPr>
        <w:rPr>
          <w:rStyle w:val="Numatytasispastraiposriftas1"/>
          <w:b/>
        </w:rPr>
      </w:pPr>
    </w:p>
    <w:p w:rsidR="006630A4" w:rsidRDefault="006630A4" w:rsidP="007351FD">
      <w:pPr>
        <w:jc w:val="center"/>
      </w:pPr>
      <w:r>
        <w:rPr>
          <w:rStyle w:val="Numatytasispastraiposriftas1"/>
          <w:b/>
        </w:rPr>
        <w:t xml:space="preserve">PANEVĖŽIO RAJONO SMILGIŲ GIMNAZIJOS DIREKTORĖS </w:t>
      </w:r>
      <w:r>
        <w:rPr>
          <w:rStyle w:val="Numatytasispastraiposriftas1"/>
          <w:b/>
        </w:rPr>
        <w:br/>
        <w:t>ASTOS KAČARAUSKIENĖS</w:t>
      </w:r>
      <w:r>
        <w:rPr>
          <w:rStyle w:val="Numatytasispastraiposriftas1"/>
          <w:b/>
          <w:bCs/>
        </w:rPr>
        <w:t xml:space="preserve"> 2016 METŲ VEIKLOS ATASKAITA</w:t>
      </w:r>
    </w:p>
    <w:p w:rsidR="006630A4" w:rsidRDefault="006630A4">
      <w:pPr>
        <w:jc w:val="center"/>
      </w:pPr>
    </w:p>
    <w:p w:rsidR="006630A4" w:rsidRDefault="006630A4">
      <w:pPr>
        <w:jc w:val="center"/>
      </w:pPr>
      <w:r>
        <w:rPr>
          <w:rStyle w:val="Numatytasispastraiposriftas1"/>
          <w:b/>
          <w:bCs/>
        </w:rPr>
        <w:t xml:space="preserve">I. </w:t>
      </w:r>
      <w:r>
        <w:rPr>
          <w:b/>
          <w:bCs/>
        </w:rPr>
        <w:t>BENDRA INFORMACIJA APIE MOKYKLOS VADOVĄ IR MOKYKLĄ</w:t>
      </w:r>
    </w:p>
    <w:p w:rsidR="006630A4" w:rsidRDefault="006630A4">
      <w:pPr>
        <w:pStyle w:val="prastasis1"/>
      </w:pPr>
      <w:r>
        <w:t>Panevėžio rajono Smilgių gimnazija, Panevėžio g. 1, Smilgių mstl., kodas 190398430.</w:t>
      </w:r>
    </w:p>
    <w:p w:rsidR="006630A4" w:rsidRDefault="006630A4">
      <w:pPr>
        <w:pStyle w:val="prastasis1"/>
      </w:pPr>
      <w:r>
        <w:t xml:space="preserve">Grupė – bendrojo ugdymo mokykla. Tipas – gimnazija. Kitas tipas – ikimokyklinio ugdymo mokykla. </w:t>
      </w:r>
      <w:r>
        <w:rPr>
          <w:rStyle w:val="Numatytasispastraiposriftas1"/>
          <w:color w:val="000000"/>
        </w:rPr>
        <w:t xml:space="preserve">Vykdomos švietimo programos: ikimokyklinio ugdymo, </w:t>
      </w:r>
      <w:r>
        <w:t>priešmokyklinio ugdymo,</w:t>
      </w:r>
      <w:r>
        <w:rPr>
          <w:rStyle w:val="Numatytasispastraiposriftas1"/>
          <w:color w:val="000000"/>
        </w:rPr>
        <w:t xml:space="preserve"> pradinio ugdymo, </w:t>
      </w:r>
      <w:r>
        <w:t>pradinio ugdymo individualizuota, pagrindinio ugdymo, pagrindinio ugdymo individualizuota, vidurinio ugdymo programa.</w:t>
      </w:r>
    </w:p>
    <w:p w:rsidR="006630A4" w:rsidRDefault="006630A4">
      <w:pPr>
        <w:pStyle w:val="prastasis1"/>
      </w:pPr>
      <w:r>
        <w:t xml:space="preserve">Direktorė Asta </w:t>
      </w:r>
      <w:proofErr w:type="spellStart"/>
      <w:r>
        <w:t>Kačarauskienė</w:t>
      </w:r>
      <w:proofErr w:type="spellEnd"/>
      <w:r>
        <w:t>, vadybinis darbo stažas 15 metų (šioje gimnazijoje 4 metai), antroji kvalifikacinė kategorija.</w:t>
      </w:r>
    </w:p>
    <w:p w:rsidR="006630A4" w:rsidRDefault="006630A4">
      <w:pPr>
        <w:pStyle w:val="prastasis1"/>
      </w:pPr>
      <w:r>
        <w:t>Darbuotojai:</w:t>
      </w:r>
    </w:p>
    <w:tbl>
      <w:tblPr>
        <w:tblW w:w="0" w:type="auto"/>
        <w:tblInd w:w="109" w:type="dxa"/>
        <w:tblLayout w:type="fixed"/>
        <w:tblLook w:val="0000" w:firstRow="0" w:lastRow="0" w:firstColumn="0" w:lastColumn="0" w:noHBand="0" w:noVBand="0"/>
      </w:tblPr>
      <w:tblGrid>
        <w:gridCol w:w="570"/>
        <w:gridCol w:w="6930"/>
        <w:gridCol w:w="2020"/>
      </w:tblGrid>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Eil.</w:t>
            </w:r>
          </w:p>
          <w:p w:rsidR="006630A4" w:rsidRDefault="006630A4">
            <w:pPr>
              <w:jc w:val="both"/>
            </w:pPr>
            <w:r>
              <w:t>Nr.</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2016-12-31</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rPr>
                <w:b/>
              </w:rPr>
            </w:pPr>
            <w:r>
              <w:rPr>
                <w:b/>
              </w:rPr>
              <w:t>1.</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rPr>
                <w:b/>
              </w:rPr>
              <w:t>Bendras darbuotojų skaičius</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70</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rPr>
                <w:b/>
              </w:rPr>
            </w:pPr>
            <w:r>
              <w:rPr>
                <w:b/>
              </w:rPr>
              <w:t>2.</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rPr>
                <w:b/>
              </w:rPr>
              <w:t>Pedagoginių darbuotojų skaičius</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41</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Iš jų:</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vadovų</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3</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mokytojų pagrindinėse pareigose</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31</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mokytojų nepagrindinėse pareigose</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4</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 xml:space="preserve">pagalbos mokiniui specialistai (psichologas, </w:t>
            </w:r>
            <w:proofErr w:type="spellStart"/>
            <w:r>
              <w:t>soc</w:t>
            </w:r>
            <w:proofErr w:type="spellEnd"/>
            <w:r>
              <w:t>. pedagogas, spec. pedagogas, logopedas, mokytojo padėjėjas, bibliotekininkas ir t.t.)</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6</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rPr>
                <w:b/>
              </w:rPr>
            </w:pPr>
            <w:r>
              <w:rPr>
                <w:b/>
              </w:rPr>
              <w:t>3.</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rPr>
                <w:b/>
              </w:rPr>
              <w:t>Atestuotų pedagoginių darbuotojų skaičius:</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Turinčių eksperto kvalifikacinę kategoriją</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0</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Turinčių mokytojo metodininko kvalifikacinę kategoriją</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11</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Turinčių vyresniojo mokytojo kvalifikacinę kategoriją</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17</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Turinčių mokytojo kvalifikacinę kategoriją</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5</w:t>
            </w:r>
          </w:p>
        </w:tc>
      </w:tr>
      <w:tr w:rsidR="006630A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rPr>
                <w:b/>
              </w:rPr>
            </w:pPr>
            <w:r>
              <w:rPr>
                <w:b/>
              </w:rPr>
              <w:t>4.</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rPr>
                <w:b/>
              </w:rPr>
              <w:t>Neatestuotų pedagoginių darbuotojų skaičius</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4</w:t>
            </w:r>
          </w:p>
        </w:tc>
      </w:tr>
    </w:tbl>
    <w:p w:rsidR="006630A4" w:rsidRDefault="006630A4">
      <w:pPr>
        <w:pStyle w:val="prastasis1"/>
        <w:rPr>
          <w:rStyle w:val="Numatytasispastraiposriftas1"/>
          <w:shd w:val="clear" w:color="auto" w:fill="FFFFFF"/>
        </w:rPr>
      </w:pPr>
      <w:r>
        <w:rPr>
          <w:rStyle w:val="Numatytasispastraiposriftas1"/>
          <w:shd w:val="clear" w:color="auto" w:fill="FFFFFF"/>
        </w:rPr>
        <w:t>Didžiausias dėmesys skirtas pedagoginio personalo aktyvinimui, siekiant motyvuoti kaitai, savo kompetencijų vertinimui bei gerosios patirties sklaidai. Pavyko pasiekti kūrybingesnio požiūrio į edukacinių erdvių panaudojimą, jų kūrimą ir pritaikymą ugdymui. Aktyviai bendradarbiauta su Trečiojo amžiaus universiteto klausytojais, dalyvauta Panevėžio rajono švietimo centro</w:t>
      </w:r>
      <w:r>
        <w:t xml:space="preserve"> bei Lietuvos kultūros tarybos finansuojamame </w:t>
      </w:r>
      <w:r>
        <w:rPr>
          <w:rStyle w:val="Numatytasispastraiposriftas1"/>
          <w:shd w:val="clear" w:color="auto" w:fill="FFFFFF"/>
        </w:rPr>
        <w:t xml:space="preserve">projekte „Senjorai – skaitymo </w:t>
      </w:r>
      <w:proofErr w:type="spellStart"/>
      <w:r>
        <w:rPr>
          <w:rStyle w:val="Numatytasispastraiposriftas1"/>
          <w:shd w:val="clear" w:color="auto" w:fill="FFFFFF"/>
        </w:rPr>
        <w:t>mentoriai</w:t>
      </w:r>
      <w:proofErr w:type="spellEnd"/>
      <w:r>
        <w:rPr>
          <w:rStyle w:val="Numatytasispastraiposriftas1"/>
          <w:shd w:val="clear" w:color="auto" w:fill="FFFFFF"/>
        </w:rPr>
        <w:t xml:space="preserve">“. </w:t>
      </w:r>
    </w:p>
    <w:p w:rsidR="006630A4" w:rsidRDefault="006630A4">
      <w:pPr>
        <w:pStyle w:val="prastasis1"/>
      </w:pPr>
      <w:r>
        <w:rPr>
          <w:rStyle w:val="Numatytasispastraiposriftas1"/>
          <w:shd w:val="clear" w:color="auto" w:fill="FFFFFF"/>
        </w:rPr>
        <w:t xml:space="preserve">Gimnazijos mokytojai vedė seminarus rajono mokytojams: </w:t>
      </w:r>
      <w:r>
        <w:t xml:space="preserve">Vitalijus </w:t>
      </w:r>
      <w:proofErr w:type="spellStart"/>
      <w:r>
        <w:t>Salogubovas</w:t>
      </w:r>
      <w:proofErr w:type="spellEnd"/>
      <w:r>
        <w:t xml:space="preserve">, </w:t>
      </w:r>
      <w:proofErr w:type="spellStart"/>
      <w:r>
        <w:t>Eligija</w:t>
      </w:r>
      <w:proofErr w:type="spellEnd"/>
      <w:r>
        <w:t xml:space="preserve"> </w:t>
      </w:r>
      <w:proofErr w:type="spellStart"/>
      <w:r>
        <w:t>Ručinskienė</w:t>
      </w:r>
      <w:proofErr w:type="spellEnd"/>
      <w:r>
        <w:t xml:space="preserve"> – „Kas sudėta kraičio skrynion?“; </w:t>
      </w:r>
      <w:proofErr w:type="spellStart"/>
      <w:r>
        <w:t>Almonė</w:t>
      </w:r>
      <w:proofErr w:type="spellEnd"/>
      <w:r>
        <w:t xml:space="preserve"> </w:t>
      </w:r>
      <w:proofErr w:type="spellStart"/>
      <w:r>
        <w:t>Šalkauskienė</w:t>
      </w:r>
      <w:proofErr w:type="spellEnd"/>
      <w:r>
        <w:t xml:space="preserve"> – „Pamokos su </w:t>
      </w:r>
      <w:proofErr w:type="spellStart"/>
      <w:r>
        <w:t>planšetiniais</w:t>
      </w:r>
      <w:proofErr w:type="spellEnd"/>
      <w:r>
        <w:t xml:space="preserve"> kompiuteriais „</w:t>
      </w:r>
      <w:proofErr w:type="spellStart"/>
      <w:r>
        <w:t>LabCamera</w:t>
      </w:r>
      <w:proofErr w:type="spellEnd"/>
      <w:r>
        <w:t xml:space="preserve">“: funkcijos ir pritaikymo galimybės“, „Skaitymo strategijų taikymas gamtos mokslų pamokose“; Vitalijus </w:t>
      </w:r>
      <w:proofErr w:type="spellStart"/>
      <w:r>
        <w:t>Salogubovas</w:t>
      </w:r>
      <w:proofErr w:type="spellEnd"/>
      <w:r>
        <w:t xml:space="preserve"> – „Saulės atspindys geležyje“; Aušra Krikščiūnienė, Regina Kavoliūnienė –„Internetinių įrankių panaudojimas pamokose“, „Aktyvūs mokymo metodai ir IKT įrankiai pradinėse klasėse“, „Pasiekimų aplankai. Elektroninis dienynas. Internetinis įrankis </w:t>
      </w:r>
      <w:proofErr w:type="spellStart"/>
      <w:r>
        <w:t>Quizlett</w:t>
      </w:r>
      <w:proofErr w:type="spellEnd"/>
      <w:r>
        <w:t xml:space="preserve">“, „Internetinių įrankių panaudojimas pamokose“; </w:t>
      </w:r>
      <w:proofErr w:type="spellStart"/>
      <w:r>
        <w:t>Gražvidas</w:t>
      </w:r>
      <w:proofErr w:type="spellEnd"/>
      <w:r>
        <w:t xml:space="preserve"> Ručinskas – „IKT taikymas ugdymo procese. Mokymas(</w:t>
      </w:r>
      <w:proofErr w:type="spellStart"/>
      <w:r>
        <w:t>is</w:t>
      </w:r>
      <w:proofErr w:type="spellEnd"/>
      <w:r>
        <w:t>) naudojant mažuosius kompiuterius“, „Aktyvaus dalyvavimo siste</w:t>
      </w:r>
      <w:r w:rsidR="00543FC3">
        <w:t>mos naudojimas ugdymo procese“.</w:t>
      </w:r>
    </w:p>
    <w:p w:rsidR="00543FC3" w:rsidRDefault="00543FC3" w:rsidP="00543FC3">
      <w:pPr>
        <w:ind w:firstLine="851"/>
        <w:jc w:val="both"/>
      </w:pPr>
      <w:r>
        <w:t xml:space="preserve">Gimnazija bendradarbiauja su kultūros centru, kaimų bendruomenėmis, </w:t>
      </w:r>
      <w:proofErr w:type="spellStart"/>
      <w:r>
        <w:t>Puziniškio</w:t>
      </w:r>
      <w:proofErr w:type="spellEnd"/>
      <w:r>
        <w:t xml:space="preserve"> muziejumi, Švietimo centru. Vykdomi bendri renginiai, projektai. Kultūros centras, bendruomenė dažnai naudojasi gimnazijos patalpomis, gimnazija organizuoja renginius etnografinė sodyboje, Gabrielės Petkevičaitės- Bitės gimtinėje.</w:t>
      </w:r>
    </w:p>
    <w:p w:rsidR="006630A4" w:rsidRDefault="006630A4">
      <w:pPr>
        <w:pStyle w:val="prastasis1"/>
        <w:rPr>
          <w:rStyle w:val="Numatytasispastraiposriftas1"/>
          <w:b/>
          <w:bCs/>
        </w:rPr>
      </w:pPr>
      <w:r>
        <w:t>Smilgiai – miestelis Panevėžio rajone, šalia kelio Panevėžys–Šiauliai. Prie Smilgių kelias išsišakoja į Pakruojį. Miestelis nuo rajono centro Panevėžio nutolęs 25 km. Gimnazija įsikūrusi gana patogioje geografinėje padėtyje. Šalia Smilgių įsikūrę Radviliškio bei Pakruojo rajonų kaimai ir gyvenvietės, iš kurių atvyksta dalis mokinių. Dauguma miestelio gyventojų dirba žemės ūkio sektoriuje.</w:t>
      </w:r>
    </w:p>
    <w:p w:rsidR="006630A4" w:rsidRDefault="006630A4">
      <w:pPr>
        <w:pStyle w:val="Porat1"/>
        <w:pageBreakBefore/>
        <w:jc w:val="center"/>
      </w:pPr>
      <w:r>
        <w:rPr>
          <w:rStyle w:val="Numatytasispastraiposriftas1"/>
          <w:b/>
          <w:bCs/>
        </w:rPr>
        <w:lastRenderedPageBreak/>
        <w:t>II. MOKINIAI</w:t>
      </w:r>
    </w:p>
    <w:p w:rsidR="006630A4" w:rsidRDefault="006630A4">
      <w:pPr>
        <w:jc w:val="both"/>
      </w:pPr>
      <w:r>
        <w:tab/>
        <w:t>Besimokančių mokinių skaičius:</w:t>
      </w:r>
    </w:p>
    <w:tbl>
      <w:tblPr>
        <w:tblW w:w="0" w:type="auto"/>
        <w:tblInd w:w="108" w:type="dxa"/>
        <w:tblLayout w:type="fixed"/>
        <w:tblLook w:val="0000" w:firstRow="0" w:lastRow="0" w:firstColumn="0" w:lastColumn="0" w:noHBand="0" w:noVBand="0"/>
      </w:tblPr>
      <w:tblGrid>
        <w:gridCol w:w="1379"/>
        <w:gridCol w:w="1592"/>
        <w:gridCol w:w="847"/>
        <w:gridCol w:w="740"/>
        <w:gridCol w:w="740"/>
        <w:gridCol w:w="900"/>
        <w:gridCol w:w="906"/>
        <w:gridCol w:w="2534"/>
      </w:tblGrid>
      <w:tr w:rsidR="006630A4">
        <w:tc>
          <w:tcPr>
            <w:tcW w:w="137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5725" w:type="dxa"/>
            <w:gridSpan w:val="6"/>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r>
              <w:t>Iš jų specialiųjų ugdymosi poreikių turinčių mokinių</w:t>
            </w:r>
          </w:p>
        </w:tc>
      </w:tr>
      <w:tr w:rsidR="006630A4">
        <w:tc>
          <w:tcPr>
            <w:tcW w:w="1379" w:type="dxa"/>
            <w:vMerge/>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tc>
        <w:tc>
          <w:tcPr>
            <w:tcW w:w="1592"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Ikimokyklinio ugdymo skyriuje</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1–4</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5–8</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9–10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11–12</w:t>
            </w:r>
          </w:p>
        </w:tc>
        <w:tc>
          <w:tcPr>
            <w:tcW w:w="906"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Iš viso</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p>
        </w:tc>
      </w:tr>
      <w:tr w:rsidR="006630A4">
        <w:tc>
          <w:tcPr>
            <w:tcW w:w="1379"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2015-09-01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51</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62</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100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39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28</w:t>
            </w:r>
          </w:p>
        </w:tc>
        <w:tc>
          <w:tcPr>
            <w:tcW w:w="906"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280</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41</w:t>
            </w:r>
          </w:p>
        </w:tc>
      </w:tr>
      <w:tr w:rsidR="006630A4">
        <w:tc>
          <w:tcPr>
            <w:tcW w:w="1379"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2016-09-01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50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80</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82</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48</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25</w:t>
            </w:r>
          </w:p>
        </w:tc>
        <w:tc>
          <w:tcPr>
            <w:tcW w:w="906"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285</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41</w:t>
            </w:r>
          </w:p>
        </w:tc>
      </w:tr>
    </w:tbl>
    <w:p w:rsidR="006630A4" w:rsidRDefault="006630A4">
      <w:pPr>
        <w:pStyle w:val="prastasis1"/>
      </w:pPr>
      <w:r>
        <w:rPr>
          <w:shd w:val="clear" w:color="auto" w:fill="FFFFFF"/>
        </w:rPr>
        <w:t>Į gimnaziją ir iš jos pavežama 73,9 proc. mokinių.</w:t>
      </w:r>
    </w:p>
    <w:p w:rsidR="006630A4" w:rsidRDefault="006630A4">
      <w:pPr>
        <w:pStyle w:val="prastasis1"/>
      </w:pPr>
      <w:r>
        <w:t>Atnaujintas gimnazijos lankomumo tvarkos aprašas, numatyti atsakingi asmenys ir jų funkcijos, lankomumo apskaitos tvarka bei prevencijos priemonės. Iškilus problemoms, aktyviai bendradarbiaujama su seniūnijos socialiniais darbuotojais</w:t>
      </w:r>
      <w:r w:rsidR="00A801B6">
        <w:t>.</w:t>
      </w:r>
    </w:p>
    <w:p w:rsidR="00DF4162" w:rsidRDefault="00DF4162" w:rsidP="00A801B6">
      <w:pPr>
        <w:pStyle w:val="prastasis1"/>
        <w:ind w:firstLine="0"/>
      </w:pPr>
    </w:p>
    <w:tbl>
      <w:tblPr>
        <w:tblW w:w="10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960"/>
        <w:gridCol w:w="2325"/>
        <w:gridCol w:w="960"/>
        <w:gridCol w:w="2325"/>
        <w:gridCol w:w="960"/>
      </w:tblGrid>
      <w:tr w:rsidR="00DF4162" w:rsidTr="006630A4">
        <w:tc>
          <w:tcPr>
            <w:tcW w:w="4136" w:type="dxa"/>
            <w:gridSpan w:val="2"/>
            <w:shd w:val="clear" w:color="auto" w:fill="auto"/>
          </w:tcPr>
          <w:p w:rsidR="00DF4162" w:rsidRDefault="00DF4162" w:rsidP="006630A4">
            <w:pPr>
              <w:pStyle w:val="prastasis1"/>
              <w:ind w:firstLine="0"/>
            </w:pPr>
          </w:p>
        </w:tc>
        <w:tc>
          <w:tcPr>
            <w:tcW w:w="3285" w:type="dxa"/>
            <w:gridSpan w:val="2"/>
            <w:shd w:val="clear" w:color="auto" w:fill="auto"/>
          </w:tcPr>
          <w:p w:rsidR="00DF4162" w:rsidRDefault="00DF4162" w:rsidP="006630A4">
            <w:pPr>
              <w:pStyle w:val="prastasis1"/>
              <w:ind w:firstLine="0"/>
            </w:pPr>
          </w:p>
        </w:tc>
        <w:tc>
          <w:tcPr>
            <w:tcW w:w="3285" w:type="dxa"/>
            <w:gridSpan w:val="2"/>
            <w:shd w:val="clear" w:color="auto" w:fill="auto"/>
          </w:tcPr>
          <w:p w:rsidR="00DF4162" w:rsidRDefault="00DF4162" w:rsidP="006630A4">
            <w:pPr>
              <w:pStyle w:val="prastasis1"/>
              <w:ind w:firstLine="0"/>
            </w:pPr>
          </w:p>
        </w:tc>
      </w:tr>
      <w:tr w:rsidR="00DF4162" w:rsidTr="006630A4">
        <w:trPr>
          <w:gridAfter w:val="1"/>
          <w:wAfter w:w="960" w:type="dxa"/>
        </w:trPr>
        <w:tc>
          <w:tcPr>
            <w:tcW w:w="3176" w:type="dxa"/>
            <w:shd w:val="clear" w:color="auto" w:fill="auto"/>
          </w:tcPr>
          <w:p w:rsidR="00DF4162" w:rsidRPr="006630A4" w:rsidRDefault="00DF4162" w:rsidP="006630A4">
            <w:pPr>
              <w:jc w:val="both"/>
              <w:rPr>
                <w:b/>
                <w:bCs/>
              </w:rPr>
            </w:pPr>
            <w:r w:rsidRPr="006630A4">
              <w:rPr>
                <w:b/>
                <w:bCs/>
              </w:rPr>
              <w:t>Šeimos</w:t>
            </w:r>
          </w:p>
        </w:tc>
        <w:tc>
          <w:tcPr>
            <w:tcW w:w="3285" w:type="dxa"/>
            <w:gridSpan w:val="2"/>
            <w:shd w:val="clear" w:color="auto" w:fill="auto"/>
          </w:tcPr>
          <w:p w:rsidR="00DF4162" w:rsidRPr="006630A4" w:rsidRDefault="00DF4162" w:rsidP="00DF4162">
            <w:pPr>
              <w:rPr>
                <w:b/>
                <w:bCs/>
              </w:rPr>
            </w:pPr>
            <w:r w:rsidRPr="006630A4">
              <w:rPr>
                <w:b/>
                <w:bCs/>
              </w:rPr>
              <w:t>Mokinių, gyvenančių šeimose, skaičius</w:t>
            </w:r>
          </w:p>
        </w:tc>
        <w:tc>
          <w:tcPr>
            <w:tcW w:w="3285" w:type="dxa"/>
            <w:gridSpan w:val="2"/>
            <w:shd w:val="clear" w:color="auto" w:fill="auto"/>
          </w:tcPr>
          <w:p w:rsidR="00DF4162" w:rsidRDefault="00DF4162" w:rsidP="00DF4162">
            <w:r w:rsidRPr="006630A4">
              <w:rPr>
                <w:b/>
                <w:bCs/>
              </w:rPr>
              <w:t>Proc. nuo mokinių skaičiaus</w:t>
            </w:r>
          </w:p>
        </w:tc>
      </w:tr>
      <w:tr w:rsidR="00DF4162" w:rsidTr="006630A4">
        <w:trPr>
          <w:gridAfter w:val="1"/>
          <w:wAfter w:w="960" w:type="dxa"/>
        </w:trPr>
        <w:tc>
          <w:tcPr>
            <w:tcW w:w="3176" w:type="dxa"/>
            <w:shd w:val="clear" w:color="auto" w:fill="auto"/>
          </w:tcPr>
          <w:p w:rsidR="00DF4162" w:rsidRPr="006630A4" w:rsidRDefault="00DF4162" w:rsidP="00DF4162">
            <w:pPr>
              <w:rPr>
                <w:iCs/>
              </w:rPr>
            </w:pPr>
            <w:r w:rsidRPr="006630A4">
              <w:rPr>
                <w:b/>
                <w:bCs/>
              </w:rPr>
              <w:t>Socialiai remtinos šeimos gimnazijoje</w:t>
            </w:r>
          </w:p>
        </w:tc>
        <w:tc>
          <w:tcPr>
            <w:tcW w:w="3285" w:type="dxa"/>
            <w:gridSpan w:val="2"/>
            <w:shd w:val="clear" w:color="auto" w:fill="auto"/>
          </w:tcPr>
          <w:p w:rsidR="00DF4162" w:rsidRPr="006630A4" w:rsidRDefault="00DF4162" w:rsidP="006630A4">
            <w:pPr>
              <w:jc w:val="both"/>
              <w:rPr>
                <w:iCs/>
              </w:rPr>
            </w:pPr>
            <w:r w:rsidRPr="006630A4">
              <w:rPr>
                <w:iCs/>
              </w:rPr>
              <w:t xml:space="preserve">108 </w:t>
            </w:r>
          </w:p>
        </w:tc>
        <w:tc>
          <w:tcPr>
            <w:tcW w:w="3285" w:type="dxa"/>
            <w:gridSpan w:val="2"/>
            <w:shd w:val="clear" w:color="auto" w:fill="auto"/>
          </w:tcPr>
          <w:p w:rsidR="00DF4162" w:rsidRDefault="00DF4162" w:rsidP="006630A4">
            <w:pPr>
              <w:jc w:val="both"/>
            </w:pPr>
            <w:r w:rsidRPr="006630A4">
              <w:rPr>
                <w:iCs/>
              </w:rPr>
              <w:t>45,3 proc.</w:t>
            </w:r>
          </w:p>
        </w:tc>
      </w:tr>
      <w:tr w:rsidR="00DF4162" w:rsidTr="006630A4">
        <w:trPr>
          <w:gridAfter w:val="1"/>
          <w:wAfter w:w="960" w:type="dxa"/>
        </w:trPr>
        <w:tc>
          <w:tcPr>
            <w:tcW w:w="3176" w:type="dxa"/>
            <w:shd w:val="clear" w:color="auto" w:fill="auto"/>
          </w:tcPr>
          <w:p w:rsidR="00DF4162" w:rsidRPr="006630A4" w:rsidRDefault="00DF4162" w:rsidP="006630A4">
            <w:pPr>
              <w:jc w:val="both"/>
              <w:rPr>
                <w:iCs/>
              </w:rPr>
            </w:pPr>
            <w:r w:rsidRPr="006630A4">
              <w:rPr>
                <w:b/>
                <w:bCs/>
              </w:rPr>
              <w:t>Socialiai remtinos šeimos skyriuje</w:t>
            </w:r>
          </w:p>
        </w:tc>
        <w:tc>
          <w:tcPr>
            <w:tcW w:w="3285" w:type="dxa"/>
            <w:gridSpan w:val="2"/>
            <w:shd w:val="clear" w:color="auto" w:fill="auto"/>
          </w:tcPr>
          <w:p w:rsidR="00DF4162" w:rsidRPr="006630A4" w:rsidRDefault="00DF4162" w:rsidP="006630A4">
            <w:pPr>
              <w:jc w:val="both"/>
              <w:rPr>
                <w:iCs/>
              </w:rPr>
            </w:pPr>
            <w:r w:rsidRPr="006630A4">
              <w:rPr>
                <w:iCs/>
              </w:rPr>
              <w:t xml:space="preserve">13 </w:t>
            </w:r>
          </w:p>
        </w:tc>
        <w:tc>
          <w:tcPr>
            <w:tcW w:w="3285" w:type="dxa"/>
            <w:gridSpan w:val="2"/>
            <w:shd w:val="clear" w:color="auto" w:fill="auto"/>
          </w:tcPr>
          <w:p w:rsidR="00DF4162" w:rsidRDefault="00DF4162" w:rsidP="006630A4">
            <w:pPr>
              <w:jc w:val="both"/>
            </w:pPr>
            <w:r w:rsidRPr="006630A4">
              <w:rPr>
                <w:iCs/>
              </w:rPr>
              <w:t>23,21 proc.</w:t>
            </w:r>
          </w:p>
        </w:tc>
      </w:tr>
      <w:tr w:rsidR="00DF4162" w:rsidTr="006630A4">
        <w:trPr>
          <w:gridAfter w:val="1"/>
          <w:wAfter w:w="960" w:type="dxa"/>
        </w:trPr>
        <w:tc>
          <w:tcPr>
            <w:tcW w:w="3176" w:type="dxa"/>
            <w:shd w:val="clear" w:color="auto" w:fill="auto"/>
          </w:tcPr>
          <w:p w:rsidR="00DF4162" w:rsidRDefault="00DF4162" w:rsidP="00DF4162">
            <w:r w:rsidRPr="006630A4">
              <w:rPr>
                <w:b/>
                <w:bCs/>
              </w:rPr>
              <w:t>Socialinės rizikos šeimos gimnazijoje</w:t>
            </w:r>
          </w:p>
        </w:tc>
        <w:tc>
          <w:tcPr>
            <w:tcW w:w="3285" w:type="dxa"/>
            <w:gridSpan w:val="2"/>
            <w:shd w:val="clear" w:color="auto" w:fill="auto"/>
          </w:tcPr>
          <w:p w:rsidR="00DF4162" w:rsidRDefault="00DF4162" w:rsidP="006630A4">
            <w:pPr>
              <w:jc w:val="both"/>
            </w:pPr>
            <w:r>
              <w:t>41</w:t>
            </w:r>
          </w:p>
        </w:tc>
        <w:tc>
          <w:tcPr>
            <w:tcW w:w="3285" w:type="dxa"/>
            <w:gridSpan w:val="2"/>
            <w:shd w:val="clear" w:color="auto" w:fill="auto"/>
          </w:tcPr>
          <w:p w:rsidR="00DF4162" w:rsidRDefault="00DF4162" w:rsidP="006630A4">
            <w:pPr>
              <w:jc w:val="both"/>
            </w:pPr>
            <w:r>
              <w:t>17,2 proc.</w:t>
            </w:r>
          </w:p>
        </w:tc>
      </w:tr>
      <w:tr w:rsidR="00DF4162" w:rsidTr="006630A4">
        <w:trPr>
          <w:gridAfter w:val="1"/>
          <w:wAfter w:w="960" w:type="dxa"/>
        </w:trPr>
        <w:tc>
          <w:tcPr>
            <w:tcW w:w="3176" w:type="dxa"/>
            <w:shd w:val="clear" w:color="auto" w:fill="auto"/>
          </w:tcPr>
          <w:p w:rsidR="00DF4162" w:rsidRDefault="00DF4162" w:rsidP="006630A4">
            <w:pPr>
              <w:jc w:val="both"/>
            </w:pPr>
            <w:r w:rsidRPr="006630A4">
              <w:rPr>
                <w:b/>
                <w:bCs/>
              </w:rPr>
              <w:t>Socialinės rizikos šeimos skyriuje</w:t>
            </w:r>
          </w:p>
        </w:tc>
        <w:tc>
          <w:tcPr>
            <w:tcW w:w="3285" w:type="dxa"/>
            <w:gridSpan w:val="2"/>
            <w:shd w:val="clear" w:color="auto" w:fill="auto"/>
          </w:tcPr>
          <w:p w:rsidR="00DF4162" w:rsidRDefault="00DF4162" w:rsidP="006630A4">
            <w:pPr>
              <w:jc w:val="both"/>
            </w:pPr>
            <w:r>
              <w:t>8</w:t>
            </w:r>
          </w:p>
        </w:tc>
        <w:tc>
          <w:tcPr>
            <w:tcW w:w="3285" w:type="dxa"/>
            <w:gridSpan w:val="2"/>
            <w:shd w:val="clear" w:color="auto" w:fill="auto"/>
          </w:tcPr>
          <w:p w:rsidR="00DF4162" w:rsidRDefault="00DF4162" w:rsidP="006630A4">
            <w:pPr>
              <w:jc w:val="both"/>
            </w:pPr>
            <w:r>
              <w:t>14,28 proc.</w:t>
            </w:r>
          </w:p>
        </w:tc>
      </w:tr>
    </w:tbl>
    <w:p w:rsidR="00DF4162" w:rsidRDefault="00DF4162">
      <w:pPr>
        <w:pStyle w:val="prastasis1"/>
        <w:rPr>
          <w:b/>
          <w:bCs/>
        </w:rPr>
      </w:pPr>
    </w:p>
    <w:tbl>
      <w:tblPr>
        <w:tblW w:w="9639" w:type="dxa"/>
        <w:tblInd w:w="15" w:type="dxa"/>
        <w:tblLayout w:type="fixed"/>
        <w:tblCellMar>
          <w:top w:w="15" w:type="dxa"/>
          <w:left w:w="15" w:type="dxa"/>
          <w:bottom w:w="15" w:type="dxa"/>
          <w:right w:w="15" w:type="dxa"/>
        </w:tblCellMar>
        <w:tblLook w:val="0000" w:firstRow="0" w:lastRow="0" w:firstColumn="0" w:lastColumn="0" w:noHBand="0" w:noVBand="0"/>
      </w:tblPr>
      <w:tblGrid>
        <w:gridCol w:w="4136"/>
        <w:gridCol w:w="2849"/>
        <w:gridCol w:w="2654"/>
      </w:tblGrid>
      <w:tr w:rsidR="00DF4162" w:rsidTr="00DF4162">
        <w:tc>
          <w:tcPr>
            <w:tcW w:w="4136" w:type="dxa"/>
            <w:vMerge w:val="restart"/>
            <w:tcBorders>
              <w:top w:val="single" w:sz="4" w:space="0" w:color="000000"/>
              <w:left w:val="single" w:sz="4" w:space="0" w:color="000000"/>
              <w:bottom w:val="single" w:sz="4" w:space="0" w:color="000000"/>
            </w:tcBorders>
            <w:shd w:val="clear" w:color="auto" w:fill="FFFFFF"/>
          </w:tcPr>
          <w:p w:rsidR="00DF4162" w:rsidRDefault="00DF4162" w:rsidP="00DF4162">
            <w:r>
              <w:rPr>
                <w:b/>
              </w:rPr>
              <w:t>Mokinių, paliktų kartoti ugdymo programos kursą, skaičius – 3</w:t>
            </w:r>
          </w:p>
        </w:tc>
        <w:tc>
          <w:tcPr>
            <w:tcW w:w="5503" w:type="dxa"/>
            <w:gridSpan w:val="2"/>
            <w:tcBorders>
              <w:top w:val="single" w:sz="4" w:space="0" w:color="000000"/>
              <w:left w:val="single" w:sz="4" w:space="0" w:color="000000"/>
              <w:bottom w:val="single" w:sz="4" w:space="0" w:color="000000"/>
              <w:right w:val="single" w:sz="4" w:space="0" w:color="000000"/>
            </w:tcBorders>
            <w:shd w:val="clear" w:color="auto" w:fill="FFFFFF"/>
          </w:tcPr>
          <w:p w:rsidR="00DF4162" w:rsidRDefault="00DF4162" w:rsidP="00DF4162">
            <w:pPr>
              <w:jc w:val="both"/>
            </w:pPr>
            <w:r>
              <w:t>Proc. nuo mokinių skaičiaus</w:t>
            </w:r>
          </w:p>
        </w:tc>
      </w:tr>
      <w:tr w:rsidR="00DF4162" w:rsidTr="00DF4162">
        <w:tc>
          <w:tcPr>
            <w:tcW w:w="4136" w:type="dxa"/>
            <w:vMerge/>
            <w:tcBorders>
              <w:top w:val="single" w:sz="4" w:space="0" w:color="000000"/>
              <w:left w:val="single" w:sz="4" w:space="0" w:color="000000"/>
              <w:bottom w:val="single" w:sz="4" w:space="0" w:color="000000"/>
            </w:tcBorders>
            <w:shd w:val="clear" w:color="auto" w:fill="FFFFFF"/>
          </w:tcPr>
          <w:p w:rsidR="00DF4162" w:rsidRDefault="00DF4162" w:rsidP="00DF4162"/>
        </w:tc>
        <w:tc>
          <w:tcPr>
            <w:tcW w:w="5503" w:type="dxa"/>
            <w:gridSpan w:val="2"/>
            <w:tcBorders>
              <w:top w:val="single" w:sz="4" w:space="0" w:color="000000"/>
              <w:left w:val="single" w:sz="4" w:space="0" w:color="000000"/>
              <w:bottom w:val="single" w:sz="4" w:space="0" w:color="000000"/>
              <w:right w:val="single" w:sz="4" w:space="0" w:color="000000"/>
            </w:tcBorders>
            <w:shd w:val="clear" w:color="auto" w:fill="FFFFFF"/>
          </w:tcPr>
          <w:p w:rsidR="00DF4162" w:rsidRDefault="00DF4162" w:rsidP="00DF4162">
            <w:pPr>
              <w:jc w:val="both"/>
            </w:pPr>
            <w:r>
              <w:t>1,31</w:t>
            </w:r>
          </w:p>
        </w:tc>
      </w:tr>
      <w:tr w:rsidR="00DF4162" w:rsidTr="00DF4162">
        <w:tc>
          <w:tcPr>
            <w:tcW w:w="4136" w:type="dxa"/>
            <w:tcBorders>
              <w:top w:val="single" w:sz="4" w:space="0" w:color="000000"/>
              <w:left w:val="single" w:sz="4" w:space="0" w:color="000000"/>
              <w:bottom w:val="single" w:sz="4" w:space="0" w:color="000000"/>
            </w:tcBorders>
            <w:shd w:val="clear" w:color="auto" w:fill="FFFFFF"/>
          </w:tcPr>
          <w:p w:rsidR="00DF4162" w:rsidRDefault="00DF4162" w:rsidP="00DF4162">
            <w:pPr>
              <w:jc w:val="both"/>
              <w:rPr>
                <w:b/>
                <w:bCs/>
              </w:rPr>
            </w:pPr>
            <w:r>
              <w:rPr>
                <w:b/>
                <w:bCs/>
              </w:rPr>
              <w:t>Mokiniai, gaunantys nemokamą</w:t>
            </w:r>
          </w:p>
          <w:p w:rsidR="00DF4162" w:rsidRDefault="00DF4162" w:rsidP="00DF4162">
            <w:pPr>
              <w:jc w:val="both"/>
            </w:pPr>
            <w:r>
              <w:rPr>
                <w:b/>
                <w:bCs/>
              </w:rPr>
              <w:t>maitinimą</w:t>
            </w:r>
          </w:p>
        </w:tc>
        <w:tc>
          <w:tcPr>
            <w:tcW w:w="2849" w:type="dxa"/>
            <w:tcBorders>
              <w:top w:val="single" w:sz="4" w:space="0" w:color="000000"/>
              <w:left w:val="single" w:sz="4" w:space="0" w:color="000000"/>
              <w:bottom w:val="single" w:sz="4" w:space="0" w:color="000000"/>
            </w:tcBorders>
            <w:shd w:val="clear" w:color="auto" w:fill="FFFFFF"/>
          </w:tcPr>
          <w:p w:rsidR="00DF4162" w:rsidRDefault="00DF4162" w:rsidP="00DF4162">
            <w:pPr>
              <w:jc w:val="both"/>
            </w:pPr>
            <w:r>
              <w:t>Mokinių</w:t>
            </w:r>
          </w:p>
          <w:p w:rsidR="00DF4162" w:rsidRDefault="00DF4162" w:rsidP="00DF4162">
            <w:pPr>
              <w:jc w:val="both"/>
            </w:pPr>
            <w:r>
              <w:t>skaičius</w:t>
            </w:r>
          </w:p>
        </w:tc>
        <w:tc>
          <w:tcPr>
            <w:tcW w:w="2654" w:type="dxa"/>
            <w:tcBorders>
              <w:top w:val="single" w:sz="4" w:space="0" w:color="000000"/>
              <w:left w:val="single" w:sz="4" w:space="0" w:color="000000"/>
              <w:bottom w:val="single" w:sz="4" w:space="0" w:color="000000"/>
              <w:right w:val="single" w:sz="4" w:space="0" w:color="000000"/>
            </w:tcBorders>
            <w:shd w:val="clear" w:color="auto" w:fill="FFFFFF"/>
          </w:tcPr>
          <w:p w:rsidR="00DF4162" w:rsidRDefault="00DF4162" w:rsidP="00DF4162">
            <w:pPr>
              <w:jc w:val="both"/>
            </w:pPr>
            <w:r>
              <w:t>Proc. nuo</w:t>
            </w:r>
          </w:p>
          <w:p w:rsidR="00DF4162" w:rsidRDefault="00DF4162" w:rsidP="00DF4162">
            <w:pPr>
              <w:jc w:val="both"/>
            </w:pPr>
            <w:r>
              <w:t>mokinių skaičiaus</w:t>
            </w:r>
          </w:p>
        </w:tc>
      </w:tr>
      <w:tr w:rsidR="00DF4162" w:rsidTr="00DF4162">
        <w:tc>
          <w:tcPr>
            <w:tcW w:w="4136" w:type="dxa"/>
            <w:tcBorders>
              <w:top w:val="single" w:sz="4" w:space="0" w:color="000000"/>
              <w:left w:val="single" w:sz="4" w:space="0" w:color="000000"/>
              <w:bottom w:val="single" w:sz="4" w:space="0" w:color="000000"/>
            </w:tcBorders>
            <w:shd w:val="clear" w:color="auto" w:fill="FFFFFF"/>
          </w:tcPr>
          <w:p w:rsidR="00DF4162" w:rsidRDefault="00DF4162" w:rsidP="00DF4162">
            <w:pPr>
              <w:pStyle w:val="prastasis1"/>
            </w:pPr>
            <w:r>
              <w:t>gimnazijoje</w:t>
            </w:r>
          </w:p>
        </w:tc>
        <w:tc>
          <w:tcPr>
            <w:tcW w:w="2849" w:type="dxa"/>
            <w:tcBorders>
              <w:top w:val="single" w:sz="4" w:space="0" w:color="000000"/>
              <w:left w:val="single" w:sz="4" w:space="0" w:color="000000"/>
              <w:bottom w:val="single" w:sz="4" w:space="0" w:color="000000"/>
            </w:tcBorders>
            <w:shd w:val="clear" w:color="auto" w:fill="FFFFFF"/>
          </w:tcPr>
          <w:p w:rsidR="00DF4162" w:rsidRDefault="00DF4162" w:rsidP="00DF4162">
            <w:pPr>
              <w:jc w:val="both"/>
            </w:pPr>
            <w:r>
              <w:t>108</w:t>
            </w:r>
          </w:p>
        </w:tc>
        <w:tc>
          <w:tcPr>
            <w:tcW w:w="2654" w:type="dxa"/>
            <w:tcBorders>
              <w:top w:val="single" w:sz="4" w:space="0" w:color="000000"/>
              <w:left w:val="single" w:sz="4" w:space="0" w:color="000000"/>
              <w:bottom w:val="single" w:sz="4" w:space="0" w:color="000000"/>
              <w:right w:val="single" w:sz="4" w:space="0" w:color="000000"/>
            </w:tcBorders>
            <w:shd w:val="clear" w:color="auto" w:fill="FFFFFF"/>
          </w:tcPr>
          <w:p w:rsidR="00DF4162" w:rsidRDefault="00DF4162" w:rsidP="00DF4162">
            <w:pPr>
              <w:jc w:val="both"/>
            </w:pPr>
            <w:r>
              <w:t>45,3 proc.</w:t>
            </w:r>
          </w:p>
        </w:tc>
      </w:tr>
      <w:tr w:rsidR="00DF4162" w:rsidTr="00DF4162">
        <w:tc>
          <w:tcPr>
            <w:tcW w:w="4136" w:type="dxa"/>
            <w:tcBorders>
              <w:top w:val="single" w:sz="4" w:space="0" w:color="000000"/>
              <w:left w:val="single" w:sz="4" w:space="0" w:color="000000"/>
              <w:bottom w:val="single" w:sz="4" w:space="0" w:color="000000"/>
            </w:tcBorders>
            <w:shd w:val="clear" w:color="auto" w:fill="FFFFFF"/>
          </w:tcPr>
          <w:p w:rsidR="00DF4162" w:rsidRDefault="00DF4162" w:rsidP="00DF4162">
            <w:pPr>
              <w:pStyle w:val="prastasis1"/>
            </w:pPr>
            <w:r>
              <w:t>skyriuje</w:t>
            </w:r>
          </w:p>
        </w:tc>
        <w:tc>
          <w:tcPr>
            <w:tcW w:w="2849" w:type="dxa"/>
            <w:tcBorders>
              <w:top w:val="single" w:sz="4" w:space="0" w:color="000000"/>
              <w:left w:val="single" w:sz="4" w:space="0" w:color="000000"/>
              <w:bottom w:val="single" w:sz="4" w:space="0" w:color="000000"/>
            </w:tcBorders>
            <w:shd w:val="clear" w:color="auto" w:fill="FFFFFF"/>
          </w:tcPr>
          <w:p w:rsidR="00DF4162" w:rsidRDefault="00DF4162" w:rsidP="00DF4162">
            <w:pPr>
              <w:jc w:val="both"/>
            </w:pPr>
            <w:r>
              <w:t>10</w:t>
            </w:r>
          </w:p>
        </w:tc>
        <w:tc>
          <w:tcPr>
            <w:tcW w:w="2654" w:type="dxa"/>
            <w:tcBorders>
              <w:top w:val="single" w:sz="4" w:space="0" w:color="000000"/>
              <w:left w:val="single" w:sz="4" w:space="0" w:color="000000"/>
              <w:bottom w:val="single" w:sz="4" w:space="0" w:color="000000"/>
              <w:right w:val="single" w:sz="4" w:space="0" w:color="000000"/>
            </w:tcBorders>
            <w:shd w:val="clear" w:color="auto" w:fill="FFFFFF"/>
          </w:tcPr>
          <w:p w:rsidR="00DF4162" w:rsidRDefault="00DF4162" w:rsidP="00DF4162">
            <w:pPr>
              <w:jc w:val="both"/>
            </w:pPr>
            <w:r>
              <w:t>17,85 proc.</w:t>
            </w:r>
          </w:p>
        </w:tc>
      </w:tr>
      <w:tr w:rsidR="00DF4162" w:rsidTr="00DF4162">
        <w:tc>
          <w:tcPr>
            <w:tcW w:w="4136" w:type="dxa"/>
            <w:tcBorders>
              <w:top w:val="single" w:sz="4" w:space="0" w:color="000000"/>
              <w:left w:val="single" w:sz="4" w:space="0" w:color="000000"/>
              <w:bottom w:val="single" w:sz="4" w:space="0" w:color="000000"/>
            </w:tcBorders>
            <w:shd w:val="clear" w:color="auto" w:fill="FFFFFF"/>
          </w:tcPr>
          <w:p w:rsidR="00DF4162" w:rsidRDefault="00DF4162" w:rsidP="00DF4162">
            <w:pPr>
              <w:jc w:val="both"/>
            </w:pPr>
            <w:r>
              <w:rPr>
                <w:b/>
                <w:bCs/>
              </w:rPr>
              <w:t>Neformalusis švietimas</w:t>
            </w:r>
          </w:p>
        </w:tc>
        <w:tc>
          <w:tcPr>
            <w:tcW w:w="2849" w:type="dxa"/>
            <w:tcBorders>
              <w:top w:val="single" w:sz="4" w:space="0" w:color="000000"/>
              <w:left w:val="single" w:sz="4" w:space="0" w:color="000000"/>
              <w:bottom w:val="single" w:sz="4" w:space="0" w:color="000000"/>
            </w:tcBorders>
            <w:shd w:val="clear" w:color="auto" w:fill="FFFFFF"/>
          </w:tcPr>
          <w:p w:rsidR="00DF4162" w:rsidRDefault="00DF4162" w:rsidP="00DF4162">
            <w:pPr>
              <w:jc w:val="both"/>
            </w:pPr>
            <w:r>
              <w:t>Mokykloje</w:t>
            </w:r>
          </w:p>
          <w:p w:rsidR="00DF4162" w:rsidRDefault="00DF4162" w:rsidP="00DF4162">
            <w:pPr>
              <w:jc w:val="both"/>
            </w:pPr>
            <w:r>
              <w:t>Proc. nuo mokinių skaičiaus</w:t>
            </w:r>
          </w:p>
        </w:tc>
        <w:tc>
          <w:tcPr>
            <w:tcW w:w="2654" w:type="dxa"/>
            <w:tcBorders>
              <w:top w:val="single" w:sz="4" w:space="0" w:color="000000"/>
              <w:left w:val="single" w:sz="4" w:space="0" w:color="000000"/>
              <w:bottom w:val="single" w:sz="4" w:space="0" w:color="000000"/>
              <w:right w:val="single" w:sz="4" w:space="0" w:color="000000"/>
            </w:tcBorders>
            <w:shd w:val="clear" w:color="auto" w:fill="FFFFFF"/>
          </w:tcPr>
          <w:p w:rsidR="00DF4162" w:rsidRDefault="00DF4162" w:rsidP="00182F15">
            <w:r>
              <w:t>Už mokyklos ribų</w:t>
            </w:r>
          </w:p>
          <w:p w:rsidR="00DF4162" w:rsidRDefault="00DF4162" w:rsidP="00182F15">
            <w:r>
              <w:t>Proc. nuo mokinių skaičiaus</w:t>
            </w:r>
          </w:p>
        </w:tc>
      </w:tr>
      <w:tr w:rsidR="00DF4162" w:rsidTr="00DF4162">
        <w:tc>
          <w:tcPr>
            <w:tcW w:w="4136" w:type="dxa"/>
            <w:tcBorders>
              <w:top w:val="single" w:sz="4" w:space="0" w:color="000000"/>
              <w:left w:val="single" w:sz="4" w:space="0" w:color="000000"/>
              <w:bottom w:val="single" w:sz="4" w:space="0" w:color="000000"/>
            </w:tcBorders>
            <w:shd w:val="clear" w:color="auto" w:fill="FFFFFF"/>
          </w:tcPr>
          <w:p w:rsidR="00DF4162" w:rsidRDefault="00DF4162" w:rsidP="00DF4162">
            <w:pPr>
              <w:jc w:val="both"/>
              <w:rPr>
                <w:rStyle w:val="Numatytasispastraiposriftas1"/>
                <w:color w:val="auto"/>
              </w:rPr>
            </w:pPr>
            <w:r>
              <w:rPr>
                <w:b/>
                <w:bCs/>
              </w:rPr>
              <w:t>Lankančiųjų mokinių skaičius</w:t>
            </w:r>
          </w:p>
        </w:tc>
        <w:tc>
          <w:tcPr>
            <w:tcW w:w="2849" w:type="dxa"/>
            <w:tcBorders>
              <w:top w:val="single" w:sz="4" w:space="0" w:color="000000"/>
              <w:left w:val="single" w:sz="4" w:space="0" w:color="000000"/>
              <w:bottom w:val="single" w:sz="4" w:space="0" w:color="000000"/>
            </w:tcBorders>
            <w:shd w:val="clear" w:color="auto" w:fill="FFFFFF"/>
          </w:tcPr>
          <w:p w:rsidR="00DF4162" w:rsidRDefault="00DF4162" w:rsidP="00DF4162">
            <w:pPr>
              <w:jc w:val="both"/>
              <w:rPr>
                <w:color w:val="auto"/>
              </w:rPr>
            </w:pPr>
            <w:r>
              <w:rPr>
                <w:rStyle w:val="Numatytasispastraiposriftas1"/>
                <w:color w:val="auto"/>
              </w:rPr>
              <w:t>89,36 proc.</w:t>
            </w:r>
          </w:p>
        </w:tc>
        <w:tc>
          <w:tcPr>
            <w:tcW w:w="2654" w:type="dxa"/>
            <w:tcBorders>
              <w:top w:val="single" w:sz="4" w:space="0" w:color="000000"/>
              <w:left w:val="single" w:sz="4" w:space="0" w:color="000000"/>
              <w:bottom w:val="single" w:sz="4" w:space="0" w:color="000000"/>
              <w:right w:val="single" w:sz="4" w:space="0" w:color="000000"/>
            </w:tcBorders>
            <w:shd w:val="clear" w:color="auto" w:fill="FFFFFF"/>
          </w:tcPr>
          <w:p w:rsidR="00DF4162" w:rsidRDefault="00DF4162" w:rsidP="00DF4162">
            <w:pPr>
              <w:jc w:val="both"/>
            </w:pPr>
            <w:r>
              <w:rPr>
                <w:color w:val="auto"/>
              </w:rPr>
              <w:t>27,23 proc.</w:t>
            </w:r>
          </w:p>
        </w:tc>
      </w:tr>
    </w:tbl>
    <w:p w:rsidR="006630A4" w:rsidRDefault="006630A4">
      <w:pPr>
        <w:jc w:val="both"/>
        <w:rPr>
          <w:b/>
          <w:bCs/>
        </w:rPr>
      </w:pPr>
      <w:r>
        <w:t xml:space="preserve">Dalyvavimas </w:t>
      </w:r>
      <w:r>
        <w:rPr>
          <w:rStyle w:val="Numatytasispastraiposriftas1"/>
          <w:bCs/>
        </w:rPr>
        <w:t>renginiuose:</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2819"/>
        <w:gridCol w:w="1099"/>
        <w:gridCol w:w="1601"/>
        <w:gridCol w:w="1200"/>
        <w:gridCol w:w="1658"/>
        <w:gridCol w:w="1261"/>
      </w:tblGrid>
      <w:tr w:rsidR="006630A4">
        <w:tc>
          <w:tcPr>
            <w:tcW w:w="3918" w:type="dxa"/>
            <w:gridSpan w:val="2"/>
            <w:tcBorders>
              <w:top w:val="single" w:sz="4" w:space="0" w:color="000000"/>
              <w:left w:val="single" w:sz="4" w:space="0" w:color="000000"/>
              <w:bottom w:val="single" w:sz="4" w:space="0" w:color="000000"/>
            </w:tcBorders>
            <w:shd w:val="clear" w:color="auto" w:fill="FFFFFF"/>
          </w:tcPr>
          <w:p w:rsidR="006630A4" w:rsidRDefault="006630A4">
            <w:pPr>
              <w:jc w:val="both"/>
              <w:rPr>
                <w:b/>
                <w:bCs/>
              </w:rPr>
            </w:pPr>
            <w:r>
              <w:rPr>
                <w:b/>
                <w:bCs/>
              </w:rPr>
              <w:t>Rajono (miesto)</w:t>
            </w:r>
          </w:p>
          <w:p w:rsidR="006630A4" w:rsidRDefault="006630A4">
            <w:pPr>
              <w:jc w:val="both"/>
              <w:rPr>
                <w:b/>
                <w:bCs/>
              </w:rPr>
            </w:pPr>
          </w:p>
        </w:tc>
        <w:tc>
          <w:tcPr>
            <w:tcW w:w="2801" w:type="dxa"/>
            <w:gridSpan w:val="2"/>
            <w:tcBorders>
              <w:top w:val="single" w:sz="4" w:space="0" w:color="000000"/>
              <w:left w:val="single" w:sz="4" w:space="0" w:color="000000"/>
              <w:bottom w:val="single" w:sz="4" w:space="0" w:color="000000"/>
            </w:tcBorders>
            <w:shd w:val="clear" w:color="auto" w:fill="FFFFFF"/>
          </w:tcPr>
          <w:p w:rsidR="006630A4" w:rsidRDefault="006630A4">
            <w:pPr>
              <w:jc w:val="both"/>
              <w:rPr>
                <w:b/>
                <w:bCs/>
              </w:rPr>
            </w:pPr>
            <w:r>
              <w:rPr>
                <w:b/>
                <w:bCs/>
              </w:rPr>
              <w:t>Šalies</w:t>
            </w:r>
          </w:p>
          <w:p w:rsidR="006630A4" w:rsidRDefault="006630A4">
            <w:pPr>
              <w:jc w:val="both"/>
              <w:rPr>
                <w:b/>
                <w:bCs/>
              </w:rPr>
            </w:pP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rPr>
                <w:b/>
                <w:bCs/>
              </w:rPr>
            </w:pPr>
            <w:r>
              <w:rPr>
                <w:b/>
                <w:bCs/>
              </w:rPr>
              <w:t>Tarptautiniuose</w:t>
            </w:r>
          </w:p>
          <w:p w:rsidR="006630A4" w:rsidRDefault="006630A4">
            <w:pPr>
              <w:jc w:val="both"/>
              <w:rPr>
                <w:b/>
                <w:bCs/>
              </w:rPr>
            </w:pPr>
          </w:p>
        </w:tc>
      </w:tr>
      <w:tr w:rsidR="006630A4">
        <w:trPr>
          <w:trHeight w:val="975"/>
        </w:trPr>
        <w:tc>
          <w:tcPr>
            <w:tcW w:w="2819" w:type="dxa"/>
            <w:tcBorders>
              <w:top w:val="single" w:sz="4" w:space="0" w:color="000000"/>
              <w:left w:val="single" w:sz="4" w:space="0" w:color="000000"/>
              <w:bottom w:val="single" w:sz="4" w:space="0" w:color="000000"/>
            </w:tcBorders>
            <w:shd w:val="clear" w:color="auto" w:fill="FFFFFF"/>
          </w:tcPr>
          <w:p w:rsidR="006630A4" w:rsidRDefault="006630A4">
            <w:pPr>
              <w:jc w:val="both"/>
              <w:rPr>
                <w:b/>
                <w:bCs/>
              </w:rPr>
            </w:pPr>
            <w:r>
              <w:rPr>
                <w:b/>
                <w:bCs/>
              </w:rPr>
              <w:t>Dalyvavusių</w:t>
            </w:r>
          </w:p>
          <w:p w:rsidR="006630A4" w:rsidRDefault="006630A4">
            <w:pPr>
              <w:jc w:val="both"/>
              <w:rPr>
                <w:b/>
                <w:bCs/>
              </w:rPr>
            </w:pPr>
            <w:r>
              <w:rPr>
                <w:b/>
                <w:bCs/>
              </w:rPr>
              <w:t>mokinių</w:t>
            </w:r>
          </w:p>
          <w:p w:rsidR="006630A4" w:rsidRDefault="006630A4">
            <w:pPr>
              <w:jc w:val="both"/>
              <w:rPr>
                <w:bCs/>
              </w:rPr>
            </w:pPr>
            <w:r>
              <w:rPr>
                <w:b/>
                <w:bCs/>
              </w:rPr>
              <w:t>skaičius</w:t>
            </w:r>
          </w:p>
        </w:tc>
        <w:tc>
          <w:tcPr>
            <w:tcW w:w="1099" w:type="dxa"/>
            <w:tcBorders>
              <w:top w:val="single" w:sz="4" w:space="0" w:color="000000"/>
              <w:left w:val="single" w:sz="4" w:space="0" w:color="000000"/>
              <w:bottom w:val="single" w:sz="4" w:space="0" w:color="000000"/>
            </w:tcBorders>
            <w:shd w:val="clear" w:color="auto" w:fill="FFFFFF"/>
          </w:tcPr>
          <w:p w:rsidR="006630A4" w:rsidRDefault="006630A4">
            <w:pPr>
              <w:jc w:val="both"/>
              <w:rPr>
                <w:bCs/>
              </w:rPr>
            </w:pPr>
            <w:r>
              <w:rPr>
                <w:bCs/>
              </w:rPr>
              <w:t>Prizininkų/</w:t>
            </w:r>
          </w:p>
          <w:p w:rsidR="006630A4" w:rsidRDefault="006630A4">
            <w:pPr>
              <w:jc w:val="both"/>
              <w:rPr>
                <w:bCs/>
              </w:rPr>
            </w:pPr>
            <w:r>
              <w:rPr>
                <w:bCs/>
              </w:rPr>
              <w:t>laureatų skaičius</w:t>
            </w:r>
          </w:p>
        </w:tc>
        <w:tc>
          <w:tcPr>
            <w:tcW w:w="1601" w:type="dxa"/>
            <w:tcBorders>
              <w:top w:val="single" w:sz="4" w:space="0" w:color="000000"/>
              <w:left w:val="single" w:sz="4" w:space="0" w:color="000000"/>
              <w:bottom w:val="single" w:sz="4" w:space="0" w:color="000000"/>
            </w:tcBorders>
            <w:shd w:val="clear" w:color="auto" w:fill="FFFFFF"/>
          </w:tcPr>
          <w:p w:rsidR="006630A4" w:rsidRDefault="006630A4">
            <w:pPr>
              <w:jc w:val="both"/>
              <w:rPr>
                <w:bCs/>
              </w:rPr>
            </w:pPr>
            <w:r>
              <w:rPr>
                <w:bCs/>
              </w:rPr>
              <w:t>Dalyvavusių</w:t>
            </w:r>
          </w:p>
          <w:p w:rsidR="006630A4" w:rsidRDefault="006630A4">
            <w:pPr>
              <w:jc w:val="both"/>
              <w:rPr>
                <w:bCs/>
              </w:rPr>
            </w:pPr>
            <w:r>
              <w:rPr>
                <w:bCs/>
              </w:rPr>
              <w:t>mokinių</w:t>
            </w:r>
          </w:p>
          <w:p w:rsidR="006630A4" w:rsidRDefault="006630A4">
            <w:pPr>
              <w:jc w:val="both"/>
              <w:rPr>
                <w:bCs/>
              </w:rPr>
            </w:pPr>
            <w:r>
              <w:rPr>
                <w:bCs/>
              </w:rPr>
              <w:t>skaičius</w:t>
            </w:r>
          </w:p>
        </w:tc>
        <w:tc>
          <w:tcPr>
            <w:tcW w:w="1200" w:type="dxa"/>
            <w:tcBorders>
              <w:top w:val="single" w:sz="4" w:space="0" w:color="000000"/>
              <w:left w:val="single" w:sz="4" w:space="0" w:color="000000"/>
              <w:bottom w:val="single" w:sz="4" w:space="0" w:color="000000"/>
            </w:tcBorders>
            <w:shd w:val="clear" w:color="auto" w:fill="FFFFFF"/>
          </w:tcPr>
          <w:p w:rsidR="006630A4" w:rsidRDefault="006630A4">
            <w:pPr>
              <w:jc w:val="both"/>
              <w:rPr>
                <w:bCs/>
              </w:rPr>
            </w:pPr>
            <w:r>
              <w:rPr>
                <w:bCs/>
              </w:rPr>
              <w:t>Prizininkų/</w:t>
            </w:r>
          </w:p>
          <w:p w:rsidR="006630A4" w:rsidRDefault="006630A4">
            <w:pPr>
              <w:jc w:val="both"/>
              <w:rPr>
                <w:bCs/>
              </w:rPr>
            </w:pPr>
            <w:r>
              <w:rPr>
                <w:bCs/>
              </w:rPr>
              <w:t>laureatų skaičius</w:t>
            </w:r>
          </w:p>
        </w:tc>
        <w:tc>
          <w:tcPr>
            <w:tcW w:w="1658" w:type="dxa"/>
            <w:tcBorders>
              <w:top w:val="single" w:sz="4" w:space="0" w:color="000000"/>
              <w:left w:val="single" w:sz="4" w:space="0" w:color="000000"/>
              <w:bottom w:val="single" w:sz="4" w:space="0" w:color="000000"/>
            </w:tcBorders>
            <w:shd w:val="clear" w:color="auto" w:fill="FFFFFF"/>
          </w:tcPr>
          <w:p w:rsidR="006630A4" w:rsidRDefault="006630A4">
            <w:pPr>
              <w:jc w:val="both"/>
              <w:rPr>
                <w:bCs/>
              </w:rPr>
            </w:pPr>
            <w:r>
              <w:rPr>
                <w:bCs/>
              </w:rPr>
              <w:t>Dalyvavusių</w:t>
            </w:r>
          </w:p>
          <w:p w:rsidR="006630A4" w:rsidRDefault="006630A4">
            <w:pPr>
              <w:jc w:val="both"/>
              <w:rPr>
                <w:bCs/>
              </w:rPr>
            </w:pPr>
            <w:r>
              <w:rPr>
                <w:bCs/>
              </w:rPr>
              <w:t>mokinių</w:t>
            </w:r>
          </w:p>
          <w:p w:rsidR="006630A4" w:rsidRDefault="006630A4">
            <w:pPr>
              <w:jc w:val="both"/>
              <w:rPr>
                <w:bCs/>
              </w:rPr>
            </w:pPr>
            <w:r>
              <w:rPr>
                <w:bCs/>
              </w:rPr>
              <w:t>skaičius</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rPr>
                <w:bCs/>
              </w:rPr>
            </w:pPr>
            <w:r>
              <w:rPr>
                <w:bCs/>
              </w:rPr>
              <w:t>Prizininkų/</w:t>
            </w:r>
          </w:p>
          <w:p w:rsidR="006630A4" w:rsidRDefault="006630A4">
            <w:pPr>
              <w:jc w:val="both"/>
            </w:pPr>
            <w:r>
              <w:rPr>
                <w:bCs/>
              </w:rPr>
              <w:t>laureatų skaičius</w:t>
            </w:r>
          </w:p>
        </w:tc>
      </w:tr>
      <w:tr w:rsidR="006630A4">
        <w:trPr>
          <w:trHeight w:val="300"/>
        </w:trPr>
        <w:tc>
          <w:tcPr>
            <w:tcW w:w="2819"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r>
              <w:rPr>
                <w:color w:val="auto"/>
              </w:rPr>
              <w:t>101 (gimnazija)</w:t>
            </w:r>
          </w:p>
        </w:tc>
        <w:tc>
          <w:tcPr>
            <w:tcW w:w="1099"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r>
              <w:rPr>
                <w:color w:val="auto"/>
              </w:rPr>
              <w:t>54</w:t>
            </w:r>
          </w:p>
        </w:tc>
        <w:tc>
          <w:tcPr>
            <w:tcW w:w="1601"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r>
              <w:rPr>
                <w:color w:val="auto"/>
              </w:rPr>
              <w:t>223</w:t>
            </w:r>
          </w:p>
        </w:tc>
        <w:tc>
          <w:tcPr>
            <w:tcW w:w="1200"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r>
              <w:rPr>
                <w:color w:val="auto"/>
              </w:rPr>
              <w:t>46</w:t>
            </w:r>
          </w:p>
        </w:tc>
        <w:tc>
          <w:tcPr>
            <w:tcW w:w="1658"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r>
              <w:rPr>
                <w:color w:val="auto"/>
              </w:rPr>
              <w:t>17</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rPr>
                <w:color w:val="auto"/>
              </w:rPr>
              <w:t>3</w:t>
            </w:r>
          </w:p>
        </w:tc>
      </w:tr>
      <w:tr w:rsidR="006630A4">
        <w:trPr>
          <w:trHeight w:val="300"/>
        </w:trPr>
        <w:tc>
          <w:tcPr>
            <w:tcW w:w="2819"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r>
              <w:rPr>
                <w:color w:val="auto"/>
              </w:rPr>
              <w:t>44 (skyrius)</w:t>
            </w:r>
          </w:p>
        </w:tc>
        <w:tc>
          <w:tcPr>
            <w:tcW w:w="1099"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p>
        </w:tc>
        <w:tc>
          <w:tcPr>
            <w:tcW w:w="1601"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r>
              <w:rPr>
                <w:color w:val="auto"/>
              </w:rPr>
              <w:t>44</w:t>
            </w:r>
          </w:p>
        </w:tc>
        <w:tc>
          <w:tcPr>
            <w:tcW w:w="1200"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p>
        </w:tc>
        <w:tc>
          <w:tcPr>
            <w:tcW w:w="1658"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rPr>
                <w:color w:val="auto"/>
              </w:rPr>
            </w:pPr>
          </w:p>
        </w:tc>
      </w:tr>
    </w:tbl>
    <w:p w:rsidR="006630A4" w:rsidRDefault="006630A4">
      <w:pPr>
        <w:pStyle w:val="prastasis1"/>
      </w:pPr>
      <w:r>
        <w:t>Mokytojai skatino mokinius aktyviai dalyvauti rajono, šalies ir tarptautiniuose renginiuose. Į visus renginius per metus vienaip ar kitaip buvo įtraukti visi gimnazijos mokiniai (100 proc.).</w:t>
      </w:r>
    </w:p>
    <w:p w:rsidR="006630A4" w:rsidRDefault="006630A4">
      <w:pPr>
        <w:pStyle w:val="prastasis1"/>
      </w:pPr>
      <w:r>
        <w:t>Mokiniai dalyvavo rajono renginiuose: „</w:t>
      </w:r>
      <w:proofErr w:type="spellStart"/>
      <w:r>
        <w:t>Patrepsynė</w:t>
      </w:r>
      <w:proofErr w:type="spellEnd"/>
      <w:r>
        <w:t>“, „Lietuvos vaikų dainų šventė“, dailės, matematikos, rusų kalbos, anglų kalbos, technologijų, geografijos, biologijos olimpiadose, jaunųjų dviratininkų varžybose, kvadrato varžybose, „Kūrybos paukštė“, „Fizinio aktyvumo gerinimas pradinėse klasėse“, „</w:t>
      </w:r>
      <w:proofErr w:type="spellStart"/>
      <w:r>
        <w:t>Sveikatiada</w:t>
      </w:r>
      <w:proofErr w:type="spellEnd"/>
      <w:r>
        <w:t xml:space="preserve">“, „Meninio skaitymo konkursai“. </w:t>
      </w:r>
    </w:p>
    <w:p w:rsidR="006630A4" w:rsidRDefault="006630A4">
      <w:pPr>
        <w:pStyle w:val="prastasis1"/>
        <w:rPr>
          <w:b/>
          <w:bCs/>
        </w:rPr>
      </w:pPr>
      <w:r>
        <w:t>Mokiniai dalyvavo šalies renginiuose: įvairiose olimpiadose, „Kengūros“, „</w:t>
      </w:r>
      <w:proofErr w:type="spellStart"/>
      <w:r>
        <w:t>Olimpio</w:t>
      </w:r>
      <w:proofErr w:type="spellEnd"/>
      <w:r>
        <w:t xml:space="preserve">“ </w:t>
      </w:r>
      <w:r>
        <w:lastRenderedPageBreak/>
        <w:t xml:space="preserve">konkursuose, aktyviausi buvo matematikos srityje, vyko į ateitininkų suvažiavimą, IKT renginį </w:t>
      </w:r>
      <w:proofErr w:type="spellStart"/>
      <w:r>
        <w:t>First</w:t>
      </w:r>
      <w:proofErr w:type="spellEnd"/>
      <w:r>
        <w:t xml:space="preserve"> </w:t>
      </w:r>
      <w:proofErr w:type="spellStart"/>
      <w:r>
        <w:t>lego</w:t>
      </w:r>
      <w:proofErr w:type="spellEnd"/>
      <w:r>
        <w:t xml:space="preserve"> </w:t>
      </w:r>
      <w:proofErr w:type="spellStart"/>
      <w:r>
        <w:t>league</w:t>
      </w:r>
      <w:proofErr w:type="spellEnd"/>
      <w:r>
        <w:t>“, kūrė skaitmeninius žemėlapius, dalyvavo „</w:t>
      </w:r>
      <w:proofErr w:type="spellStart"/>
      <w:r>
        <w:t>Sveikatiadoje</w:t>
      </w:r>
      <w:proofErr w:type="spellEnd"/>
      <w:r>
        <w:t xml:space="preserve">“. Aviamodelių būrelio nariai aktyviai dalyvavo ir tapo nugalėtojais kambarinių aviamodelių F1D šalies varžybose bei XXX Lietuvos moksleivių techninių sporto šakų spartakiados kambarinių F1N ir „Drugelis“ klasių aviamodelių finalinėse varžybose. Mokiniai dalyvavo sportinėse kvadrato, krepšinio, tinklinio varžybose ir iškovojo 18 prizinių pavienių bei komandinių vietų. Ikimokyklinio skyriaus ugdytiniai dalyvavo Naisių vasaros renginyje „Gražinkime Lietuvą“. 13 būrelio „Bendraukime, bendradarbiaukime – </w:t>
      </w:r>
      <w:proofErr w:type="spellStart"/>
      <w:r>
        <w:t>eTwinning</w:t>
      </w:r>
      <w:proofErr w:type="spellEnd"/>
      <w:r>
        <w:t>“ narių dalyvavo projekto „</w:t>
      </w:r>
      <w:proofErr w:type="spellStart"/>
      <w:r>
        <w:t>Food</w:t>
      </w:r>
      <w:proofErr w:type="spellEnd"/>
      <w:r>
        <w:t xml:space="preserve"> </w:t>
      </w:r>
      <w:proofErr w:type="spellStart"/>
      <w:r>
        <w:t>library</w:t>
      </w:r>
      <w:proofErr w:type="spellEnd"/>
      <w:r>
        <w:t>“ narių suvažiavime, aptarė vykdomo projekto veiklas, kūrė pristatymus. 3 mokiniai vyko į tarptautinį konkursą „</w:t>
      </w:r>
      <w:proofErr w:type="spellStart"/>
      <w:r>
        <w:t>Matmintinis</w:t>
      </w:r>
      <w:proofErr w:type="spellEnd"/>
      <w:r>
        <w:t xml:space="preserve">“ ir net 2 dalyviai tapo prizininkais, 1 mokinė dalyvavo tarptautinėse </w:t>
      </w:r>
      <w:proofErr w:type="spellStart"/>
      <w:r>
        <w:t>dziudo</w:t>
      </w:r>
      <w:proofErr w:type="spellEnd"/>
      <w:r>
        <w:t xml:space="preserve"> varžybose ir tapo prizininke. </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2370"/>
        <w:gridCol w:w="1058"/>
        <w:gridCol w:w="1321"/>
        <w:gridCol w:w="1191"/>
        <w:gridCol w:w="1471"/>
        <w:gridCol w:w="1254"/>
        <w:gridCol w:w="973"/>
      </w:tblGrid>
      <w:tr w:rsidR="006630A4">
        <w:tc>
          <w:tcPr>
            <w:tcW w:w="2370" w:type="dxa"/>
            <w:tcBorders>
              <w:top w:val="single" w:sz="4" w:space="0" w:color="000000"/>
              <w:left w:val="single" w:sz="4" w:space="0" w:color="000000"/>
              <w:bottom w:val="single" w:sz="4" w:space="0" w:color="000000"/>
            </w:tcBorders>
            <w:shd w:val="clear" w:color="auto" w:fill="FFFFFF"/>
          </w:tcPr>
          <w:p w:rsidR="006630A4" w:rsidRDefault="006630A4">
            <w:pPr>
              <w:jc w:val="both"/>
            </w:pPr>
            <w:r>
              <w:rPr>
                <w:b/>
                <w:bCs/>
              </w:rPr>
              <w:t>Projektai</w:t>
            </w:r>
          </w:p>
        </w:tc>
        <w:tc>
          <w:tcPr>
            <w:tcW w:w="1058" w:type="dxa"/>
            <w:tcBorders>
              <w:top w:val="single" w:sz="4" w:space="0" w:color="000000"/>
              <w:left w:val="single" w:sz="4" w:space="0" w:color="000000"/>
              <w:bottom w:val="single" w:sz="4" w:space="0" w:color="000000"/>
            </w:tcBorders>
            <w:shd w:val="clear" w:color="auto" w:fill="FFFFFF"/>
          </w:tcPr>
          <w:p w:rsidR="006630A4" w:rsidRDefault="006630A4">
            <w:pPr>
              <w:jc w:val="both"/>
              <w:rPr>
                <w:shd w:val="clear" w:color="auto" w:fill="FFFFFF"/>
              </w:rPr>
            </w:pPr>
            <w:r>
              <w:t>Socialiniai</w:t>
            </w:r>
          </w:p>
        </w:tc>
        <w:tc>
          <w:tcPr>
            <w:tcW w:w="1321" w:type="dxa"/>
            <w:tcBorders>
              <w:top w:val="single" w:sz="4" w:space="0" w:color="000000"/>
              <w:left w:val="single" w:sz="4" w:space="0" w:color="000000"/>
              <w:bottom w:val="single" w:sz="4" w:space="0" w:color="000000"/>
            </w:tcBorders>
            <w:shd w:val="clear" w:color="auto" w:fill="FFFFFF"/>
          </w:tcPr>
          <w:p w:rsidR="006630A4" w:rsidRDefault="006630A4">
            <w:pPr>
              <w:jc w:val="both"/>
            </w:pPr>
            <w:r>
              <w:rPr>
                <w:shd w:val="clear" w:color="auto" w:fill="FFFFFF"/>
              </w:rPr>
              <w:t>Prevenciniai</w:t>
            </w:r>
          </w:p>
        </w:tc>
        <w:tc>
          <w:tcPr>
            <w:tcW w:w="1191" w:type="dxa"/>
            <w:tcBorders>
              <w:top w:val="single" w:sz="4" w:space="0" w:color="000000"/>
              <w:left w:val="single" w:sz="4" w:space="0" w:color="000000"/>
              <w:bottom w:val="single" w:sz="4" w:space="0" w:color="000000"/>
            </w:tcBorders>
            <w:shd w:val="clear" w:color="auto" w:fill="FFFFFF"/>
          </w:tcPr>
          <w:p w:rsidR="006630A4" w:rsidRDefault="006630A4">
            <w:pPr>
              <w:jc w:val="both"/>
            </w:pPr>
            <w:r>
              <w:t>Mokomieji</w:t>
            </w:r>
          </w:p>
        </w:tc>
        <w:tc>
          <w:tcPr>
            <w:tcW w:w="1471" w:type="dxa"/>
            <w:tcBorders>
              <w:top w:val="single" w:sz="4" w:space="0" w:color="000000"/>
              <w:left w:val="single" w:sz="4" w:space="0" w:color="000000"/>
              <w:bottom w:val="single" w:sz="4" w:space="0" w:color="000000"/>
            </w:tcBorders>
            <w:shd w:val="clear" w:color="auto" w:fill="FFFFFF"/>
          </w:tcPr>
          <w:p w:rsidR="006630A4" w:rsidRDefault="006630A4">
            <w:pPr>
              <w:jc w:val="both"/>
            </w:pPr>
            <w:r>
              <w:t>Bendruomenės</w:t>
            </w:r>
          </w:p>
        </w:tc>
        <w:tc>
          <w:tcPr>
            <w:tcW w:w="1254" w:type="dxa"/>
            <w:tcBorders>
              <w:top w:val="single" w:sz="4" w:space="0" w:color="000000"/>
              <w:left w:val="single" w:sz="4" w:space="0" w:color="000000"/>
              <w:bottom w:val="single" w:sz="4" w:space="0" w:color="000000"/>
            </w:tcBorders>
            <w:shd w:val="clear" w:color="auto" w:fill="FFFFFF"/>
          </w:tcPr>
          <w:p w:rsidR="006630A4" w:rsidRDefault="006630A4">
            <w:pPr>
              <w:jc w:val="both"/>
            </w:pPr>
            <w:r>
              <w:t>Tarptautiniai</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Kiti</w:t>
            </w:r>
          </w:p>
        </w:tc>
      </w:tr>
      <w:tr w:rsidR="006630A4">
        <w:trPr>
          <w:trHeight w:val="864"/>
        </w:trPr>
        <w:tc>
          <w:tcPr>
            <w:tcW w:w="2370" w:type="dxa"/>
            <w:vMerge w:val="restart"/>
            <w:tcBorders>
              <w:top w:val="single" w:sz="4" w:space="0" w:color="000000"/>
              <w:left w:val="single" w:sz="4" w:space="0" w:color="000000"/>
              <w:bottom w:val="single" w:sz="4" w:space="0" w:color="000000"/>
            </w:tcBorders>
            <w:shd w:val="clear" w:color="auto" w:fill="FFFFFF"/>
          </w:tcPr>
          <w:p w:rsidR="006630A4" w:rsidRDefault="006630A4">
            <w:pPr>
              <w:rPr>
                <w:rStyle w:val="Numatytasispastraiposriftas1"/>
                <w:b/>
                <w:bCs/>
                <w:color w:val="auto"/>
              </w:rPr>
            </w:pPr>
            <w:r>
              <w:rPr>
                <w:b/>
                <w:bCs/>
                <w:color w:val="auto"/>
              </w:rPr>
              <w:t>Vykdytų projektų skaičius ir</w:t>
            </w:r>
          </w:p>
          <w:p w:rsidR="006630A4" w:rsidRDefault="006630A4">
            <w:pPr>
              <w:rPr>
                <w:bCs/>
                <w:color w:val="auto"/>
              </w:rPr>
            </w:pPr>
            <w:r>
              <w:rPr>
                <w:rStyle w:val="Numatytasispastraiposriftas1"/>
                <w:b/>
                <w:bCs/>
                <w:color w:val="auto"/>
              </w:rPr>
              <w:t>dalyvavusių mokinių skaičius (proc. nuo bendro mokinių skaičiaus)</w:t>
            </w:r>
          </w:p>
        </w:tc>
        <w:tc>
          <w:tcPr>
            <w:tcW w:w="1058" w:type="dxa"/>
            <w:tcBorders>
              <w:top w:val="single" w:sz="4" w:space="0" w:color="000000"/>
              <w:left w:val="single" w:sz="4" w:space="0" w:color="000000"/>
              <w:bottom w:val="single" w:sz="4" w:space="0" w:color="000000"/>
            </w:tcBorders>
            <w:shd w:val="clear" w:color="auto" w:fill="FFFFFF"/>
          </w:tcPr>
          <w:p w:rsidR="006630A4" w:rsidRDefault="006630A4">
            <w:pPr>
              <w:jc w:val="both"/>
              <w:rPr>
                <w:rStyle w:val="Numatytasispastraiposriftas1"/>
                <w:bCs/>
                <w:color w:val="auto"/>
              </w:rPr>
            </w:pPr>
            <w:r>
              <w:rPr>
                <w:bCs/>
                <w:color w:val="auto"/>
              </w:rPr>
              <w:t>4</w:t>
            </w:r>
          </w:p>
          <w:p w:rsidR="006630A4" w:rsidRDefault="006630A4">
            <w:pPr>
              <w:jc w:val="both"/>
              <w:rPr>
                <w:bCs/>
                <w:color w:val="auto"/>
              </w:rPr>
            </w:pPr>
            <w:r>
              <w:rPr>
                <w:rStyle w:val="Numatytasispastraiposriftas1"/>
                <w:bCs/>
                <w:color w:val="auto"/>
              </w:rPr>
              <w:t>100 proc.</w:t>
            </w:r>
          </w:p>
        </w:tc>
        <w:tc>
          <w:tcPr>
            <w:tcW w:w="1321" w:type="dxa"/>
            <w:tcBorders>
              <w:top w:val="single" w:sz="4" w:space="0" w:color="000000"/>
              <w:left w:val="single" w:sz="4" w:space="0" w:color="000000"/>
              <w:bottom w:val="single" w:sz="4" w:space="0" w:color="000000"/>
            </w:tcBorders>
            <w:shd w:val="clear" w:color="auto" w:fill="FFFFFF"/>
          </w:tcPr>
          <w:p w:rsidR="006630A4" w:rsidRDefault="006630A4">
            <w:pPr>
              <w:jc w:val="both"/>
              <w:rPr>
                <w:rStyle w:val="Numatytasispastraiposriftas1"/>
                <w:bCs/>
                <w:color w:val="auto"/>
              </w:rPr>
            </w:pPr>
            <w:r>
              <w:rPr>
                <w:bCs/>
                <w:color w:val="auto"/>
              </w:rPr>
              <w:t>5</w:t>
            </w:r>
          </w:p>
          <w:p w:rsidR="006630A4" w:rsidRDefault="006630A4">
            <w:pPr>
              <w:jc w:val="both"/>
              <w:rPr>
                <w:bCs/>
                <w:color w:val="auto"/>
              </w:rPr>
            </w:pPr>
            <w:r>
              <w:rPr>
                <w:rStyle w:val="Numatytasispastraiposriftas1"/>
                <w:bCs/>
                <w:color w:val="auto"/>
              </w:rPr>
              <w:t>100 proc.</w:t>
            </w:r>
          </w:p>
        </w:tc>
        <w:tc>
          <w:tcPr>
            <w:tcW w:w="1191" w:type="dxa"/>
            <w:tcBorders>
              <w:top w:val="single" w:sz="4" w:space="0" w:color="000000"/>
              <w:left w:val="single" w:sz="4" w:space="0" w:color="000000"/>
              <w:bottom w:val="single" w:sz="4" w:space="0" w:color="000000"/>
            </w:tcBorders>
            <w:shd w:val="clear" w:color="auto" w:fill="FFFFFF"/>
          </w:tcPr>
          <w:p w:rsidR="006630A4" w:rsidRDefault="006630A4">
            <w:pPr>
              <w:jc w:val="both"/>
              <w:rPr>
                <w:rStyle w:val="Numatytasispastraiposriftas1"/>
                <w:bCs/>
                <w:color w:val="auto"/>
              </w:rPr>
            </w:pPr>
            <w:r>
              <w:rPr>
                <w:bCs/>
                <w:color w:val="auto"/>
              </w:rPr>
              <w:t>14</w:t>
            </w:r>
          </w:p>
          <w:p w:rsidR="006630A4" w:rsidRDefault="006630A4">
            <w:pPr>
              <w:jc w:val="both"/>
              <w:rPr>
                <w:color w:val="auto"/>
              </w:rPr>
            </w:pPr>
            <w:r>
              <w:rPr>
                <w:rStyle w:val="Numatytasispastraiposriftas1"/>
                <w:bCs/>
                <w:color w:val="auto"/>
              </w:rPr>
              <w:t>100 proc.</w:t>
            </w:r>
          </w:p>
        </w:tc>
        <w:tc>
          <w:tcPr>
            <w:tcW w:w="1471" w:type="dxa"/>
            <w:tcBorders>
              <w:top w:val="single" w:sz="4" w:space="0" w:color="000000"/>
              <w:left w:val="single" w:sz="4" w:space="0" w:color="000000"/>
              <w:bottom w:val="single" w:sz="4" w:space="0" w:color="000000"/>
            </w:tcBorders>
            <w:shd w:val="clear" w:color="auto" w:fill="FFFFFF"/>
          </w:tcPr>
          <w:p w:rsidR="006630A4" w:rsidRDefault="006630A4">
            <w:pPr>
              <w:jc w:val="both"/>
              <w:rPr>
                <w:rStyle w:val="Numatytasispastraiposriftas1"/>
                <w:bCs/>
                <w:color w:val="auto"/>
              </w:rPr>
            </w:pPr>
            <w:r>
              <w:rPr>
                <w:color w:val="auto"/>
              </w:rPr>
              <w:t>10</w:t>
            </w:r>
          </w:p>
          <w:p w:rsidR="006630A4" w:rsidRDefault="006630A4">
            <w:pPr>
              <w:jc w:val="both"/>
              <w:rPr>
                <w:color w:val="auto"/>
              </w:rPr>
            </w:pPr>
            <w:r>
              <w:rPr>
                <w:rStyle w:val="Numatytasispastraiposriftas1"/>
                <w:bCs/>
                <w:color w:val="auto"/>
              </w:rPr>
              <w:t>100 proc.</w:t>
            </w:r>
          </w:p>
        </w:tc>
        <w:tc>
          <w:tcPr>
            <w:tcW w:w="1254"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r>
              <w:rPr>
                <w:color w:val="auto"/>
              </w:rPr>
              <w:t>1</w:t>
            </w:r>
          </w:p>
          <w:p w:rsidR="006630A4" w:rsidRDefault="006630A4">
            <w:pPr>
              <w:jc w:val="both"/>
              <w:rPr>
                <w:color w:val="auto"/>
              </w:rPr>
            </w:pPr>
            <w:r>
              <w:rPr>
                <w:color w:val="auto"/>
              </w:rPr>
              <w:t>5,53 proc.</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rPr>
                <w:color w:val="auto"/>
              </w:rPr>
            </w:pPr>
            <w:r>
              <w:rPr>
                <w:color w:val="auto"/>
              </w:rPr>
              <w:t>1</w:t>
            </w:r>
          </w:p>
          <w:p w:rsidR="006630A4" w:rsidRDefault="006630A4">
            <w:pPr>
              <w:jc w:val="both"/>
            </w:pPr>
            <w:r>
              <w:rPr>
                <w:color w:val="auto"/>
              </w:rPr>
              <w:t>5,1 proc.</w:t>
            </w:r>
          </w:p>
        </w:tc>
      </w:tr>
      <w:tr w:rsidR="006630A4">
        <w:trPr>
          <w:trHeight w:val="768"/>
        </w:trPr>
        <w:tc>
          <w:tcPr>
            <w:tcW w:w="2370" w:type="dxa"/>
            <w:vMerge/>
            <w:tcBorders>
              <w:top w:val="single" w:sz="4" w:space="0" w:color="000000"/>
              <w:left w:val="single" w:sz="4" w:space="0" w:color="000000"/>
              <w:bottom w:val="single" w:sz="4" w:space="0" w:color="000000"/>
            </w:tcBorders>
            <w:shd w:val="clear" w:color="auto" w:fill="FFFFFF"/>
          </w:tcPr>
          <w:p w:rsidR="006630A4" w:rsidRDefault="006630A4"/>
        </w:tc>
        <w:tc>
          <w:tcPr>
            <w:tcW w:w="1058" w:type="dxa"/>
            <w:tcBorders>
              <w:top w:val="single" w:sz="4" w:space="0" w:color="000000"/>
              <w:left w:val="single" w:sz="4" w:space="0" w:color="000000"/>
              <w:bottom w:val="single" w:sz="4" w:space="0" w:color="000000"/>
            </w:tcBorders>
            <w:shd w:val="clear" w:color="auto" w:fill="FFFFFF"/>
          </w:tcPr>
          <w:p w:rsidR="006630A4" w:rsidRDefault="006630A4">
            <w:pPr>
              <w:jc w:val="both"/>
              <w:rPr>
                <w:rStyle w:val="Numatytasispastraiposriftas1"/>
                <w:color w:val="auto"/>
              </w:rPr>
            </w:pPr>
            <w:r>
              <w:rPr>
                <w:bCs/>
                <w:color w:val="auto"/>
              </w:rPr>
              <w:t>1</w:t>
            </w:r>
          </w:p>
          <w:p w:rsidR="006630A4" w:rsidRDefault="006630A4">
            <w:pPr>
              <w:jc w:val="both"/>
              <w:rPr>
                <w:bCs/>
                <w:color w:val="auto"/>
              </w:rPr>
            </w:pPr>
            <w:r>
              <w:rPr>
                <w:rStyle w:val="Numatytasispastraiposriftas1"/>
                <w:color w:val="auto"/>
              </w:rPr>
              <w:t>100 proc.</w:t>
            </w:r>
          </w:p>
        </w:tc>
        <w:tc>
          <w:tcPr>
            <w:tcW w:w="1321" w:type="dxa"/>
            <w:tcBorders>
              <w:top w:val="single" w:sz="4" w:space="0" w:color="000000"/>
              <w:left w:val="single" w:sz="4" w:space="0" w:color="000000"/>
              <w:bottom w:val="single" w:sz="4" w:space="0" w:color="000000"/>
            </w:tcBorders>
            <w:shd w:val="clear" w:color="auto" w:fill="FFFFFF"/>
          </w:tcPr>
          <w:p w:rsidR="006630A4" w:rsidRDefault="006630A4">
            <w:pPr>
              <w:jc w:val="both"/>
              <w:rPr>
                <w:rStyle w:val="Numatytasispastraiposriftas1"/>
                <w:color w:val="auto"/>
              </w:rPr>
            </w:pPr>
            <w:r>
              <w:rPr>
                <w:bCs/>
                <w:color w:val="auto"/>
              </w:rPr>
              <w:t>1</w:t>
            </w:r>
          </w:p>
          <w:p w:rsidR="006630A4" w:rsidRDefault="006630A4">
            <w:pPr>
              <w:jc w:val="both"/>
              <w:rPr>
                <w:bCs/>
                <w:color w:val="auto"/>
              </w:rPr>
            </w:pPr>
            <w:r>
              <w:rPr>
                <w:rStyle w:val="Numatytasispastraiposriftas1"/>
                <w:color w:val="auto"/>
              </w:rPr>
              <w:t>100 proc.</w:t>
            </w:r>
          </w:p>
        </w:tc>
        <w:tc>
          <w:tcPr>
            <w:tcW w:w="1191" w:type="dxa"/>
            <w:tcBorders>
              <w:top w:val="single" w:sz="4" w:space="0" w:color="000000"/>
              <w:left w:val="single" w:sz="4" w:space="0" w:color="000000"/>
              <w:bottom w:val="single" w:sz="4" w:space="0" w:color="000000"/>
            </w:tcBorders>
            <w:shd w:val="clear" w:color="auto" w:fill="FFFFFF"/>
          </w:tcPr>
          <w:p w:rsidR="006630A4" w:rsidRDefault="006630A4">
            <w:pPr>
              <w:jc w:val="both"/>
              <w:rPr>
                <w:bCs/>
                <w:color w:val="auto"/>
              </w:rPr>
            </w:pPr>
          </w:p>
        </w:tc>
        <w:tc>
          <w:tcPr>
            <w:tcW w:w="1471"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p>
        </w:tc>
        <w:tc>
          <w:tcPr>
            <w:tcW w:w="1254" w:type="dxa"/>
            <w:tcBorders>
              <w:top w:val="single" w:sz="4" w:space="0" w:color="000000"/>
              <w:left w:val="single" w:sz="4" w:space="0" w:color="000000"/>
              <w:bottom w:val="single" w:sz="4" w:space="0" w:color="000000"/>
            </w:tcBorders>
            <w:shd w:val="clear" w:color="auto" w:fill="FFFFFF"/>
          </w:tcPr>
          <w:p w:rsidR="006630A4" w:rsidRDefault="006630A4">
            <w:pPr>
              <w:jc w:val="both"/>
              <w:rPr>
                <w:color w:val="auto"/>
              </w:rPr>
            </w:pPr>
            <w:r>
              <w:rPr>
                <w:color w:val="auto"/>
              </w:rPr>
              <w:t>1</w:t>
            </w:r>
          </w:p>
          <w:p w:rsidR="006630A4" w:rsidRDefault="006630A4">
            <w:pPr>
              <w:jc w:val="both"/>
              <w:rPr>
                <w:color w:val="auto"/>
              </w:rPr>
            </w:pPr>
            <w:r>
              <w:rPr>
                <w:color w:val="auto"/>
              </w:rPr>
              <w:t>100 proc.</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rPr>
                <w:color w:val="auto"/>
              </w:rPr>
            </w:pPr>
          </w:p>
        </w:tc>
      </w:tr>
    </w:tbl>
    <w:p w:rsidR="006630A4" w:rsidRDefault="006630A4">
      <w:pPr>
        <w:pStyle w:val="prastasis1"/>
      </w:pPr>
      <w:r>
        <w:rPr>
          <w:rStyle w:val="Numatytasispastraiposriftas1"/>
          <w:bCs/>
        </w:rPr>
        <w:t xml:space="preserve">Vykdyta nemažai projektų. Iš jų 4 socialiniai: </w:t>
      </w:r>
      <w:r>
        <w:t xml:space="preserve">Vaikų vasaros užimtumo projektas „Spindulėlis“, „Savame kelyje 2“, „Padėkų knygelė“ (projektas bendradarbiaujant su </w:t>
      </w:r>
      <w:proofErr w:type="spellStart"/>
      <w:r>
        <w:t>Gustonių</w:t>
      </w:r>
      <w:proofErr w:type="spellEnd"/>
      <w:r>
        <w:t xml:space="preserve"> senelių namais), </w:t>
      </w:r>
      <w:r>
        <w:rPr>
          <w:rStyle w:val="Numatytasispastraiposriftas1"/>
          <w:bCs/>
        </w:rPr>
        <w:t>„Tolerancijos mozaika“. Nemažai dėmesio skirta ne tik prevencinių programų integravimui, bet ir prevenciniams projektams įgyvendinti: „</w:t>
      </w:r>
      <w:r>
        <w:t xml:space="preserve">Mini stovykla „Leisk laisvalaikį turiningai“ (7–12 kl.), projektas „Savaitė be patyčių“, (1–12 kl.), „Ateik, įsijunk, kurk“, </w:t>
      </w:r>
      <w:r>
        <w:rPr>
          <w:rStyle w:val="Numatytasispastraiposriftas1"/>
          <w:bCs/>
        </w:rPr>
        <w:t xml:space="preserve">„Sniego gniūžtė“, stovykla „Galvok savo galva“. Be socialinių ir prevencinių, mokytojai stengėsi kurti ir įgyvendinti mokomuosius projektus, tokius kaip: skaitymo skatinimo projektas „Senjorai – skaitymo </w:t>
      </w:r>
      <w:proofErr w:type="spellStart"/>
      <w:r>
        <w:rPr>
          <w:rStyle w:val="Numatytasispastraiposriftas1"/>
          <w:bCs/>
        </w:rPr>
        <w:t>mentoriai</w:t>
      </w:r>
      <w:proofErr w:type="spellEnd"/>
      <w:r>
        <w:rPr>
          <w:rStyle w:val="Numatytasispastraiposriftas1"/>
          <w:bCs/>
        </w:rPr>
        <w:t>“, „Šviečiamoji gyvulininkystės programa“, „Sporto ir sveikatingumo diena“, 1–5 kl., „Sportuoja visa šeima“, „Šok į tėvo klumpes“, „Judrioji savaitė“, „Praeities skrynią atvėrus“, „Karjeros ugdymo savaitė“ (dalyvavo pradinukai), „Gimtosios kalbos savaitė“, „Mandagumo mėnuo“, projektas – muzikinis vaidinimas „Obuolys“, „Mokyklos muziejaus atnaujinimas“, „Protų mūšis“, „Civilinės saugos pratybos“. Gimnazijoje įgyvendinama nemažai bendruomenės projektų, kai kurie jų tapo tradiciniais:</w:t>
      </w:r>
      <w:r>
        <w:t xml:space="preserve"> Šeimos diena „Saulės zuikučio kelionė“, Pavasarinė mugė, Užgavėnių projektas, „Aš ir Lietuva“, Naujametinis karnavalas, gimnazijos ir ikimokyklinio skyriaus jubiliejai, Mokslo metų užbaigimo šventė, Sportinė diena, „Šimtas dienų mokykloje“, „Rudens išdaigos“ Mokslo metų pradžios šventė, Europos kalbų diena. Pradėtas vykdyti tarptautinis </w:t>
      </w:r>
      <w:proofErr w:type="spellStart"/>
      <w:r>
        <w:t>eTwinning</w:t>
      </w:r>
      <w:proofErr w:type="spellEnd"/>
      <w:r>
        <w:t xml:space="preserve"> projektas „</w:t>
      </w:r>
      <w:proofErr w:type="spellStart"/>
      <w:r>
        <w:t>Food</w:t>
      </w:r>
      <w:proofErr w:type="spellEnd"/>
      <w:r>
        <w:t xml:space="preserve"> </w:t>
      </w:r>
      <w:proofErr w:type="spellStart"/>
      <w:r>
        <w:t>library</w:t>
      </w:r>
      <w:proofErr w:type="spellEnd"/>
      <w:r>
        <w:t xml:space="preserve">“, kur 13 mokinių </w:t>
      </w:r>
      <w:proofErr w:type="spellStart"/>
      <w:r>
        <w:t>eTwinning</w:t>
      </w:r>
      <w:proofErr w:type="spellEnd"/>
      <w:r>
        <w:t xml:space="preserve"> platformoje bendradarbiauja su Lietuvos, Latvijos Vengrijos mokiniais, dalijasi informacija apie tradicinius šalių patiekalus, kultūrą bei tradicijas. Vykdytas tarpmokyklinis projektas „Aš ne vienas“ (psichinei sveikatai stiprinti).</w:t>
      </w:r>
    </w:p>
    <w:p w:rsidR="006630A4" w:rsidRDefault="006630A4">
      <w:pPr>
        <w:pStyle w:val="prastasis1"/>
        <w:rPr>
          <w:b/>
          <w:bCs/>
        </w:rPr>
      </w:pPr>
      <w:r>
        <w:t xml:space="preserve">Ikimokyklinio ugdymo skyrius dalyvauja tarptautinio </w:t>
      </w:r>
      <w:proofErr w:type="spellStart"/>
      <w:r>
        <w:t>Erasmus</w:t>
      </w:r>
      <w:proofErr w:type="spellEnd"/>
      <w:r>
        <w:t xml:space="preserve">+ KA2 Strateginės partnerystės projekto „Sveikatai palankios mitybos </w:t>
      </w:r>
      <w:proofErr w:type="spellStart"/>
      <w:r>
        <w:t>inovatyvaus</w:t>
      </w:r>
      <w:proofErr w:type="spellEnd"/>
      <w:r>
        <w:t xml:space="preserve"> mokymo metodologijos vystymas ir praktika ikimokykliniame ir pradiniame ugdyme“ veiklose, Panevėžio rajono savivaldybės Visuomenės sveikatos rėmimo specialiosios programos finansuotame projekte „Judėkim uoliai – būsim sveikuoliai“.</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3248"/>
        <w:gridCol w:w="1846"/>
        <w:gridCol w:w="1845"/>
        <w:gridCol w:w="2699"/>
      </w:tblGrid>
      <w:tr w:rsidR="006630A4" w:rsidTr="00DF4162">
        <w:trPr>
          <w:trHeight w:val="266"/>
        </w:trPr>
        <w:tc>
          <w:tcPr>
            <w:tcW w:w="3248" w:type="dxa"/>
            <w:vMerge w:val="restart"/>
            <w:tcBorders>
              <w:top w:val="single" w:sz="4" w:space="0" w:color="000000"/>
              <w:left w:val="single" w:sz="4" w:space="0" w:color="000000"/>
              <w:bottom w:val="single" w:sz="4" w:space="0" w:color="000000"/>
            </w:tcBorders>
            <w:shd w:val="clear" w:color="auto" w:fill="FFFFFF"/>
          </w:tcPr>
          <w:p w:rsidR="006630A4" w:rsidRDefault="006630A4">
            <w:pPr>
              <w:jc w:val="both"/>
              <w:rPr>
                <w:b/>
                <w:bCs/>
              </w:rPr>
            </w:pPr>
            <w:r>
              <w:rPr>
                <w:b/>
                <w:bCs/>
              </w:rPr>
              <w:t>Mokinių, turinčių specialiųjų ugdymosi poreikių, skaičius</w:t>
            </w:r>
          </w:p>
          <w:p w:rsidR="006630A4" w:rsidRDefault="006630A4">
            <w:pPr>
              <w:jc w:val="both"/>
            </w:pPr>
            <w:r>
              <w:rPr>
                <w:b/>
                <w:bCs/>
              </w:rPr>
              <w:t>gimnazijoje</w:t>
            </w:r>
          </w:p>
        </w:tc>
        <w:tc>
          <w:tcPr>
            <w:tcW w:w="6390" w:type="dxa"/>
            <w:gridSpan w:val="3"/>
            <w:tcBorders>
              <w:top w:val="single" w:sz="4" w:space="0" w:color="000000"/>
              <w:left w:val="single" w:sz="4" w:space="0" w:color="000000"/>
              <w:bottom w:val="single" w:sz="4" w:space="0" w:color="000000"/>
              <w:right w:val="single" w:sz="4" w:space="0" w:color="auto"/>
            </w:tcBorders>
            <w:shd w:val="clear" w:color="auto" w:fill="FFFFFF"/>
          </w:tcPr>
          <w:p w:rsidR="006630A4" w:rsidRDefault="006630A4">
            <w:pPr>
              <w:jc w:val="both"/>
            </w:pPr>
            <w:r>
              <w:t>Proc. nuo mokinių skaičiaus</w:t>
            </w:r>
          </w:p>
        </w:tc>
      </w:tr>
      <w:tr w:rsidR="006630A4" w:rsidTr="00DF4162">
        <w:trPr>
          <w:trHeight w:val="263"/>
        </w:trPr>
        <w:tc>
          <w:tcPr>
            <w:tcW w:w="3248" w:type="dxa"/>
            <w:vMerge/>
            <w:tcBorders>
              <w:top w:val="single" w:sz="4" w:space="0" w:color="000000"/>
              <w:left w:val="single" w:sz="4" w:space="0" w:color="000000"/>
              <w:bottom w:val="single" w:sz="4" w:space="0" w:color="000000"/>
            </w:tcBorders>
            <w:shd w:val="clear" w:color="auto" w:fill="FFFFFF"/>
          </w:tcPr>
          <w:p w:rsidR="006630A4" w:rsidRDefault="006630A4"/>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Didelių poreikių</w:t>
            </w:r>
          </w:p>
        </w:tc>
        <w:tc>
          <w:tcPr>
            <w:tcW w:w="1845" w:type="dxa"/>
            <w:tcBorders>
              <w:top w:val="single" w:sz="4" w:space="0" w:color="000000"/>
              <w:left w:val="single" w:sz="4" w:space="0" w:color="000000"/>
              <w:bottom w:val="single" w:sz="4" w:space="0" w:color="000000"/>
            </w:tcBorders>
            <w:shd w:val="clear" w:color="auto" w:fill="FFFFFF"/>
          </w:tcPr>
          <w:p w:rsidR="006630A4" w:rsidRDefault="006630A4">
            <w:pPr>
              <w:jc w:val="both"/>
            </w:pPr>
            <w:r>
              <w:t>Vidutinių poreikių</w:t>
            </w:r>
          </w:p>
        </w:tc>
        <w:tc>
          <w:tcPr>
            <w:tcW w:w="2699" w:type="dxa"/>
            <w:tcBorders>
              <w:top w:val="single" w:sz="4" w:space="0" w:color="000000"/>
              <w:left w:val="single" w:sz="4" w:space="0" w:color="000000"/>
              <w:bottom w:val="single" w:sz="4" w:space="0" w:color="000000"/>
              <w:right w:val="single" w:sz="4" w:space="0" w:color="auto"/>
            </w:tcBorders>
            <w:shd w:val="clear" w:color="auto" w:fill="FFFFFF"/>
          </w:tcPr>
          <w:p w:rsidR="006630A4" w:rsidRDefault="006630A4">
            <w:pPr>
              <w:jc w:val="both"/>
            </w:pPr>
            <w:r>
              <w:t xml:space="preserve">Nedidelių poreikių  </w:t>
            </w:r>
          </w:p>
        </w:tc>
      </w:tr>
      <w:tr w:rsidR="006630A4" w:rsidTr="00DF4162">
        <w:trPr>
          <w:trHeight w:val="327"/>
        </w:trPr>
        <w:tc>
          <w:tcPr>
            <w:tcW w:w="3248" w:type="dxa"/>
            <w:vMerge/>
            <w:tcBorders>
              <w:top w:val="single" w:sz="4" w:space="0" w:color="000000"/>
              <w:left w:val="single" w:sz="4" w:space="0" w:color="000000"/>
              <w:bottom w:val="single" w:sz="4" w:space="0" w:color="000000"/>
            </w:tcBorders>
            <w:shd w:val="clear" w:color="auto" w:fill="FFFFFF"/>
          </w:tcPr>
          <w:p w:rsidR="006630A4" w:rsidRDefault="006630A4"/>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3 proc.</w:t>
            </w:r>
          </w:p>
        </w:tc>
        <w:tc>
          <w:tcPr>
            <w:tcW w:w="1845" w:type="dxa"/>
            <w:tcBorders>
              <w:top w:val="single" w:sz="4" w:space="0" w:color="000000"/>
              <w:left w:val="single" w:sz="4" w:space="0" w:color="000000"/>
              <w:bottom w:val="single" w:sz="4" w:space="0" w:color="000000"/>
            </w:tcBorders>
            <w:shd w:val="clear" w:color="auto" w:fill="FFFFFF"/>
          </w:tcPr>
          <w:p w:rsidR="006630A4" w:rsidRDefault="006630A4">
            <w:pPr>
              <w:jc w:val="both"/>
            </w:pPr>
            <w:r>
              <w:t>10,2 proc.</w:t>
            </w:r>
          </w:p>
        </w:tc>
        <w:tc>
          <w:tcPr>
            <w:tcW w:w="2699" w:type="dxa"/>
            <w:tcBorders>
              <w:top w:val="single" w:sz="4" w:space="0" w:color="000000"/>
              <w:left w:val="single" w:sz="4" w:space="0" w:color="000000"/>
              <w:bottom w:val="single" w:sz="4" w:space="0" w:color="000000"/>
              <w:right w:val="single" w:sz="4" w:space="0" w:color="auto"/>
            </w:tcBorders>
            <w:shd w:val="clear" w:color="auto" w:fill="FFFFFF"/>
          </w:tcPr>
          <w:p w:rsidR="006630A4" w:rsidRDefault="006630A4">
            <w:pPr>
              <w:jc w:val="both"/>
            </w:pPr>
            <w:r>
              <w:t>13,2 proc.</w:t>
            </w:r>
          </w:p>
        </w:tc>
      </w:tr>
      <w:tr w:rsidR="006630A4" w:rsidTr="00DF4162">
        <w:trPr>
          <w:trHeight w:val="327"/>
        </w:trPr>
        <w:tc>
          <w:tcPr>
            <w:tcW w:w="3248" w:type="dxa"/>
            <w:tcBorders>
              <w:top w:val="single" w:sz="4" w:space="0" w:color="000000"/>
              <w:left w:val="single" w:sz="4" w:space="0" w:color="000000"/>
              <w:bottom w:val="single" w:sz="4" w:space="0" w:color="000000"/>
            </w:tcBorders>
            <w:shd w:val="clear" w:color="auto" w:fill="FFFFFF"/>
          </w:tcPr>
          <w:p w:rsidR="006630A4" w:rsidRDefault="006630A4">
            <w:pPr>
              <w:pStyle w:val="prastasis1"/>
            </w:pPr>
            <w:r>
              <w:rPr>
                <w:rStyle w:val="Numatytasispastraiposriftas1"/>
                <w:b/>
              </w:rPr>
              <w:t xml:space="preserve">Skyriuje </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6630A4" w:rsidRDefault="006630A4">
            <w:pPr>
              <w:jc w:val="both"/>
            </w:pPr>
            <w:r>
              <w:t>5,35 proc.</w:t>
            </w:r>
          </w:p>
        </w:tc>
        <w:tc>
          <w:tcPr>
            <w:tcW w:w="1845" w:type="dxa"/>
            <w:tcBorders>
              <w:top w:val="single" w:sz="4" w:space="0" w:color="000000"/>
              <w:left w:val="single" w:sz="4" w:space="0" w:color="000000"/>
              <w:bottom w:val="single" w:sz="4" w:space="0" w:color="000000"/>
            </w:tcBorders>
            <w:shd w:val="clear" w:color="auto" w:fill="FFFFFF"/>
          </w:tcPr>
          <w:p w:rsidR="006630A4" w:rsidRDefault="006630A4">
            <w:pPr>
              <w:jc w:val="both"/>
            </w:pPr>
            <w:r>
              <w:t>-</w:t>
            </w:r>
          </w:p>
        </w:tc>
        <w:tc>
          <w:tcPr>
            <w:tcW w:w="2699" w:type="dxa"/>
            <w:tcBorders>
              <w:top w:val="single" w:sz="4" w:space="0" w:color="000000"/>
              <w:left w:val="single" w:sz="4" w:space="0" w:color="000000"/>
              <w:bottom w:val="single" w:sz="4" w:space="0" w:color="000000"/>
              <w:right w:val="single" w:sz="4" w:space="0" w:color="auto"/>
            </w:tcBorders>
            <w:shd w:val="clear" w:color="auto" w:fill="FFFFFF"/>
          </w:tcPr>
          <w:p w:rsidR="006630A4" w:rsidRDefault="006630A4">
            <w:pPr>
              <w:jc w:val="both"/>
            </w:pPr>
            <w:r>
              <w:t>26,78 proc.</w:t>
            </w:r>
          </w:p>
        </w:tc>
      </w:tr>
    </w:tbl>
    <w:p w:rsidR="006630A4" w:rsidRDefault="006630A4">
      <w:pPr>
        <w:pStyle w:val="prastasis1"/>
        <w:rPr>
          <w:b/>
        </w:rPr>
      </w:pPr>
      <w:r>
        <w:t>Yra pakankamai specialiųjų poreikių mokiniams pagalbą teikiančių specialistų. Dauguma pagalbos specialistų yra VGK nariai, jie glaudžiai bendradarbiauja su Panevėžio rajono pedagogine psichologine tarnyba, Smilgių seniūnijos socialiniais darbuotojais.</w:t>
      </w:r>
    </w:p>
    <w:p w:rsidR="006630A4" w:rsidRDefault="006630A4">
      <w:pPr>
        <w:jc w:val="center"/>
        <w:rPr>
          <w:b/>
        </w:rPr>
      </w:pPr>
    </w:p>
    <w:p w:rsidR="006630A4" w:rsidRDefault="006630A4">
      <w:pPr>
        <w:jc w:val="center"/>
      </w:pPr>
      <w:r>
        <w:rPr>
          <w:b/>
        </w:rPr>
        <w:t>III. INFORMACIJA APIE MOKINIŲ VEIKLOS REZULTATUS</w:t>
      </w:r>
    </w:p>
    <w:p w:rsidR="006630A4" w:rsidRDefault="006630A4">
      <w:pPr>
        <w:pStyle w:val="prastasis1"/>
      </w:pPr>
      <w:r>
        <w:t xml:space="preserve">2015–2016 m. m. geriausius standartizuotų testų rezultatus parodė 6 kl. ir 8 kl. mokiniai. Rašymo, skaitymo, gamtos mokslų testų rezultatai ataskaitos skalėje keliomis padalomis viršijo, o matematikos atitiko šalies pasiekimų lygį. Pridėtinė mokyklos vertė, ugdant 6 ir 8 kl. mokinius, viršijo </w:t>
      </w:r>
      <w:r>
        <w:lastRenderedPageBreak/>
        <w:t xml:space="preserve">šalies vidurkį. </w:t>
      </w:r>
    </w:p>
    <w:p w:rsidR="006630A4" w:rsidRDefault="006630A4">
      <w:pPr>
        <w:pStyle w:val="prastasis1"/>
      </w:pPr>
      <w:r>
        <w:t>VBE geografijos, biologijos ir matematikos dalykų rezultatai ne tik siekia, bet ir viršija šalies lygį. Kalbų rodikliai ne tokie geri, tačiau viršija rajono vidurkį. 11,9 proc. gimnazijos abiturientų pasiekė 86–100 proc. (rajono – 6,2 proc.).</w:t>
      </w:r>
    </w:p>
    <w:p w:rsidR="006630A4" w:rsidRDefault="006630A4">
      <w:pPr>
        <w:pStyle w:val="prastasis1"/>
      </w:pPr>
      <w:r>
        <w:t>Užsienio pasiekimų testai parodė, kad beveik 60 proc. 10 kl. mokinių, besimokančių anglų kalbos, pasiekė B1 lygį, 100 proc. rusų ir prancūzų kalbų besimokančių mokinių pasiekė A1 lygį.</w:t>
      </w:r>
    </w:p>
    <w:p w:rsidR="00DF4162" w:rsidRDefault="00DF4162">
      <w:pPr>
        <w:pStyle w:val="prastasis1"/>
      </w:pPr>
    </w:p>
    <w:tbl>
      <w:tblPr>
        <w:tblW w:w="0" w:type="auto"/>
        <w:tblInd w:w="108" w:type="dxa"/>
        <w:tblLayout w:type="fixed"/>
        <w:tblLook w:val="0000" w:firstRow="0" w:lastRow="0" w:firstColumn="0" w:lastColumn="0" w:noHBand="0" w:noVBand="0"/>
      </w:tblPr>
      <w:tblGrid>
        <w:gridCol w:w="2409"/>
        <w:gridCol w:w="2410"/>
        <w:gridCol w:w="2409"/>
        <w:gridCol w:w="2410"/>
      </w:tblGrid>
      <w:tr w:rsidR="006630A4">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PUPP rezultatai: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Gimnazijoje</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 xml:space="preserve">Rajone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Lietuvoje</w:t>
            </w:r>
          </w:p>
        </w:tc>
      </w:tr>
      <w:tr w:rsidR="006630A4">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Lietuvių kalba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5,7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6,5</w:t>
            </w:r>
          </w:p>
        </w:tc>
      </w:tr>
      <w:tr w:rsidR="006630A4">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Matematika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5,6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630A4" w:rsidRDefault="006630A4">
            <w:pPr>
              <w:jc w:val="both"/>
            </w:pPr>
            <w:r>
              <w:t>5,7</w:t>
            </w:r>
          </w:p>
        </w:tc>
      </w:tr>
    </w:tbl>
    <w:p w:rsidR="006630A4" w:rsidRDefault="006630A4">
      <w:pPr>
        <w:pStyle w:val="prastasis1"/>
      </w:pPr>
      <w:r>
        <w:t xml:space="preserve">Kaupiamos diagnostinių, standartizuotų testų, pagrindinio ugdymo pasiekimų, VB egzaminų ataskaitos. Dalykų mokytojai atlieka lyginamąją analizę, duomenis </w:t>
      </w:r>
      <w:r w:rsidR="00182F15">
        <w:t>naudoja ugdymo kokybei gerinti.</w:t>
      </w:r>
    </w:p>
    <w:p w:rsidR="00182F15" w:rsidRDefault="00182F15">
      <w:pPr>
        <w:pStyle w:val="prastasis1"/>
        <w:rPr>
          <w:b/>
          <w:bCs/>
        </w:rPr>
      </w:pPr>
    </w:p>
    <w:p w:rsidR="006630A4" w:rsidRDefault="006630A4">
      <w:pPr>
        <w:jc w:val="center"/>
      </w:pPr>
      <w:r>
        <w:rPr>
          <w:b/>
          <w:bCs/>
          <w:color w:val="auto"/>
        </w:rPr>
        <w:t>IV. PEDAGOGAI</w:t>
      </w:r>
    </w:p>
    <w:p w:rsidR="006630A4" w:rsidRDefault="006630A4">
      <w:pPr>
        <w:pStyle w:val="prastasis1"/>
      </w:pPr>
      <w:r>
        <w:t>Remiantis veiklos kokybės įsivertinimo duomenimis, gimnazijos silpnoji pusė buvo mokymas(</w:t>
      </w:r>
      <w:proofErr w:type="spellStart"/>
      <w:r>
        <w:t>is</w:t>
      </w:r>
      <w:proofErr w:type="spellEnd"/>
      <w:r>
        <w:t xml:space="preserve">), todėl pedagogų kvalifikacijos tobulinimo prioritetu nuspręsta pasirinkti dalykinius- psichologinius seminarus. Organizuota Lidijos </w:t>
      </w:r>
      <w:proofErr w:type="spellStart"/>
      <w:r>
        <w:t>Laurinčiukienės</w:t>
      </w:r>
      <w:proofErr w:type="spellEnd"/>
      <w:r>
        <w:t xml:space="preserve"> paskaita „Kartų polilogas – kaip ugdyti šiuolaikines kartas“.</w:t>
      </w:r>
    </w:p>
    <w:p w:rsidR="006630A4" w:rsidRDefault="006630A4">
      <w:pPr>
        <w:pStyle w:val="prastasis1"/>
      </w:pPr>
      <w:r>
        <w:t>Mokytojai išklausė 165 specialybės, pedagogikos-psichologijos seminarus, 8 mokytojai iš viso vedė 16 seminarų. Visi mokytojai stebėjo ir vedė po 1–2 atviras pamokas.</w:t>
      </w:r>
    </w:p>
    <w:p w:rsidR="006630A4" w:rsidRDefault="006630A4">
      <w:pPr>
        <w:pStyle w:val="prastasis1"/>
        <w:rPr>
          <w:b/>
          <w:bCs/>
        </w:rPr>
      </w:pPr>
      <w:r>
        <w:t>Pedagogai kvalifikaciją tobulino ne tik Lietuvoje, bet ir už jos ribų: 1 mokytoja dalyvavo dviejuose tarptautiniuose seminaruose: „Ateities klasės laboratorijos, projektų organizavimas“ SCIENTIX organizuotame seminare Briuselyje ir tarptautiniame projekto „</w:t>
      </w:r>
      <w:proofErr w:type="spellStart"/>
      <w:r>
        <w:t>eTwinning</w:t>
      </w:r>
      <w:proofErr w:type="spellEnd"/>
      <w:r>
        <w:t>“ seminare.</w:t>
      </w:r>
    </w:p>
    <w:p w:rsidR="006630A4" w:rsidRDefault="006630A4">
      <w:pPr>
        <w:jc w:val="both"/>
        <w:rPr>
          <w:b/>
          <w:bCs/>
        </w:rPr>
      </w:pPr>
    </w:p>
    <w:p w:rsidR="006630A4" w:rsidRDefault="006630A4">
      <w:pPr>
        <w:jc w:val="center"/>
      </w:pPr>
      <w:r>
        <w:rPr>
          <w:b/>
          <w:bCs/>
        </w:rPr>
        <w:t>V. FINANSAVIMAS</w:t>
      </w:r>
    </w:p>
    <w:p w:rsidR="006630A4" w:rsidRDefault="006630A4">
      <w:pPr>
        <w:pStyle w:val="prastasis1"/>
      </w:pPr>
      <w:r>
        <w:t xml:space="preserve">Iš 2 proc. GPM gauta 2 815,73 </w:t>
      </w:r>
      <w:proofErr w:type="spellStart"/>
      <w:r>
        <w:t>Eur</w:t>
      </w:r>
      <w:proofErr w:type="spellEnd"/>
      <w:r>
        <w:t xml:space="preserve"> (antra vieta pagal ugdymo įstaigas rajone).</w:t>
      </w:r>
    </w:p>
    <w:p w:rsidR="006630A4" w:rsidRDefault="006630A4">
      <w:pPr>
        <w:pStyle w:val="prastasis1"/>
      </w:pPr>
      <w:r>
        <w:t xml:space="preserve">Patvirtinta 812,3 tūkst. </w:t>
      </w:r>
      <w:proofErr w:type="spellStart"/>
      <w:r>
        <w:t>Eur</w:t>
      </w:r>
      <w:proofErr w:type="spellEnd"/>
      <w:r>
        <w:t xml:space="preserve"> išlaidų sąmata, kurią sudarė </w:t>
      </w:r>
      <w:r>
        <w:rPr>
          <w:rStyle w:val="Numatytasispastraiposriftas1"/>
        </w:rPr>
        <w:t xml:space="preserve">mokinio krepšelio lėšos – </w:t>
      </w:r>
      <w:r w:rsidR="00A801B6">
        <w:rPr>
          <w:rStyle w:val="Numatytasispastraiposriftas1"/>
        </w:rPr>
        <w:br/>
      </w:r>
      <w:r>
        <w:rPr>
          <w:rStyle w:val="Numatytasispastraiposriftas1"/>
        </w:rPr>
        <w:t xml:space="preserve">395,3 tūkst. </w:t>
      </w:r>
      <w:proofErr w:type="spellStart"/>
      <w:r>
        <w:rPr>
          <w:rStyle w:val="Numatytasispastraiposriftas1"/>
        </w:rPr>
        <w:t>Eur</w:t>
      </w:r>
      <w:proofErr w:type="spellEnd"/>
      <w:r>
        <w:rPr>
          <w:rStyle w:val="Numatytasispastraiposriftas1"/>
        </w:rPr>
        <w:t xml:space="preserve">; aplinkos lėšos – 293,3 tūkst. </w:t>
      </w:r>
      <w:proofErr w:type="spellStart"/>
      <w:r>
        <w:rPr>
          <w:rStyle w:val="Numatytasispastraiposriftas1"/>
        </w:rPr>
        <w:t>Eur</w:t>
      </w:r>
      <w:proofErr w:type="spellEnd"/>
      <w:r>
        <w:rPr>
          <w:rStyle w:val="Numatytasispastraiposriftas1"/>
        </w:rPr>
        <w:t xml:space="preserve">; </w:t>
      </w:r>
      <w:r>
        <w:t xml:space="preserve">papildomos švietimo paslaugos (mokinių pavėžėjimas) – 56,6 tūkst. </w:t>
      </w:r>
      <w:proofErr w:type="spellStart"/>
      <w:r>
        <w:t>Eur</w:t>
      </w:r>
      <w:proofErr w:type="spellEnd"/>
      <w:r>
        <w:t xml:space="preserve">; </w:t>
      </w:r>
      <w:r>
        <w:rPr>
          <w:rStyle w:val="Numatytasispastraiposriftas1"/>
        </w:rPr>
        <w:t xml:space="preserve">deleguotos – 30,5 tūkst. eurų; specialiosios lėšos – 14,1 tūkst. </w:t>
      </w:r>
      <w:proofErr w:type="spellStart"/>
      <w:r>
        <w:rPr>
          <w:rStyle w:val="Numatytasispastraiposriftas1"/>
        </w:rPr>
        <w:t>Eur</w:t>
      </w:r>
      <w:proofErr w:type="spellEnd"/>
      <w:r>
        <w:rPr>
          <w:rStyle w:val="Numatytasispastraiposriftas1"/>
        </w:rPr>
        <w:t xml:space="preserve">; </w:t>
      </w:r>
      <w:r>
        <w:t xml:space="preserve">apyvartinių lėšų likutis – 15, tūkst. </w:t>
      </w:r>
      <w:proofErr w:type="spellStart"/>
      <w:r>
        <w:t>Eur</w:t>
      </w:r>
      <w:proofErr w:type="spellEnd"/>
      <w:r>
        <w:t xml:space="preserve">. Valstybės biudžeto lėšos – 7,3 tūkst. </w:t>
      </w:r>
      <w:proofErr w:type="spellStart"/>
      <w:r>
        <w:t>Eur</w:t>
      </w:r>
      <w:proofErr w:type="spellEnd"/>
      <w:r>
        <w:t xml:space="preserve"> (MMA didinti). </w:t>
      </w:r>
    </w:p>
    <w:p w:rsidR="006630A4" w:rsidRDefault="006630A4">
      <w:pPr>
        <w:pStyle w:val="prastasis1"/>
        <w:rPr>
          <w:b/>
        </w:rPr>
      </w:pPr>
      <w:r>
        <w:t>Mokėta pagal minimalų atlyginimų koeficientą.</w:t>
      </w:r>
    </w:p>
    <w:p w:rsidR="006630A4" w:rsidRDefault="006630A4">
      <w:pPr>
        <w:ind w:left="600"/>
        <w:jc w:val="both"/>
        <w:rPr>
          <w:b/>
        </w:rPr>
      </w:pPr>
    </w:p>
    <w:p w:rsidR="006630A4" w:rsidRDefault="006630A4">
      <w:pPr>
        <w:ind w:left="851" w:hanging="851"/>
        <w:jc w:val="center"/>
      </w:pPr>
      <w:r>
        <w:rPr>
          <w:b/>
        </w:rPr>
        <w:t>VI. PROBLEMOS, SUSIJUSIOS SU ĮSTAIGOS VEIKLA, IR VADOVO SIŪLOMI JŲ SPRENDIMO BŪDAI</w:t>
      </w:r>
    </w:p>
    <w:p w:rsidR="006630A4" w:rsidRDefault="006630A4">
      <w:pPr>
        <w:pStyle w:val="prastasis1"/>
      </w:pPr>
      <w:r>
        <w:t>Viena problema – bendradarbiavimas su tėvais, tėvų įsitraukimas į vaikų ugdymą(</w:t>
      </w:r>
      <w:proofErr w:type="spellStart"/>
      <w:r>
        <w:t>si</w:t>
      </w:r>
      <w:proofErr w:type="spellEnd"/>
      <w:r>
        <w:t xml:space="preserve">). Tikimasi to pasiekti rengiant bendrus projektus, mokymus. </w:t>
      </w:r>
    </w:p>
    <w:p w:rsidR="006630A4" w:rsidRDefault="006630A4">
      <w:pPr>
        <w:pStyle w:val="prastasis1"/>
      </w:pPr>
      <w:r>
        <w:t>Siekiant kokybiško ikimokyklinio ugdymo, reikia pertvarkyti ikimokyklinio ugdymo skyriaus patalpas, kad jos atitiktų HN reikalavimus. Tai galima įgyvendinti dalyvaujant modernizavimo programoje.</w:t>
      </w:r>
    </w:p>
    <w:p w:rsidR="00543FC3" w:rsidRDefault="00543FC3" w:rsidP="00543FC3">
      <w:pPr>
        <w:ind w:firstLine="851"/>
        <w:jc w:val="both"/>
      </w:pPr>
      <w:r>
        <w:t xml:space="preserve">Smilgių gimnazijoje ir ikimokyklinio ugdymo skyriuje reikėtų 1 psichologo pareigybės. Gimnazijoje papildomai reikėtų 0,5 spec. pedagogo pareigybės, nuo rugsėjo 1 d. reikės </w:t>
      </w:r>
      <w:r>
        <w:br/>
        <w:t>0,5 mokytojo padėjėjo pareigybės (bus du pirmokai su dideliais specialiaisiais poreikiais). Ikimokyklinio ugdymo skyriuje reikia 1 pedagogo padėjėjo pareigybės darbui su</w:t>
      </w:r>
      <w:r w:rsidRPr="00B76BA7">
        <w:t xml:space="preserve"> </w:t>
      </w:r>
      <w:r>
        <w:t>ugdytiniais, turinčiais specialiųjų poreikių.</w:t>
      </w:r>
    </w:p>
    <w:p w:rsidR="00543FC3" w:rsidRDefault="00543FC3" w:rsidP="00543FC3">
      <w:pPr>
        <w:ind w:firstLine="851"/>
        <w:jc w:val="both"/>
      </w:pPr>
      <w:r>
        <w:t>Dar viena problema, kad visuomenės sveikatos specialistas dirba gimnazijoje tik 2 dienas per savaitę (kartais tris), aptarnauja ir ikimokyklinio ugdymo skyrių.</w:t>
      </w:r>
    </w:p>
    <w:p w:rsidR="006630A4" w:rsidRDefault="006630A4">
      <w:pPr>
        <w:pStyle w:val="prastasis1"/>
      </w:pPr>
    </w:p>
    <w:p w:rsidR="006630A4" w:rsidRDefault="006630A4">
      <w:pPr>
        <w:jc w:val="both"/>
      </w:pPr>
    </w:p>
    <w:p w:rsidR="006630A4" w:rsidRDefault="006630A4">
      <w:pPr>
        <w:jc w:val="both"/>
      </w:pPr>
      <w:r>
        <w:t>Gimnazijos direktorė</w:t>
      </w:r>
      <w:r>
        <w:tab/>
      </w:r>
      <w:r>
        <w:tab/>
      </w:r>
      <w:r>
        <w:tab/>
      </w:r>
      <w:r>
        <w:tab/>
      </w:r>
      <w:r w:rsidR="003B3988">
        <w:t xml:space="preserve">              </w:t>
      </w:r>
      <w:bookmarkStart w:id="0" w:name="_GoBack"/>
      <w:bookmarkEnd w:id="0"/>
      <w:r>
        <w:t xml:space="preserve">Asta </w:t>
      </w:r>
      <w:proofErr w:type="spellStart"/>
      <w:r>
        <w:t>Kačarauskienė</w:t>
      </w:r>
      <w:proofErr w:type="spellEnd"/>
    </w:p>
    <w:p w:rsidR="006630A4" w:rsidRDefault="006630A4">
      <w:pPr>
        <w:jc w:val="both"/>
      </w:pPr>
    </w:p>
    <w:p w:rsidR="00F12F8A" w:rsidRDefault="00F12F8A" w:rsidP="00F12F8A">
      <w:pPr>
        <w:pStyle w:val="Standard"/>
        <w:rPr>
          <w:color w:val="auto"/>
        </w:rPr>
      </w:pPr>
      <w:r>
        <w:rPr>
          <w:color w:val="auto"/>
        </w:rPr>
        <w:t>SUDERINTA</w:t>
      </w:r>
    </w:p>
    <w:p w:rsidR="00F12F8A" w:rsidRDefault="00F12F8A" w:rsidP="00F12F8A">
      <w:pPr>
        <w:pStyle w:val="Standard"/>
        <w:rPr>
          <w:color w:val="auto"/>
        </w:rPr>
      </w:pPr>
    </w:p>
    <w:p w:rsidR="00F12F8A" w:rsidRDefault="00F12F8A" w:rsidP="00F12F8A">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F12F8A" w:rsidRPr="007351FD" w:rsidRDefault="00F12F8A" w:rsidP="007351FD">
      <w:pPr>
        <w:pStyle w:val="Standard"/>
        <w:rPr>
          <w:color w:val="auto"/>
        </w:rPr>
      </w:pPr>
      <w:r>
        <w:rPr>
          <w:color w:val="auto"/>
        </w:rPr>
        <w:t xml:space="preserve">Algirdas </w:t>
      </w:r>
      <w:proofErr w:type="spellStart"/>
      <w:r>
        <w:rPr>
          <w:color w:val="auto"/>
        </w:rPr>
        <w:t>Kęstutis</w:t>
      </w:r>
      <w:proofErr w:type="spellEnd"/>
      <w:r>
        <w:rPr>
          <w:color w:val="auto"/>
        </w:rPr>
        <w:t xml:space="preserve"> </w:t>
      </w:r>
      <w:proofErr w:type="spellStart"/>
      <w:r>
        <w:rPr>
          <w:color w:val="auto"/>
        </w:rPr>
        <w:t>Rimkus</w:t>
      </w:r>
      <w:proofErr w:type="spellEnd"/>
    </w:p>
    <w:sectPr w:rsidR="00F12F8A" w:rsidRPr="007351FD" w:rsidSect="007351FD">
      <w:headerReference w:type="default" r:id="rId7"/>
      <w:pgSz w:w="11906" w:h="16838"/>
      <w:pgMar w:top="567" w:right="567" w:bottom="567"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F57" w:rsidRDefault="000F7F57" w:rsidP="007351FD">
      <w:pPr>
        <w:spacing w:line="240" w:lineRule="auto"/>
      </w:pPr>
      <w:r>
        <w:separator/>
      </w:r>
    </w:p>
  </w:endnote>
  <w:endnote w:type="continuationSeparator" w:id="0">
    <w:p w:rsidR="000F7F57" w:rsidRDefault="000F7F57" w:rsidP="00735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altName w:val="Arial"/>
    <w:charset w:val="00"/>
    <w:family w:val="swiss"/>
    <w:pitch w:val="variable"/>
    <w:sig w:usb0="00000000" w:usb1="00000000"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F57" w:rsidRDefault="000F7F57" w:rsidP="007351FD">
      <w:pPr>
        <w:spacing w:line="240" w:lineRule="auto"/>
      </w:pPr>
      <w:r>
        <w:separator/>
      </w:r>
    </w:p>
  </w:footnote>
  <w:footnote w:type="continuationSeparator" w:id="0">
    <w:p w:rsidR="000F7F57" w:rsidRDefault="000F7F57" w:rsidP="007351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7982"/>
      <w:docPartObj>
        <w:docPartGallery w:val="Page Numbers (Top of Page)"/>
        <w:docPartUnique/>
      </w:docPartObj>
    </w:sdtPr>
    <w:sdtContent>
      <w:p w:rsidR="007351FD" w:rsidRDefault="007351FD">
        <w:pPr>
          <w:pStyle w:val="Antrats"/>
          <w:jc w:val="center"/>
        </w:pPr>
        <w:r>
          <w:fldChar w:fldCharType="begin"/>
        </w:r>
        <w:r>
          <w:instrText>PAGE   \* MERGEFORMAT</w:instrText>
        </w:r>
        <w:r>
          <w:fldChar w:fldCharType="separate"/>
        </w:r>
        <w:r w:rsidR="003B3988">
          <w:rPr>
            <w:noProof/>
          </w:rPr>
          <w:t>3</w:t>
        </w:r>
        <w:r>
          <w:fldChar w:fldCharType="end"/>
        </w:r>
      </w:p>
    </w:sdtContent>
  </w:sdt>
  <w:p w:rsidR="007351FD" w:rsidRDefault="007351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3"/>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5"/>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6"/>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162"/>
    <w:rsid w:val="000F7F57"/>
    <w:rsid w:val="00182F15"/>
    <w:rsid w:val="003B3988"/>
    <w:rsid w:val="00543FC3"/>
    <w:rsid w:val="006630A4"/>
    <w:rsid w:val="007351FD"/>
    <w:rsid w:val="00A3614D"/>
    <w:rsid w:val="00A801B6"/>
    <w:rsid w:val="00C651E6"/>
    <w:rsid w:val="00DF4162"/>
    <w:rsid w:val="00EA11E5"/>
    <w:rsid w:val="00F12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4264656-8D97-44CF-B37A-A916A918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PoratDiagrama">
    <w:name w:val="Poraštė Diagrama"/>
    <w:rPr>
      <w:rFonts w:ascii="Times New Roman" w:eastAsia="Times New Roman" w:hAnsi="Times New Roman" w:cs="Times New Roman"/>
      <w:sz w:val="24"/>
      <w:szCs w:val="24"/>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rPr>
  </w:style>
  <w:style w:type="character" w:customStyle="1" w:styleId="PuslapioinaostekstasDiagrama">
    <w:name w:val="Puslapio išnašos tekstas Diagrama"/>
    <w:rPr>
      <w:rFonts w:ascii="Times New Roman" w:eastAsia="Times New Roman" w:hAnsi="Times New Roman" w:cs="Times New Roman"/>
      <w:sz w:val="20"/>
      <w:szCs w:val="20"/>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rPr>
  </w:style>
  <w:style w:type="character" w:customStyle="1" w:styleId="DebesliotekstasDiagrama">
    <w:name w:val="Debesėlio tekstas Diagrama"/>
    <w:rPr>
      <w:rFonts w:ascii="Segoe UI" w:eastAsia="Times New Roman" w:hAnsi="Segoe UI" w:cs="Segoe UI"/>
      <w:sz w:val="18"/>
      <w:szCs w:val="18"/>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fontstyle01">
    <w:name w:val="fontstyle01"/>
    <w:rPr>
      <w:rFonts w:ascii="TimesNewRomanPS-BoldMT" w:hAnsi="TimesNewRomanPS-BoldMT"/>
      <w:b/>
      <w:bCs/>
      <w:i w:val="0"/>
      <w:iCs w:val="0"/>
      <w:color w:val="000000"/>
      <w:sz w:val="40"/>
      <w:szCs w:val="40"/>
    </w:rPr>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character" w:customStyle="1" w:styleId="WWCharLFO8LVL1">
    <w:name w:val="WW_CharLFO8LVL1"/>
    <w:rPr>
      <w:rFonts w:ascii="Symbol" w:hAnsi="Symbol"/>
      <w:color w:val="auto"/>
    </w:rPr>
  </w:style>
  <w:style w:type="character" w:customStyle="1" w:styleId="WWCharLFO8LVL2">
    <w:name w:val="WW_CharLFO8LVL2"/>
    <w:rPr>
      <w:rFonts w:ascii="Times New Roman" w:eastAsia="Calibri" w:hAnsi="Times New Roman" w:cs="Times New Roman"/>
      <w:color w:val="auto"/>
    </w:rPr>
  </w:style>
  <w:style w:type="character" w:customStyle="1" w:styleId="WWCharLFO8LVL3">
    <w:name w:val="WW_CharLFO8LVL3"/>
    <w:rPr>
      <w:rFonts w:ascii="Wingdings" w:hAnsi="Wingdings"/>
    </w:rPr>
  </w:style>
  <w:style w:type="character" w:customStyle="1" w:styleId="WWCharLFO8LVL4">
    <w:name w:val="WW_CharLFO8LVL4"/>
    <w:rPr>
      <w:rFonts w:ascii="Symbol" w:hAnsi="Symbol"/>
    </w:rPr>
  </w:style>
  <w:style w:type="character" w:customStyle="1" w:styleId="WWCharLFO8LVL5">
    <w:name w:val="WW_CharLFO8LVL5"/>
    <w:rPr>
      <w:rFonts w:ascii="Courier New" w:hAnsi="Courier New" w:cs="Courier New"/>
    </w:rPr>
  </w:style>
  <w:style w:type="character" w:customStyle="1" w:styleId="WWCharLFO8LVL6">
    <w:name w:val="WW_CharLFO8LVL6"/>
    <w:rPr>
      <w:rFonts w:ascii="Wingdings" w:hAnsi="Wingdings"/>
    </w:rPr>
  </w:style>
  <w:style w:type="character" w:customStyle="1" w:styleId="WWCharLFO8LVL7">
    <w:name w:val="WW_CharLFO8LVL7"/>
    <w:rPr>
      <w:rFonts w:ascii="Symbol" w:hAnsi="Symbol"/>
    </w:rPr>
  </w:style>
  <w:style w:type="character" w:customStyle="1" w:styleId="WWCharLFO8LVL8">
    <w:name w:val="WW_CharLFO8LVL8"/>
    <w:rPr>
      <w:rFonts w:ascii="Courier New" w:hAnsi="Courier New" w:cs="Courier New"/>
    </w:rPr>
  </w:style>
  <w:style w:type="character" w:customStyle="1" w:styleId="WWCharLFO8LVL9">
    <w:name w:val="WW_CharLFO8LVL9"/>
    <w:rPr>
      <w:rFonts w:ascii="Wingdings" w:hAnsi="Wingdings"/>
    </w:rPr>
  </w:style>
  <w:style w:type="paragraph" w:customStyle="1" w:styleId="prastasis1">
    <w:name w:val="Įprastasis1"/>
    <w:pPr>
      <w:widowControl w:val="0"/>
      <w:suppressAutoHyphens/>
      <w:spacing w:line="100" w:lineRule="atLeast"/>
      <w:ind w:firstLine="851"/>
      <w:jc w:val="both"/>
      <w:textAlignment w:val="baseline"/>
    </w:pPr>
    <w:rPr>
      <w:rFonts w:eastAsia="SimSun" w:cs="Tahoma"/>
      <w:kern w:val="1"/>
      <w:sz w:val="24"/>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customStyle="1" w:styleId="prastasis13">
    <w:name w:val="Įprastasis+13"/>
    <w:basedOn w:val="prastasis1"/>
    <w:next w:val="prastasis1"/>
    <w:pPr>
      <w:widowControl/>
      <w:suppressAutoHyphens w:val="0"/>
      <w:autoSpaceDE w:val="0"/>
      <w:textAlignment w:val="auto"/>
    </w:pPr>
    <w:rPr>
      <w:rFonts w:eastAsia="Calibri" w:cs="Times New Roman"/>
      <w:kern w:val="0"/>
      <w:szCs w:val="24"/>
    </w:rPr>
  </w:style>
  <w:style w:type="paragraph" w:customStyle="1" w:styleId="Default">
    <w:name w:val="Default"/>
    <w:pPr>
      <w:autoSpaceDE w:val="0"/>
      <w:spacing w:line="100" w:lineRule="atLeast"/>
    </w:pPr>
    <w:rPr>
      <w:rFonts w:eastAsia="Calibri"/>
      <w:color w:val="000000"/>
      <w:sz w:val="24"/>
      <w:szCs w:val="24"/>
      <w:lang w:eastAsia="ar-SA"/>
    </w:rPr>
  </w:style>
  <w:style w:type="paragraph" w:customStyle="1" w:styleId="Default11">
    <w:name w:val="Default+11"/>
    <w:basedOn w:val="Default"/>
    <w:next w:val="Default"/>
    <w:rPr>
      <w:color w:val="auto"/>
    </w:rPr>
  </w:style>
  <w:style w:type="table" w:styleId="Lentelstinklelis">
    <w:name w:val="Table Grid"/>
    <w:basedOn w:val="prastojilentel"/>
    <w:uiPriority w:val="39"/>
    <w:rsid w:val="00DF4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12F8A"/>
    <w:pPr>
      <w:suppressAutoHyphens/>
      <w:autoSpaceDN w:val="0"/>
      <w:textAlignment w:val="baseline"/>
    </w:pPr>
    <w:rPr>
      <w:rFonts w:eastAsia="Calibri"/>
      <w:color w:val="000000"/>
      <w:kern w:val="3"/>
      <w:sz w:val="24"/>
      <w:szCs w:val="24"/>
      <w:lang w:val="en-GB" w:eastAsia="zh-CN"/>
    </w:rPr>
  </w:style>
  <w:style w:type="paragraph" w:styleId="Betarp">
    <w:name w:val="No Spacing"/>
    <w:uiPriority w:val="1"/>
    <w:qFormat/>
    <w:rsid w:val="00C651E6"/>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C651E6"/>
    <w:rPr>
      <w:b/>
      <w:bCs/>
    </w:rPr>
  </w:style>
  <w:style w:type="paragraph" w:styleId="Antrats">
    <w:name w:val="header"/>
    <w:basedOn w:val="prastasis"/>
    <w:link w:val="AntratsDiagrama1"/>
    <w:uiPriority w:val="99"/>
    <w:unhideWhenUsed/>
    <w:rsid w:val="007351FD"/>
    <w:pPr>
      <w:tabs>
        <w:tab w:val="center" w:pos="4819"/>
        <w:tab w:val="right" w:pos="9638"/>
      </w:tabs>
      <w:spacing w:line="240" w:lineRule="auto"/>
    </w:pPr>
  </w:style>
  <w:style w:type="character" w:customStyle="1" w:styleId="AntratsDiagrama1">
    <w:name w:val="Antraštės Diagrama1"/>
    <w:basedOn w:val="Numatytasispastraiposriftas"/>
    <w:link w:val="Antrats"/>
    <w:uiPriority w:val="99"/>
    <w:rsid w:val="007351FD"/>
    <w:rPr>
      <w:rFonts w:eastAsia="Calibri"/>
      <w:color w:val="000000"/>
      <w:kern w:val="1"/>
      <w:sz w:val="24"/>
      <w:szCs w:val="24"/>
      <w:lang w:eastAsia="ar-SA"/>
    </w:rPr>
  </w:style>
  <w:style w:type="paragraph" w:styleId="Porat">
    <w:name w:val="footer"/>
    <w:basedOn w:val="prastasis"/>
    <w:link w:val="PoratDiagrama1"/>
    <w:uiPriority w:val="99"/>
    <w:unhideWhenUsed/>
    <w:rsid w:val="007351FD"/>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7351FD"/>
    <w:rPr>
      <w:rFonts w:eastAsia="Calibri"/>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8168</Words>
  <Characters>4657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Diana Zukauskiene</cp:lastModifiedBy>
  <cp:revision>7</cp:revision>
  <cp:lastPrinted>2017-04-19T06:58:00Z</cp:lastPrinted>
  <dcterms:created xsi:type="dcterms:W3CDTF">2017-04-28T12:19:00Z</dcterms:created>
  <dcterms:modified xsi:type="dcterms:W3CDTF">2017-05-05T07:57:00Z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