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0A7" w:rsidRPr="00E930A7" w:rsidRDefault="00E930A7" w:rsidP="00E930A7">
      <w:pPr>
        <w:pStyle w:val="Betarp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kern w:val="3"/>
          <w:lang w:eastAsia="zh-CN"/>
        </w:rPr>
        <w:tab/>
      </w:r>
      <w:r>
        <w:rPr>
          <w:rFonts w:ascii="Times New Roman" w:hAnsi="Times New Roman"/>
          <w:kern w:val="3"/>
          <w:lang w:eastAsia="zh-CN"/>
        </w:rPr>
        <w:tab/>
      </w:r>
      <w:r>
        <w:rPr>
          <w:rFonts w:ascii="Times New Roman" w:hAnsi="Times New Roman"/>
          <w:kern w:val="3"/>
          <w:lang w:eastAsia="zh-CN"/>
        </w:rPr>
        <w:tab/>
      </w:r>
      <w:r>
        <w:rPr>
          <w:rFonts w:ascii="Times New Roman" w:hAnsi="Times New Roman"/>
          <w:kern w:val="3"/>
          <w:lang w:eastAsia="zh-CN"/>
        </w:rPr>
        <w:tab/>
      </w:r>
      <w:r w:rsidRPr="00E930A7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PRITARTA</w:t>
      </w:r>
    </w:p>
    <w:p w:rsidR="00E930A7" w:rsidRPr="00E930A7" w:rsidRDefault="00E930A7" w:rsidP="00E930A7">
      <w:pPr>
        <w:pStyle w:val="Betarp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 w:rsidRPr="00E930A7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Panevėžio rajono savivaldybės tarybos</w:t>
      </w:r>
    </w:p>
    <w:p w:rsidR="00E930A7" w:rsidRPr="00E930A7" w:rsidRDefault="00E930A7" w:rsidP="00E930A7">
      <w:pPr>
        <w:pStyle w:val="Betarp"/>
        <w:rPr>
          <w:rStyle w:val="Grietas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ab/>
      </w:r>
      <w:r w:rsidRPr="00E930A7">
        <w:rPr>
          <w:rStyle w:val="Grietas"/>
          <w:rFonts w:ascii="Times New Roman" w:hAnsi="Times New Roman"/>
          <w:b w:val="0"/>
          <w:color w:val="000000"/>
          <w:sz w:val="24"/>
          <w:szCs w:val="24"/>
        </w:rPr>
        <w:t>2017 m. gegužės 4 d. sprendimu Nr. T-87</w:t>
      </w:r>
    </w:p>
    <w:p w:rsidR="00E930A7" w:rsidRPr="00E930A7" w:rsidRDefault="00E930A7" w:rsidP="00E930A7">
      <w:pPr>
        <w:pStyle w:val="Betarp"/>
        <w:rPr>
          <w:rFonts w:ascii="Times New Roman" w:hAnsi="Times New Roman"/>
          <w:kern w:val="3"/>
          <w:lang w:eastAsia="zh-CN"/>
        </w:rPr>
      </w:pPr>
    </w:p>
    <w:p w:rsidR="009D7A99" w:rsidRPr="009D7A99" w:rsidRDefault="009D7A99" w:rsidP="009D7A9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</w:pPr>
      <w:r w:rsidRPr="009D7A99">
        <w:rPr>
          <w:rFonts w:ascii="Times New Roman" w:hAnsi="Times New Roman"/>
          <w:b/>
          <w:color w:val="000000"/>
          <w:kern w:val="3"/>
          <w:sz w:val="24"/>
          <w:szCs w:val="24"/>
          <w:lang w:eastAsia="zh-CN"/>
        </w:rPr>
        <w:t>PANEVĖŽIO R. NAUJAMIESČIO LOPŠELIO-DARŽELIO „BITUTĖ“</w:t>
      </w: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 xml:space="preserve"> </w:t>
      </w:r>
      <w:r w:rsidR="00A85CFE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DIREKTORĖS RAMUTĖS SKRICKIENĖS</w:t>
      </w: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 xml:space="preserve"> 2016 METŲ </w:t>
      </w:r>
      <w:r w:rsidR="00A85CFE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 xml:space="preserve">VEIKLOS </w:t>
      </w: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ATASKA</w:t>
      </w:r>
      <w:r w:rsidR="00A85CFE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I</w:t>
      </w: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TA</w:t>
      </w:r>
    </w:p>
    <w:p w:rsidR="009D7A99" w:rsidRPr="009D7A99" w:rsidRDefault="009D7A99" w:rsidP="009D7A9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</w:p>
    <w:p w:rsidR="009D7A99" w:rsidRPr="009D7A99" w:rsidRDefault="008F09CD" w:rsidP="008F09C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 xml:space="preserve">I. </w:t>
      </w:r>
      <w:r w:rsidR="009D7A99"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 xml:space="preserve">BENDRA INFORMACIJA APIE VADOVĄ IR </w:t>
      </w:r>
      <w:r w:rsidR="0060194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LOPŠELĮ-DARŽELĮ</w:t>
      </w:r>
    </w:p>
    <w:p w:rsidR="009D7A99" w:rsidRPr="009D7A99" w:rsidRDefault="009D7A99" w:rsidP="009D7A99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Panevėžio r. Naujamiesčio lopšelis-darželis „Bitutė“, V. Kudirkos g. 41, Naujamiesčio mstl., kodas – 190389381. Ikimokyklinio ugdymo mokykla, vykdomos švietimo programos: ikimokyklinio ugdymo programa, priešmokyklinio ugdymo programa.</w:t>
      </w:r>
    </w:p>
    <w:p w:rsidR="009D7A99" w:rsidRPr="009D7A99" w:rsidRDefault="009D7A99" w:rsidP="009D7A99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</w:pPr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 xml:space="preserve">Direktorė Ramutė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Skrickienė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,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vadybinis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darbo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stažas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 xml:space="preserve"> – 25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metai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 xml:space="preserve">, </w:t>
      </w:r>
      <w:proofErr w:type="spellStart"/>
      <w:r w:rsidR="00A85CFE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antroji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kvalifikacinė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kategorija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.</w:t>
      </w:r>
    </w:p>
    <w:p w:rsidR="009D7A99" w:rsidRPr="009D7A99" w:rsidRDefault="009D7A99" w:rsidP="008F09CD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</w:pP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Darbuotojai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  <w:t>:</w:t>
      </w:r>
    </w:p>
    <w:tbl>
      <w:tblPr>
        <w:tblW w:w="1017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6930"/>
        <w:gridCol w:w="2672"/>
      </w:tblGrid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Eil</w:t>
            </w:r>
            <w:proofErr w:type="spellEnd"/>
            <w:r w:rsidRPr="009D7A99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.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Nr</w:t>
            </w:r>
            <w:proofErr w:type="spellEnd"/>
            <w:r w:rsidRPr="009D7A99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2016-12-31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Bendras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darbuotojų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skaičius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27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Pedagoginių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darbuotojų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skaičius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13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Iš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jų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:</w:t>
            </w: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vadovų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mokytojų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pagrindinėse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pareigose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9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mokytojų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nepagrindinėse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pareigose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proofErr w:type="gram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pagalbos</w:t>
            </w:r>
            <w:proofErr w:type="spellEnd"/>
            <w:proofErr w:type="gram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mokiniui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specialistai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(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psichologas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,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soc.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pedagogas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, spec.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pedagogas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,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logopedas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,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mokytojo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padėjėjas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,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bibliotekininkas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ir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t.t.)</w:t>
            </w: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Atestuotų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pedagoginių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darbuotojų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skaičius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:</w:t>
            </w: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Turinčių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eksperto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kvalifikacinę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kategoriją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0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Turinčių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mokytojo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metodininko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kvalifikacinę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kategoriją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Turinčių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vyresniojo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mokytojo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kvalifikacinę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kategoriją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5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Turinčių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mokytojo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kvalifikacinę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kategoriją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5</w:t>
            </w:r>
          </w:p>
        </w:tc>
      </w:tr>
      <w:tr w:rsidR="009D7A99" w:rsidRPr="009D7A99" w:rsidTr="009D7A99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8F09CD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Neatestuotų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pedagoginių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darbuotojų</w:t>
            </w:r>
            <w:proofErr w:type="spellEnd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8F09CD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GB" w:eastAsia="zh-CN"/>
              </w:rPr>
              <w:t>skaičius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0</w:t>
            </w:r>
          </w:p>
        </w:tc>
      </w:tr>
    </w:tbl>
    <w:p w:rsidR="009D7A99" w:rsidRPr="009D7A99" w:rsidRDefault="009D7A99" w:rsidP="009D7A99">
      <w:pPr>
        <w:suppressLineNumbers/>
        <w:tabs>
          <w:tab w:val="left" w:pos="720"/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ab/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Į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staigos prioritetinės srit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y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s buvo vaikų fizinis aktyvumas ir matematinių gebėjimų stiprinimas. Kadangi n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ėra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sporto salės, inici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juota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, kad priešmokyklinio ugdymo grupės miegamojo patalpose, įsigijus mobilias lovas, atsirastų erdvė ir būtų sudaryta galimybė vaikams sportuoti, šokti sportinius šokius, lankyti jogos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užsiėmimus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.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K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ieme įrengta aikštelė su krepšinio stovu ir takas, padengti šiuolaikine sportine danga, laipiojimo įrenginys, buomai pusiausvyrai ugdyti. Laimėjus sveikatos projektą, pasiraš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yta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bendradarbiavimo sutart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is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su Panevėžio lopšeliu-darželiu „Vyturėlis“, kurio baseine 5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–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6 metų ugdytiniai turėjo 40 plaukymo pamokų ir dauguma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priešmokyklinukų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išmoko plaukti. </w:t>
      </w:r>
    </w:p>
    <w:p w:rsidR="009D7A99" w:rsidRPr="009D7A99" w:rsidRDefault="009D7A99" w:rsidP="009D7A99">
      <w:pPr>
        <w:suppressLineNumbers/>
        <w:tabs>
          <w:tab w:val="left" w:pos="720"/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ab/>
        <w:t>Įsig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yta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daug priemonių vaikų matematiniams gebėjimams ugdyti.</w:t>
      </w:r>
      <w:r w:rsidR="001B4C44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nici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juota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Panevėžio rajono švietimo centro projekto „Pozityvi tėvystė“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partnerystė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. Tėvai gav</w:t>
      </w:r>
      <w:r w:rsidR="001B4C44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o kokybišką švietimo paslaugą. 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Rodom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as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pilietiškumo pavyzd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ys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miestelio bendruomenei: Vasario 16-osios proga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pa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puoš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ti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miestelio medži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ai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T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rispalvės simboliais, dal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yti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vaikų pagamint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sveikinimo atviruk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ai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.</w:t>
      </w:r>
      <w:r w:rsidR="001B4C44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Direktorė 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šrink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ta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rajono ikimokyklinio ir priešmokyklinio ugdymo metodinio būrelio pirmininke.</w:t>
      </w:r>
      <w:r w:rsidR="001B4C44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Kartu su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Dembavos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lopšelio-darželio „Smalsutis“ direktore Daina Murauskiene pareng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ta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kvalifikacijos tobulinimo program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„Ikimokyklinio ugdymo programos tobulinimas, vadovaujantis Pasiekimų aprašu“ ir ve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sti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seminar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ai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Pasvalio, Kupiškio, Rokiškio, Šiaulių rajonų pedagogams. </w:t>
      </w:r>
    </w:p>
    <w:p w:rsidR="00A85CFE" w:rsidRPr="009D7A99" w:rsidRDefault="009D7A99" w:rsidP="008F09C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Daugelį metų rajono edukacinių aplinkų </w:t>
      </w:r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apžiūros-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konkurs</w:t>
      </w:r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o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laimėtojai ir prizininkai, todėl įstaiga dalijasi savo patirtimi, kaip originaliai ir funkcionaliai įrengti lauko ir vidaus edukacines aplinkas, kad jos būtų patrauklios ikimokyklinukams, skatintų juos pažinti, tyrinėti, veikti. Edukacin</w:t>
      </w:r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ė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s aplink</w:t>
      </w:r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o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s pristat</w:t>
      </w:r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>ytos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Europos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Regionų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komiteto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(RK)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Baltijos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šalių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atstovų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susitikimo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Panevėžio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rajone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dalyviams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,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bendradarbiavimo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partneriams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: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Pasvalio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lopšelio-darželio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„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Liepaitė</w:t>
      </w:r>
      <w:proofErr w:type="spellEnd"/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“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,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Pakruojo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r</w:t>
      </w:r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.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Linkuvos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lopšelio-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lastRenderedPageBreak/>
        <w:t>darželio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„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Šaltinėlis</w:t>
      </w:r>
      <w:proofErr w:type="spellEnd"/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“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,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Panevėžio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lopšelio-darželio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„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Kastytis</w:t>
      </w:r>
      <w:r w:rsidR="00A85CFE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“</w:t>
      </w:r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,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Smilgių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gimnazijos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ikimokyklinio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ugdymo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skyriaus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 xml:space="preserve"> </w:t>
      </w:r>
      <w:proofErr w:type="spellStart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bendruomenėms</w:t>
      </w:r>
      <w:proofErr w:type="spellEnd"/>
      <w:r w:rsidRPr="009D7A99">
        <w:rPr>
          <w:rFonts w:ascii="Times New Roman" w:hAnsi="Times New Roman"/>
          <w:color w:val="000000"/>
          <w:kern w:val="3"/>
          <w:sz w:val="24"/>
          <w:szCs w:val="24"/>
          <w:shd w:val="clear" w:color="auto" w:fill="FFFFFF"/>
          <w:lang w:val="en-GB" w:eastAsia="zh-CN"/>
        </w:rPr>
        <w:t>.</w:t>
      </w:r>
    </w:p>
    <w:p w:rsidR="009D7A99" w:rsidRPr="009D7A99" w:rsidRDefault="009D7A99" w:rsidP="001B4C4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Lopšelis-darželis yra vienintelė ikimokyklinio ugdymo įstaiga seniūnijoje. Ją lanko daugelio aplinkinių kaimų (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Liberiškio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,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Mickiemės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,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Vadaktėlių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, Pažibų, Ragainės, Kurmėnų, Berčiūnų) vaikai. Šalia lopšelio-darželio – Naujamiesčio gimnazija, su kuria palaikomi glaudūs bendradarbiavimo ryšiai. Veikia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M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uzikos mokykla, kultūros centras-dailės galerija, ambulatorija, palaikomojo gydymo ir slaugos ligoninė, biblioteka, gaisrinė. Nuoširdžiai bendradarbiau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jant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su šių įstaigų vadovais, sudarom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os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sąlyg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o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s ugdytinių socializacijai. Miestelyje veikia keletas mažų įmonių, aplinkui kuriasi stiprūs ūkiai. 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Š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eimų materialinė padėtis – vidutiniška, dauguma jaunų šeimų augina po vieną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ar 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du vaikus.</w:t>
      </w:r>
    </w:p>
    <w:p w:rsidR="009D7A99" w:rsidRPr="009D7A99" w:rsidRDefault="009D7A99" w:rsidP="00040C81">
      <w:pPr>
        <w:suppressLineNumbers/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</w:pP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 xml:space="preserve">II. </w:t>
      </w:r>
      <w:r w:rsidR="00A85CFE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VAIK</w:t>
      </w: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AI</w:t>
      </w:r>
    </w:p>
    <w:tbl>
      <w:tblPr>
        <w:tblW w:w="1017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1701"/>
        <w:gridCol w:w="709"/>
        <w:gridCol w:w="709"/>
        <w:gridCol w:w="992"/>
        <w:gridCol w:w="992"/>
        <w:gridCol w:w="763"/>
        <w:gridCol w:w="2923"/>
      </w:tblGrid>
      <w:tr w:rsidR="009D7A99" w:rsidRPr="009D7A99" w:rsidTr="009D7A99">
        <w:tc>
          <w:tcPr>
            <w:tcW w:w="13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58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Iš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jų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specialiųjų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ugdymosi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poreikių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turinčių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="00031788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vaik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ų</w:t>
            </w:r>
            <w:proofErr w:type="spellEnd"/>
          </w:p>
        </w:tc>
      </w:tr>
      <w:tr w:rsidR="009D7A99" w:rsidRPr="009D7A99" w:rsidTr="008F09CD">
        <w:tc>
          <w:tcPr>
            <w:tcW w:w="13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eastAsia="SimSun" w:cs="Tahoma"/>
                <w:kern w:val="3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Ikimokyklinio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ugdymo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grupė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1</w:t>
            </w:r>
            <w:r w:rsidR="00A85CF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–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5</w:t>
            </w:r>
            <w:r w:rsidR="00A85CF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–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9</w:t>
            </w:r>
            <w:r w:rsidR="00A85CF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–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11</w:t>
            </w:r>
            <w:r w:rsidR="00A85CF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–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Iš</w:t>
            </w:r>
            <w:proofErr w:type="spellEnd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viso</w:t>
            </w:r>
            <w:proofErr w:type="spellEnd"/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</w:tr>
      <w:tr w:rsidR="009D7A99" w:rsidRPr="009D7A99" w:rsidTr="008F09CD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2015-09-01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73</w:t>
            </w: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27</w:t>
            </w:r>
          </w:p>
        </w:tc>
      </w:tr>
      <w:tr w:rsidR="009D7A99" w:rsidRPr="009D7A99" w:rsidTr="008F09CD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2016-09-01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  <w:tc>
          <w:tcPr>
            <w:tcW w:w="2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14</w:t>
            </w:r>
          </w:p>
        </w:tc>
      </w:tr>
    </w:tbl>
    <w:p w:rsidR="009D7A99" w:rsidRPr="009D7A99" w:rsidRDefault="009D7A99" w:rsidP="008F09CD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Naujamiesčio gimnazijos autobusu buvo pavežama į lopšelį-darželį ir iš jo 3 proc</w:t>
      </w:r>
      <w:r w:rsidR="00A85CFE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>.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ugdytinių.</w:t>
      </w:r>
    </w:p>
    <w:p w:rsidR="009D7A99" w:rsidRPr="009D7A99" w:rsidRDefault="00A85CFE" w:rsidP="00A85CFE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U</w:t>
      </w:r>
      <w:r w:rsidR="009D7A99" w:rsidRPr="009D7A99">
        <w:rPr>
          <w:rFonts w:ascii="Times New Roman" w:hAnsi="Times New Roman"/>
          <w:color w:val="000000"/>
          <w:kern w:val="3"/>
          <w:sz w:val="24"/>
          <w:szCs w:val="24"/>
          <w:lang w:eastAsia="zh-CN"/>
        </w:rPr>
        <w:t>gdytinių lankomumas yra 67 proc. Pagrindinės nelankymo priežastys: vaikų sergamumas, mokinių atostogos, tėvų darbas slankiu grafiku, tėvų atostogos įvairiu metų laiku.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9"/>
        <w:gridCol w:w="2839"/>
        <w:gridCol w:w="3229"/>
      </w:tblGrid>
      <w:tr w:rsidR="009D7A99" w:rsidRPr="009D7A99" w:rsidTr="009D7A99"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A85CFE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Vaik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ų, gyvenančių šeimose</w:t>
            </w: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,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skaičius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Proc. nuo </w:t>
            </w:r>
            <w:r w:rsidR="00A85CFE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vaik</w:t>
            </w: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ų skaičiaus</w:t>
            </w:r>
          </w:p>
        </w:tc>
      </w:tr>
      <w:tr w:rsidR="009D7A99" w:rsidRPr="009D7A99" w:rsidTr="009D7A99"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iCs/>
                <w:color w:val="000000"/>
                <w:kern w:val="3"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iCs/>
                <w:color w:val="000000"/>
                <w:kern w:val="3"/>
                <w:sz w:val="24"/>
                <w:szCs w:val="24"/>
                <w:lang w:eastAsia="zh-CN"/>
              </w:rPr>
              <w:t>10,4</w:t>
            </w:r>
            <w:r w:rsidR="00A85CFE">
              <w:rPr>
                <w:rFonts w:ascii="Times New Roman" w:hAnsi="Times New Roman"/>
                <w:iCs/>
                <w:color w:val="000000"/>
                <w:kern w:val="3"/>
                <w:sz w:val="24"/>
                <w:szCs w:val="24"/>
                <w:lang w:eastAsia="zh-CN"/>
              </w:rPr>
              <w:t xml:space="preserve"> proc.</w:t>
            </w:r>
          </w:p>
        </w:tc>
      </w:tr>
      <w:tr w:rsidR="009D7A99" w:rsidRPr="009D7A99" w:rsidTr="009D7A99"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7,5</w:t>
            </w:r>
            <w:r w:rsidR="00A85CF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proc.</w:t>
            </w:r>
          </w:p>
        </w:tc>
      </w:tr>
    </w:tbl>
    <w:p w:rsidR="009D7A99" w:rsidRPr="009D7A99" w:rsidRDefault="009D7A99" w:rsidP="009D7A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tbl>
      <w:tblPr>
        <w:tblW w:w="1008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7"/>
        <w:gridCol w:w="3759"/>
        <w:gridCol w:w="2569"/>
      </w:tblGrid>
      <w:tr w:rsidR="009D7A99" w:rsidRPr="009D7A99" w:rsidTr="001B4C44">
        <w:tc>
          <w:tcPr>
            <w:tcW w:w="37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2A1C75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Vaik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ai</w:t>
            </w:r>
            <w:r w:rsidR="00A85CFE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,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 xml:space="preserve"> gaunantys nemokamą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maitinimą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2A1C75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Vaik</w:t>
            </w:r>
            <w:r w:rsidR="009D7A99"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ų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Proc. nuo</w:t>
            </w:r>
          </w:p>
          <w:p w:rsidR="009D7A99" w:rsidRPr="009D7A99" w:rsidRDefault="002A1C75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vaik</w:t>
            </w:r>
            <w:r w:rsidR="009D7A99"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ų skaičiaus</w:t>
            </w:r>
          </w:p>
        </w:tc>
      </w:tr>
      <w:tr w:rsidR="009D7A99" w:rsidRPr="009D7A99" w:rsidTr="001B4C44">
        <w:tc>
          <w:tcPr>
            <w:tcW w:w="37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eastAsia="SimSun" w:cs="Tahoma"/>
                <w:kern w:val="3"/>
              </w:rPr>
            </w:pP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15</w:t>
            </w:r>
            <w:r w:rsidR="00A85CF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 xml:space="preserve"> proc.</w:t>
            </w:r>
          </w:p>
        </w:tc>
      </w:tr>
    </w:tbl>
    <w:p w:rsidR="009D7A99" w:rsidRPr="009D7A99" w:rsidRDefault="009D7A99" w:rsidP="008F09CD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val="en-GB" w:eastAsia="zh-CN"/>
        </w:rPr>
      </w:pPr>
      <w:r w:rsidRPr="009D7A99">
        <w:rPr>
          <w:rFonts w:ascii="Times New Roman" w:hAnsi="Times New Roman"/>
          <w:color w:val="000000"/>
          <w:kern w:val="3"/>
          <w:sz w:val="24"/>
          <w:szCs w:val="24"/>
          <w:lang w:eastAsia="lt-LT"/>
        </w:rPr>
        <w:t xml:space="preserve">Dalyvavimas 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lt-LT"/>
        </w:rPr>
        <w:t>renginiuose:</w:t>
      </w:r>
    </w:p>
    <w:tbl>
      <w:tblPr>
        <w:tblW w:w="1008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4"/>
        <w:gridCol w:w="1461"/>
        <w:gridCol w:w="1544"/>
        <w:gridCol w:w="1337"/>
        <w:gridCol w:w="1500"/>
        <w:gridCol w:w="1379"/>
      </w:tblGrid>
      <w:tr w:rsidR="009D7A99" w:rsidRPr="009D7A99" w:rsidTr="001B4C44">
        <w:tc>
          <w:tcPr>
            <w:tcW w:w="4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Rajono (miesto)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Šalies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Tarptautiniuose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</w:tr>
      <w:tr w:rsidR="009D7A99" w:rsidRPr="009D7A99" w:rsidTr="001B4C44">
        <w:trPr>
          <w:trHeight w:val="975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Dalyvavusių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mokinių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Prizininkų/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Dalyvavusių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mokinių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Prizininkų/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laureatų skaičius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Dalyvavusių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mokinių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Prizininkų/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t-LT"/>
              </w:rPr>
              <w:t>laureatų skaičius</w:t>
            </w:r>
          </w:p>
        </w:tc>
      </w:tr>
      <w:tr w:rsidR="009D7A99" w:rsidRPr="009D7A99" w:rsidTr="001B4C44">
        <w:trPr>
          <w:trHeight w:val="300"/>
        </w:trPr>
        <w:tc>
          <w:tcPr>
            <w:tcW w:w="2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480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20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/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0</w:t>
            </w:r>
          </w:p>
        </w:tc>
      </w:tr>
    </w:tbl>
    <w:p w:rsidR="009D7A99" w:rsidRPr="009D7A99" w:rsidRDefault="009D7A99" w:rsidP="009D7A99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hAnsi="Times New Roman"/>
          <w:b/>
          <w:color w:val="000000"/>
          <w:kern w:val="3"/>
          <w:sz w:val="24"/>
          <w:szCs w:val="24"/>
          <w:lang w:val="en-GB" w:eastAsia="zh-CN"/>
        </w:rPr>
      </w:pPr>
    </w:p>
    <w:tbl>
      <w:tblPr>
        <w:tblW w:w="1007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1095"/>
        <w:gridCol w:w="1303"/>
        <w:gridCol w:w="1475"/>
        <w:gridCol w:w="1598"/>
        <w:gridCol w:w="1475"/>
        <w:gridCol w:w="1365"/>
      </w:tblGrid>
      <w:tr w:rsidR="009D7A99" w:rsidRPr="009D7A99" w:rsidTr="001B4C44"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Projektai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Socialiniai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shd w:val="clear" w:color="auto" w:fill="FFFFFF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shd w:val="clear" w:color="auto" w:fill="FFFFFF"/>
                <w:lang w:eastAsia="lt-LT"/>
              </w:rPr>
              <w:t>Prevenciniai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Mokomieji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Bendruomenės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Tarptautiniai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Kiti</w:t>
            </w:r>
          </w:p>
        </w:tc>
      </w:tr>
      <w:tr w:rsidR="009D7A99" w:rsidRPr="009D7A99" w:rsidTr="001B4C44"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EF7EFD" w:rsidRDefault="00EF7EFD" w:rsidP="00EF7E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 xml:space="preserve">Vykdytų projektų skaičius ir 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 xml:space="preserve">dalyvavusių </w:t>
            </w:r>
            <w:r w:rsidR="002A1C75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vaik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 xml:space="preserve">ų skaičius (proc. nuo bendro </w:t>
            </w:r>
            <w:r w:rsidR="002A1C75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vaik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ų skaičiaus)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</w:p>
        </w:tc>
      </w:tr>
      <w:tr w:rsidR="009D7A99" w:rsidRPr="009D7A99" w:rsidTr="001B4C44"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4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/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123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(</w:t>
            </w:r>
            <w:r w:rsidRPr="009D7A99">
              <w:rPr>
                <w:rFonts w:ascii="Times New Roman" w:hAnsi="Times New Roman"/>
                <w:kern w:val="3"/>
                <w:sz w:val="24"/>
                <w:szCs w:val="24"/>
                <w:lang w:eastAsia="lt-LT"/>
              </w:rPr>
              <w:t>100</w:t>
            </w:r>
            <w:r w:rsidR="002A1C75">
              <w:rPr>
                <w:rFonts w:ascii="Times New Roman" w:hAnsi="Times New Roman"/>
                <w:kern w:val="3"/>
                <w:sz w:val="24"/>
                <w:szCs w:val="24"/>
                <w:lang w:eastAsia="lt-LT"/>
              </w:rPr>
              <w:t xml:space="preserve"> proc.</w:t>
            </w:r>
            <w:r w:rsidRPr="009D7A99">
              <w:rPr>
                <w:rFonts w:ascii="Times New Roman" w:hAnsi="Times New Roman"/>
                <w:kern w:val="3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75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1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/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20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(29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proc.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75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1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/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42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(60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proc.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75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1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/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37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</w:pP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(53</w:t>
            </w:r>
            <w:r w:rsidR="002A1C75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 xml:space="preserve"> proc.</w:t>
            </w:r>
            <w:r w:rsidRPr="009D7A99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C75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1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/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24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(34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proc.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GB" w:eastAsia="zh-CN"/>
              </w:rPr>
              <w:t>0</w:t>
            </w:r>
          </w:p>
        </w:tc>
      </w:tr>
    </w:tbl>
    <w:p w:rsidR="009D7A99" w:rsidRPr="009D7A99" w:rsidRDefault="009D7A99" w:rsidP="009D7A9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tbl>
      <w:tblPr>
        <w:tblW w:w="1007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7"/>
        <w:gridCol w:w="1386"/>
        <w:gridCol w:w="1351"/>
        <w:gridCol w:w="4556"/>
      </w:tblGrid>
      <w:tr w:rsidR="009D7A99" w:rsidRPr="009D7A99" w:rsidTr="001B4C44">
        <w:tc>
          <w:tcPr>
            <w:tcW w:w="2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2A1C75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Vaik</w:t>
            </w:r>
            <w:r w:rsidR="009D7A99" w:rsidRPr="009D7A9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  <w:t>ų, turinčių specialiųjų ugdymosi poreikių, skaičius</w:t>
            </w:r>
          </w:p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t-LT"/>
              </w:rPr>
            </w:pPr>
          </w:p>
        </w:tc>
        <w:tc>
          <w:tcPr>
            <w:tcW w:w="72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Proc. nuo 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vaik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ų skaičiaus 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–</w:t>
            </w: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57</w:t>
            </w:r>
          </w:p>
        </w:tc>
      </w:tr>
      <w:tr w:rsidR="009D7A99" w:rsidRPr="009D7A99" w:rsidTr="001B4C44">
        <w:trPr>
          <w:trHeight w:val="285"/>
        </w:trPr>
        <w:tc>
          <w:tcPr>
            <w:tcW w:w="2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eastAsia="SimSun" w:cs="Tahoma"/>
                <w:kern w:val="3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Didelių poreikių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Vidutinių poreikių</w:t>
            </w:r>
          </w:p>
        </w:tc>
        <w:tc>
          <w:tcPr>
            <w:tcW w:w="455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Nedidelių poreikių  </w:t>
            </w:r>
          </w:p>
        </w:tc>
      </w:tr>
      <w:tr w:rsidR="009D7A99" w:rsidRPr="009D7A99" w:rsidTr="001B4C44">
        <w:trPr>
          <w:trHeight w:val="495"/>
        </w:trPr>
        <w:tc>
          <w:tcPr>
            <w:tcW w:w="2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eastAsia="SimSun" w:cs="Tahoma"/>
                <w:kern w:val="3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5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proc.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4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proc.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7A99" w:rsidRPr="009D7A99" w:rsidRDefault="009D7A99" w:rsidP="009D7A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</w:pPr>
            <w:r w:rsidRPr="009D7A99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>31</w:t>
            </w:r>
            <w:r w:rsidR="002A1C75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lt-LT"/>
              </w:rPr>
              <w:t xml:space="preserve"> proc.</w:t>
            </w:r>
          </w:p>
        </w:tc>
      </w:tr>
    </w:tbl>
    <w:p w:rsidR="009D7A99" w:rsidRPr="001B4C44" w:rsidRDefault="009D7A99" w:rsidP="00E930A7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D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irba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logoped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as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, kuris geba ištaisyti daugelio vaikų kalbos trūkumus. Pedagoginė-psichologinė tarnyba, ištyrusi vaikus, rekomenduoja jiems psichologo,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kineziterapeuto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pagalbą. Susiduriam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su problema, kad n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ėra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šių specialistų įstaigoje, o tėvai neturi galimybių ieškoti mieste ir vaikus nuvežti konsultacijoms, todėl vaikai negauna rekomenduotos pagalbos.</w:t>
      </w:r>
    </w:p>
    <w:p w:rsidR="009D7A99" w:rsidRPr="009D7A99" w:rsidRDefault="009D7A99" w:rsidP="002A1C7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/>
          <w:color w:val="000000"/>
          <w:kern w:val="3"/>
          <w:sz w:val="24"/>
          <w:szCs w:val="24"/>
          <w:lang w:eastAsia="zh-CN"/>
        </w:rPr>
        <w:t xml:space="preserve">III. INFORMACIJA APIE </w:t>
      </w:r>
      <w:r w:rsidR="002A1C75">
        <w:rPr>
          <w:rFonts w:ascii="Times New Roman" w:hAnsi="Times New Roman"/>
          <w:b/>
          <w:color w:val="000000"/>
          <w:kern w:val="3"/>
          <w:sz w:val="24"/>
          <w:szCs w:val="24"/>
          <w:lang w:eastAsia="zh-CN"/>
        </w:rPr>
        <w:t>VAIK</w:t>
      </w:r>
      <w:r w:rsidRPr="009D7A99">
        <w:rPr>
          <w:rFonts w:ascii="Times New Roman" w:hAnsi="Times New Roman"/>
          <w:b/>
          <w:color w:val="000000"/>
          <w:kern w:val="3"/>
          <w:sz w:val="24"/>
          <w:szCs w:val="24"/>
          <w:lang w:eastAsia="zh-CN"/>
        </w:rPr>
        <w:t>Ų VEIKLOS REZULTATUS</w:t>
      </w:r>
    </w:p>
    <w:p w:rsidR="009D7A99" w:rsidRPr="009D7A99" w:rsidRDefault="009D7A99" w:rsidP="009D7A99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Ikimokyklinio amžiaus vaikai du kartus per metus vertinami pagal aštuoniolika pasiekimo sričių,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priešmokyklinukai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– pagal penkias kompetencijas. Vertinimo informaciją kaupia grupių auklėtojos aplankuose ir elektroniniame dienyne „Mūsų darželis“.</w:t>
      </w:r>
    </w:p>
    <w:p w:rsidR="009D7A99" w:rsidRPr="009D7A99" w:rsidRDefault="009D7A99" w:rsidP="009D7A99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Vertinimas padeda pedagogams rašant savaitinius planus, numatant individualią veiklą, diferencijuojant užduotis, rengiant rekomendaciją pradinių klasių mokytojui. </w:t>
      </w:r>
    </w:p>
    <w:p w:rsidR="009D7A99" w:rsidRPr="009D7A99" w:rsidRDefault="009D7A99" w:rsidP="009D7A99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Pagal vaikų vertinimo rezultatus išskiriam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os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prioritetin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ė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s srit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y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s metiniame plane ir, atsižvelg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iant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į jas, planuojam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os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ugdymo priemon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ės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, literatūros įsigijim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as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, edukacini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ai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rengini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ai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, pedagogų kvalifikacijos kėlim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as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. Tokiu būdu tikslingai panaudojamos mokinio krepšelio lėšos priemonėms įsigyti ir kvalifikacijai kelti.</w:t>
      </w:r>
    </w:p>
    <w:p w:rsidR="009D7A99" w:rsidRPr="009D7A99" w:rsidRDefault="009D7A99" w:rsidP="001B4C44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Vaikų vertinimo rezultatai padeda teikiant informaciją ugdytinių tėvams apie vaikų pažangą ir pasiekimus, juos konsultuojant, bendrai siekiant vaiko p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ažangos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.</w:t>
      </w:r>
    </w:p>
    <w:p w:rsidR="009D7A99" w:rsidRPr="009D7A99" w:rsidRDefault="009D7A99" w:rsidP="002A1C7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IV. PEDAGOGAI</w:t>
      </w:r>
    </w:p>
    <w:p w:rsidR="009D7A99" w:rsidRPr="009D7A99" w:rsidRDefault="002A1C75" w:rsidP="009D7A99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bCs/>
          <w:kern w:val="3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P</w:t>
      </w:r>
      <w:r w:rsidR="009D7A99"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edagogų kvalifikacijos tobulinimo prioritetai:</w:t>
      </w:r>
      <w:r w:rsidR="009D7A99" w:rsidRPr="009D7A99">
        <w:rPr>
          <w:rFonts w:ascii="Times New Roman" w:hAnsi="Times New Roman"/>
          <w:bCs/>
          <w:color w:val="FF0000"/>
          <w:kern w:val="3"/>
          <w:sz w:val="24"/>
          <w:szCs w:val="24"/>
          <w:lang w:eastAsia="zh-CN"/>
        </w:rPr>
        <w:t xml:space="preserve"> </w:t>
      </w:r>
      <w:r w:rsidR="009D7A99" w:rsidRPr="009D7A99">
        <w:rPr>
          <w:rFonts w:ascii="Times New Roman" w:hAnsi="Times New Roman"/>
          <w:bCs/>
          <w:kern w:val="3"/>
          <w:sz w:val="24"/>
          <w:szCs w:val="24"/>
          <w:lang w:eastAsia="zh-CN"/>
        </w:rPr>
        <w:t>vaikų sveikatos stiprinimas, fizinis aktyvumas ir kūno kultūra, berniukų ir mergaičių ugdymo ypatumai.</w:t>
      </w:r>
    </w:p>
    <w:p w:rsidR="009D7A99" w:rsidRPr="001B4C44" w:rsidRDefault="009D7A99" w:rsidP="009D7A9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ab/>
        <w:t>Didžiausi pedagoginės veiklos pasiekimai: įdiegtas elektroninis dienynas „Mūsų darželis“, IKT panaudojimas ugdymo ir tėvų informavimo srityse, atviros pedagogų veiklos savo įstaigos pedagogams ir tėvams. Anglų kalbos mokytoja kartu su vaikais dalyvauja tarptautiniame projekte „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Say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hello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to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the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</w:t>
      </w:r>
      <w:proofErr w:type="spellStart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world</w:t>
      </w:r>
      <w:proofErr w:type="spellEnd"/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“, kitos auklėtojos – įvairiuose </w:t>
      </w:r>
      <w:r w:rsidR="002A1C75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šalies</w:t>
      </w:r>
      <w:r w:rsidRPr="009D7A99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 xml:space="preserve"> projektuose.</w:t>
      </w:r>
    </w:p>
    <w:p w:rsidR="009D7A99" w:rsidRPr="009D7A99" w:rsidRDefault="009D7A99" w:rsidP="008F09C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V. FINANSAVIMAS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134"/>
        <w:gridCol w:w="1417"/>
        <w:gridCol w:w="992"/>
        <w:gridCol w:w="2552"/>
      </w:tblGrid>
      <w:tr w:rsidR="009D7A99" w:rsidRPr="009D7A99" w:rsidTr="00EF7EFD">
        <w:trPr>
          <w:trHeight w:val="898"/>
        </w:trPr>
        <w:tc>
          <w:tcPr>
            <w:tcW w:w="817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M</w:t>
            </w:r>
            <w:r w:rsidR="00EF7EFD">
              <w:rPr>
                <w:rFonts w:ascii="Times New Roman" w:eastAsia="SimSun" w:hAnsi="Times New Roman"/>
                <w:kern w:val="3"/>
                <w:sz w:val="24"/>
                <w:szCs w:val="24"/>
              </w:rPr>
              <w:t>M</w:t>
            </w: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etai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B</w:t>
            </w:r>
            <w:r w:rsidR="00EF7EFD">
              <w:rPr>
                <w:rFonts w:ascii="Times New Roman" w:eastAsia="SimSun" w:hAnsi="Times New Roman"/>
                <w:kern w:val="3"/>
                <w:sz w:val="24"/>
                <w:szCs w:val="24"/>
              </w:rPr>
              <w:t>B</w:t>
            </w: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iudžeto</w:t>
            </w:r>
            <w:proofErr w:type="spellEnd"/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lėšos  </w:t>
            </w:r>
          </w:p>
        </w:tc>
        <w:tc>
          <w:tcPr>
            <w:tcW w:w="1701" w:type="dxa"/>
            <w:shd w:val="clear" w:color="auto" w:fill="auto"/>
          </w:tcPr>
          <w:p w:rsidR="00EF7EFD" w:rsidRDefault="00EF7EFD" w:rsidP="00EF7EFD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  <w:p w:rsidR="009D7A99" w:rsidRPr="009D7A99" w:rsidRDefault="00EF7EFD" w:rsidP="00EF7EFD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M</w:t>
            </w:r>
            <w:r w:rsidR="009D7A99"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okinio krepšelio lėšos  </w:t>
            </w:r>
          </w:p>
        </w:tc>
        <w:tc>
          <w:tcPr>
            <w:tcW w:w="1134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S</w:t>
            </w:r>
            <w:r w:rsidR="00EF7EFD">
              <w:rPr>
                <w:rFonts w:ascii="Times New Roman" w:eastAsia="SimSun" w:hAnsi="Times New Roman"/>
                <w:kern w:val="3"/>
                <w:sz w:val="24"/>
                <w:szCs w:val="24"/>
              </w:rPr>
              <w:t>S</w:t>
            </w: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pec</w:t>
            </w:r>
            <w:proofErr w:type="spellEnd"/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. lėšos</w:t>
            </w:r>
          </w:p>
        </w:tc>
        <w:tc>
          <w:tcPr>
            <w:tcW w:w="1417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N</w:t>
            </w:r>
            <w:r w:rsidR="00EF7EFD">
              <w:rPr>
                <w:rFonts w:ascii="Times New Roman" w:eastAsia="SimSun" w:hAnsi="Times New Roman"/>
                <w:kern w:val="3"/>
                <w:sz w:val="24"/>
                <w:szCs w:val="24"/>
              </w:rPr>
              <w:t>N</w:t>
            </w: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emokamas</w:t>
            </w:r>
            <w:proofErr w:type="spellEnd"/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mokinių maitinimas  </w:t>
            </w:r>
          </w:p>
        </w:tc>
        <w:tc>
          <w:tcPr>
            <w:tcW w:w="992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2 proc. parama</w:t>
            </w:r>
          </w:p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D7A99" w:rsidRPr="009D7A99" w:rsidRDefault="009D7A99" w:rsidP="00EF7EFD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Kitos lėšos (parama, projektai, konkursai)  </w:t>
            </w:r>
          </w:p>
        </w:tc>
      </w:tr>
      <w:tr w:rsidR="009D7A99" w:rsidRPr="009D7A99" w:rsidTr="00EF7EFD">
        <w:trPr>
          <w:trHeight w:val="517"/>
        </w:trPr>
        <w:tc>
          <w:tcPr>
            <w:tcW w:w="817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2</w:t>
            </w:r>
            <w:r w:rsidR="00EF7EFD">
              <w:rPr>
                <w:rFonts w:ascii="Times New Roman" w:eastAsia="SimSun" w:hAnsi="Times New Roman"/>
                <w:kern w:val="3"/>
                <w:sz w:val="24"/>
                <w:szCs w:val="24"/>
              </w:rPr>
              <w:t>2</w:t>
            </w: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016</w:t>
            </w:r>
          </w:p>
        </w:tc>
        <w:tc>
          <w:tcPr>
            <w:tcW w:w="1418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165 502,13</w:t>
            </w:r>
          </w:p>
        </w:tc>
        <w:tc>
          <w:tcPr>
            <w:tcW w:w="1701" w:type="dxa"/>
            <w:shd w:val="clear" w:color="auto" w:fill="auto"/>
          </w:tcPr>
          <w:p w:rsidR="009D7A99" w:rsidRPr="009D7A99" w:rsidRDefault="009D7A99" w:rsidP="00EF7EFD">
            <w:pPr>
              <w:widowControl w:val="0"/>
              <w:suppressAutoHyphens/>
              <w:autoSpaceDN w:val="0"/>
              <w:spacing w:line="254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6 458,86</w:t>
            </w:r>
          </w:p>
        </w:tc>
        <w:tc>
          <w:tcPr>
            <w:tcW w:w="1134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14 375,23</w:t>
            </w:r>
          </w:p>
        </w:tc>
        <w:tc>
          <w:tcPr>
            <w:tcW w:w="1417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846,15</w:t>
            </w:r>
          </w:p>
        </w:tc>
        <w:tc>
          <w:tcPr>
            <w:tcW w:w="992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185,31</w:t>
            </w:r>
          </w:p>
        </w:tc>
        <w:tc>
          <w:tcPr>
            <w:tcW w:w="2552" w:type="dxa"/>
            <w:shd w:val="clear" w:color="auto" w:fill="auto"/>
          </w:tcPr>
          <w:p w:rsidR="009D7A99" w:rsidRPr="009D7A99" w:rsidRDefault="009D7A99" w:rsidP="009D7A99">
            <w:pPr>
              <w:widowControl w:val="0"/>
              <w:suppressAutoHyphens/>
              <w:autoSpaceDN w:val="0"/>
              <w:spacing w:line="254" w:lineRule="auto"/>
              <w:ind w:firstLine="1293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9D7A99">
              <w:rPr>
                <w:rFonts w:ascii="Times New Roman" w:eastAsia="SimSun" w:hAnsi="Times New Roman"/>
                <w:kern w:val="3"/>
                <w:sz w:val="24"/>
                <w:szCs w:val="24"/>
              </w:rPr>
              <w:t>1 343,74</w:t>
            </w:r>
          </w:p>
        </w:tc>
      </w:tr>
    </w:tbl>
    <w:p w:rsidR="00715239" w:rsidRPr="009D7A99" w:rsidRDefault="009D7A99" w:rsidP="00E930A7">
      <w:pPr>
        <w:suppressAutoHyphens/>
        <w:autoSpaceDN w:val="0"/>
        <w:spacing w:after="0" w:line="240" w:lineRule="auto"/>
        <w:ind w:firstLine="1296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zh-CN"/>
        </w:rPr>
      </w:pP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>Gaunamos lėšos tikslingai panaudojamos ugdymo kokybei užtikrinti.</w:t>
      </w:r>
      <w:r w:rsidR="002A1C75">
        <w:rPr>
          <w:rFonts w:ascii="Times New Roman" w:hAnsi="Times New Roman"/>
          <w:kern w:val="3"/>
          <w:sz w:val="24"/>
          <w:szCs w:val="24"/>
          <w:lang w:eastAsia="zh-CN"/>
        </w:rPr>
        <w:t xml:space="preserve"> S</w:t>
      </w: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>usiduria</w:t>
      </w:r>
      <w:r w:rsidR="002A1C75">
        <w:rPr>
          <w:rFonts w:ascii="Times New Roman" w:hAnsi="Times New Roman"/>
          <w:kern w:val="3"/>
          <w:sz w:val="24"/>
          <w:szCs w:val="24"/>
          <w:lang w:eastAsia="zh-CN"/>
        </w:rPr>
        <w:t>ma</w:t>
      </w: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 xml:space="preserve"> ne tiek su finansavimo trūkumu, kiek su patalpų stygiumi, dėl kurio negalime užtikrinti kokybiško ir visuminio ugdymo. Gaunam</w:t>
      </w:r>
      <w:r w:rsidR="002A1C75">
        <w:rPr>
          <w:rFonts w:ascii="Times New Roman" w:hAnsi="Times New Roman"/>
          <w:kern w:val="3"/>
          <w:sz w:val="24"/>
          <w:szCs w:val="24"/>
          <w:lang w:eastAsia="zh-CN"/>
        </w:rPr>
        <w:t>a</w:t>
      </w: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 xml:space="preserve"> labai nedidel</w:t>
      </w:r>
      <w:r w:rsidR="002A1C75">
        <w:rPr>
          <w:rFonts w:ascii="Times New Roman" w:hAnsi="Times New Roman"/>
          <w:kern w:val="3"/>
          <w:sz w:val="24"/>
          <w:szCs w:val="24"/>
          <w:lang w:eastAsia="zh-CN"/>
        </w:rPr>
        <w:t>ė</w:t>
      </w: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 xml:space="preserve"> 2 proc</w:t>
      </w:r>
      <w:r w:rsidR="002A1C75">
        <w:rPr>
          <w:rFonts w:ascii="Times New Roman" w:hAnsi="Times New Roman"/>
          <w:kern w:val="3"/>
          <w:sz w:val="24"/>
          <w:szCs w:val="24"/>
          <w:lang w:eastAsia="zh-CN"/>
        </w:rPr>
        <w:t>. GPM</w:t>
      </w: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 xml:space="preserve"> param</w:t>
      </w:r>
      <w:r w:rsidR="002A1C75">
        <w:rPr>
          <w:rFonts w:ascii="Times New Roman" w:hAnsi="Times New Roman"/>
          <w:kern w:val="3"/>
          <w:sz w:val="24"/>
          <w:szCs w:val="24"/>
          <w:lang w:eastAsia="zh-CN"/>
        </w:rPr>
        <w:t>a</w:t>
      </w: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>, nes Naujamies</w:t>
      </w:r>
      <w:r w:rsidR="002A1C75">
        <w:rPr>
          <w:rFonts w:ascii="Times New Roman" w:hAnsi="Times New Roman"/>
          <w:kern w:val="3"/>
          <w:sz w:val="24"/>
          <w:szCs w:val="24"/>
          <w:lang w:eastAsia="zh-CN"/>
        </w:rPr>
        <w:t>čio mstl.</w:t>
      </w:r>
      <w:r w:rsidRPr="009D7A99">
        <w:rPr>
          <w:rFonts w:ascii="Times New Roman" w:hAnsi="Times New Roman"/>
          <w:kern w:val="3"/>
          <w:sz w:val="24"/>
          <w:szCs w:val="24"/>
          <w:lang w:eastAsia="zh-CN"/>
        </w:rPr>
        <w:t xml:space="preserve"> daug įstaigų ir organizacijų, prašančių šios paramos, o miestelio gyventojų</w:t>
      </w:r>
      <w:r w:rsidR="00715239">
        <w:rPr>
          <w:rFonts w:ascii="Times New Roman" w:hAnsi="Times New Roman"/>
          <w:kern w:val="3"/>
          <w:sz w:val="24"/>
          <w:szCs w:val="24"/>
          <w:lang w:eastAsia="zh-CN"/>
        </w:rPr>
        <w:t xml:space="preserve"> skaičius ir pajamos – riboti.</w:t>
      </w:r>
    </w:p>
    <w:p w:rsidR="00715239" w:rsidRDefault="00715239" w:rsidP="00715239">
      <w:pPr>
        <w:pStyle w:val="Standard"/>
        <w:ind w:left="851"/>
        <w:jc w:val="center"/>
        <w:rPr>
          <w:b/>
          <w:lang w:val="lt-LT"/>
        </w:rPr>
      </w:pPr>
      <w:r>
        <w:rPr>
          <w:b/>
          <w:lang w:val="lt-LT"/>
        </w:rPr>
        <w:t>VI. PROBLEMOS, SUSIJUSIOS SU ĮSTAIGOS VEIKLA, IR VADOVO SIŪLOMI JŲ SPRENDIMO BŪDAI</w:t>
      </w:r>
    </w:p>
    <w:p w:rsidR="00715239" w:rsidRDefault="00715239" w:rsidP="00715239">
      <w:pPr>
        <w:pStyle w:val="Standard"/>
        <w:ind w:firstLine="851"/>
        <w:jc w:val="both"/>
        <w:rPr>
          <w:b/>
          <w:lang w:val="lt-LT"/>
        </w:rPr>
      </w:pPr>
      <w:r w:rsidRPr="0030663B">
        <w:rPr>
          <w:lang w:val="lt-LT"/>
        </w:rPr>
        <w:t>Įstaigoje ugdoma dau</w:t>
      </w:r>
      <w:r>
        <w:rPr>
          <w:lang w:val="lt-LT"/>
        </w:rPr>
        <w:t>g vaikų, turinčių specialiųjų ugdymosi poreikių</w:t>
      </w:r>
      <w:r w:rsidRPr="0030663B">
        <w:rPr>
          <w:lang w:val="lt-LT"/>
        </w:rPr>
        <w:t xml:space="preserve">, todėl būtų tikslinga </w:t>
      </w:r>
      <w:r>
        <w:rPr>
          <w:lang w:val="lt-LT"/>
        </w:rPr>
        <w:t xml:space="preserve">įsteigti nors po 0,5 </w:t>
      </w:r>
      <w:r w:rsidRPr="0030663B">
        <w:rPr>
          <w:lang w:val="lt-LT"/>
        </w:rPr>
        <w:t>psichologo ir socialinio pedagogo pareigybės.</w:t>
      </w:r>
      <w:r>
        <w:rPr>
          <w:lang w:val="lt-LT"/>
        </w:rPr>
        <w:t xml:space="preserve"> </w:t>
      </w:r>
    </w:p>
    <w:p w:rsidR="00715239" w:rsidRDefault="00715239" w:rsidP="00715239">
      <w:pPr>
        <w:pStyle w:val="Betarp"/>
        <w:rPr>
          <w:rFonts w:ascii="Times New Roman" w:hAnsi="Times New Roman"/>
          <w:sz w:val="24"/>
          <w:szCs w:val="24"/>
        </w:rPr>
      </w:pPr>
    </w:p>
    <w:p w:rsidR="00715239" w:rsidRPr="00E930A7" w:rsidRDefault="00715239" w:rsidP="00E930A7">
      <w:pPr>
        <w:pStyle w:val="Betarp"/>
        <w:rPr>
          <w:rFonts w:ascii="Times New Roman" w:hAnsi="Times New Roman"/>
          <w:sz w:val="24"/>
          <w:szCs w:val="24"/>
        </w:rPr>
      </w:pPr>
      <w:r w:rsidRPr="002C3F1C">
        <w:rPr>
          <w:rFonts w:ascii="Times New Roman" w:hAnsi="Times New Roman"/>
          <w:sz w:val="24"/>
          <w:szCs w:val="24"/>
        </w:rPr>
        <w:t xml:space="preserve">Direktorė                                                                                                                  Ramutė </w:t>
      </w:r>
      <w:proofErr w:type="spellStart"/>
      <w:r w:rsidRPr="002C3F1C">
        <w:rPr>
          <w:rFonts w:ascii="Times New Roman" w:hAnsi="Times New Roman"/>
          <w:sz w:val="24"/>
          <w:szCs w:val="24"/>
        </w:rPr>
        <w:t>Skrickienė</w:t>
      </w:r>
      <w:proofErr w:type="spellEnd"/>
    </w:p>
    <w:p w:rsidR="00715239" w:rsidRDefault="00715239" w:rsidP="00715239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715239" w:rsidRDefault="00715239" w:rsidP="00715239">
      <w:pPr>
        <w:pStyle w:val="Standard"/>
        <w:rPr>
          <w:color w:val="auto"/>
        </w:rPr>
      </w:pPr>
    </w:p>
    <w:p w:rsidR="00715239" w:rsidRDefault="00715239" w:rsidP="00715239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715239" w:rsidRPr="00196F7E" w:rsidRDefault="00715239" w:rsidP="00196F7E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bookmarkStart w:id="0" w:name="_GoBack"/>
      <w:bookmarkEnd w:id="0"/>
      <w:proofErr w:type="spellEnd"/>
    </w:p>
    <w:sectPr w:rsidR="00715239" w:rsidRPr="00196F7E" w:rsidSect="00196F7E">
      <w:headerReference w:type="default" r:id="rId7"/>
      <w:pgSz w:w="11906" w:h="16838"/>
      <w:pgMar w:top="1440" w:right="424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30" w:rsidRDefault="00657C30" w:rsidP="00AB0C14">
      <w:pPr>
        <w:spacing w:after="0" w:line="240" w:lineRule="auto"/>
      </w:pPr>
      <w:r>
        <w:separator/>
      </w:r>
    </w:p>
  </w:endnote>
  <w:endnote w:type="continuationSeparator" w:id="0">
    <w:p w:rsidR="00657C30" w:rsidRDefault="00657C30" w:rsidP="00AB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30" w:rsidRDefault="00657C30" w:rsidP="00AB0C14">
      <w:pPr>
        <w:spacing w:after="0" w:line="240" w:lineRule="auto"/>
      </w:pPr>
      <w:r>
        <w:separator/>
      </w:r>
    </w:p>
  </w:footnote>
  <w:footnote w:type="continuationSeparator" w:id="0">
    <w:p w:rsidR="00657C30" w:rsidRDefault="00657C30" w:rsidP="00AB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95385"/>
      <w:docPartObj>
        <w:docPartGallery w:val="Page Numbers (Top of Page)"/>
        <w:docPartUnique/>
      </w:docPartObj>
    </w:sdtPr>
    <w:sdtContent>
      <w:p w:rsidR="00196F7E" w:rsidRDefault="00196F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B0C14" w:rsidRDefault="00AB0C1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03738"/>
    <w:multiLevelType w:val="hybridMultilevel"/>
    <w:tmpl w:val="17382190"/>
    <w:lvl w:ilvl="0" w:tplc="C72C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99"/>
    <w:rsid w:val="00031788"/>
    <w:rsid w:val="00040C81"/>
    <w:rsid w:val="00074BCA"/>
    <w:rsid w:val="00196F7E"/>
    <w:rsid w:val="001B4C44"/>
    <w:rsid w:val="002A1C75"/>
    <w:rsid w:val="0032751F"/>
    <w:rsid w:val="005237D6"/>
    <w:rsid w:val="0060194F"/>
    <w:rsid w:val="00657C30"/>
    <w:rsid w:val="00715239"/>
    <w:rsid w:val="00782BE7"/>
    <w:rsid w:val="007B2B6B"/>
    <w:rsid w:val="00814794"/>
    <w:rsid w:val="008F09CD"/>
    <w:rsid w:val="009D7A99"/>
    <w:rsid w:val="00A85CFE"/>
    <w:rsid w:val="00AB0C14"/>
    <w:rsid w:val="00D961D5"/>
    <w:rsid w:val="00E930A7"/>
    <w:rsid w:val="00E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5E5F-F5AF-438B-BD3C-067E9D58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9D7A99"/>
    <w:pPr>
      <w:ind w:firstLine="1293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9D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85CFE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715239"/>
    <w:pPr>
      <w:suppressAutoHyphens/>
      <w:autoSpaceDN w:val="0"/>
      <w:textAlignment w:val="baseline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  <w:style w:type="paragraph" w:styleId="Betarp">
    <w:name w:val="No Spacing"/>
    <w:uiPriority w:val="1"/>
    <w:qFormat/>
    <w:rsid w:val="00715239"/>
    <w:rPr>
      <w:sz w:val="22"/>
      <w:szCs w:val="22"/>
      <w:lang w:eastAsia="en-US"/>
    </w:rPr>
  </w:style>
  <w:style w:type="character" w:styleId="Grietas">
    <w:name w:val="Strong"/>
    <w:qFormat/>
    <w:rsid w:val="00E930A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B0C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0C1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B0C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0C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5265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 Verbiejiene</dc:creator>
  <cp:keywords/>
  <dc:description/>
  <cp:lastModifiedBy>Birute Goberiene</cp:lastModifiedBy>
  <cp:revision>6</cp:revision>
  <dcterms:created xsi:type="dcterms:W3CDTF">2017-04-28T12:16:00Z</dcterms:created>
  <dcterms:modified xsi:type="dcterms:W3CDTF">2017-05-05T06:21:00Z</dcterms:modified>
</cp:coreProperties>
</file>