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2C" w:rsidRPr="00CF002C" w:rsidRDefault="00CF002C" w:rsidP="00CF002C">
      <w:pPr>
        <w:pStyle w:val="Betarp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F002C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PRITARTA</w:t>
      </w:r>
    </w:p>
    <w:p w:rsidR="00CF002C" w:rsidRPr="00CF002C" w:rsidRDefault="00CF002C" w:rsidP="00CF002C">
      <w:pPr>
        <w:pStyle w:val="Betarp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 w:rsidRPr="00CF002C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Panevėžio rajono savivaldybės tarybos</w:t>
      </w:r>
    </w:p>
    <w:p w:rsidR="00CF002C" w:rsidRPr="00CF002C" w:rsidRDefault="00CF002C" w:rsidP="00CF002C">
      <w:pPr>
        <w:pStyle w:val="Betarp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 w:rsidRPr="00CF002C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2017 m. gegužės 4 d. sprendimu Nr. T-87</w:t>
      </w:r>
    </w:p>
    <w:p w:rsidR="00CF002C" w:rsidRPr="00CF002C" w:rsidRDefault="00CF002C" w:rsidP="00CF002C">
      <w:pPr>
        <w:pStyle w:val="Betarp"/>
        <w:rPr>
          <w:rFonts w:ascii="Times New Roman" w:hAnsi="Times New Roman"/>
        </w:rPr>
      </w:pPr>
    </w:p>
    <w:p w:rsidR="003C54D4" w:rsidRDefault="007406CB" w:rsidP="00465450">
      <w:pPr>
        <w:pStyle w:val="Betarp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F629DA">
        <w:rPr>
          <w:rFonts w:ascii="Times New Roman" w:hAnsi="Times New Roman"/>
          <w:b/>
          <w:sz w:val="24"/>
          <w:szCs w:val="24"/>
        </w:rPr>
        <w:t>PANEVĖŽIO R. MUZIKOS MOKYKLOS</w:t>
      </w:r>
      <w:r w:rsidR="003C54D4">
        <w:rPr>
          <w:rFonts w:ascii="Times New Roman" w:hAnsi="Times New Roman"/>
          <w:b/>
          <w:sz w:val="24"/>
          <w:szCs w:val="24"/>
        </w:rPr>
        <w:t xml:space="preserve"> DIREKTORĖS </w:t>
      </w:r>
    </w:p>
    <w:p w:rsidR="00C35A21" w:rsidRPr="00F629DA" w:rsidRDefault="003C54D4" w:rsidP="00465450">
      <w:pPr>
        <w:pStyle w:val="Betarp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LAIMOS PLANČIŪN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IENĖS</w:t>
      </w:r>
      <w:r w:rsidR="00BD7FA8">
        <w:rPr>
          <w:rFonts w:ascii="Times New Roman" w:hAnsi="Times New Roman"/>
          <w:b/>
          <w:sz w:val="24"/>
          <w:szCs w:val="24"/>
        </w:rPr>
        <w:t xml:space="preserve"> 2016 METŲ </w:t>
      </w:r>
      <w:r w:rsidR="002B7C81">
        <w:rPr>
          <w:rFonts w:ascii="Times New Roman" w:hAnsi="Times New Roman"/>
          <w:b/>
          <w:sz w:val="24"/>
          <w:szCs w:val="24"/>
        </w:rPr>
        <w:t xml:space="preserve">VEIKLOS </w:t>
      </w:r>
      <w:r w:rsidR="00DF0476" w:rsidRPr="00F629DA">
        <w:rPr>
          <w:rFonts w:ascii="Times New Roman" w:hAnsi="Times New Roman"/>
          <w:b/>
          <w:sz w:val="24"/>
          <w:szCs w:val="24"/>
        </w:rPr>
        <w:t>ATASKA</w:t>
      </w:r>
      <w:r w:rsidR="008734F8">
        <w:rPr>
          <w:rFonts w:ascii="Times New Roman" w:hAnsi="Times New Roman"/>
          <w:b/>
          <w:sz w:val="24"/>
          <w:szCs w:val="24"/>
        </w:rPr>
        <w:t>I</w:t>
      </w:r>
      <w:r w:rsidR="00DF0476" w:rsidRPr="00F629DA">
        <w:rPr>
          <w:rFonts w:ascii="Times New Roman" w:hAnsi="Times New Roman"/>
          <w:b/>
          <w:sz w:val="24"/>
          <w:szCs w:val="24"/>
        </w:rPr>
        <w:t>TA</w:t>
      </w:r>
    </w:p>
    <w:p w:rsidR="00C35A21" w:rsidRDefault="00C35A21" w:rsidP="00465450">
      <w:pPr>
        <w:pStyle w:val="Standard"/>
        <w:jc w:val="center"/>
        <w:rPr>
          <w:lang w:val="lt-LT"/>
        </w:rPr>
      </w:pPr>
    </w:p>
    <w:p w:rsidR="001033E8" w:rsidRPr="006540C9" w:rsidRDefault="00B725AD" w:rsidP="00465450">
      <w:pPr>
        <w:pStyle w:val="Standard"/>
        <w:ind w:left="108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</w:t>
      </w:r>
      <w:r w:rsidR="00140525">
        <w:rPr>
          <w:b/>
          <w:bCs/>
          <w:lang w:val="lt-LT"/>
        </w:rPr>
        <w:t xml:space="preserve">BENDRA INFORMACIJA </w:t>
      </w:r>
      <w:r w:rsidR="00DF0476">
        <w:rPr>
          <w:b/>
          <w:bCs/>
          <w:lang w:val="lt-LT"/>
        </w:rPr>
        <w:t>APIE MOKYKLOS VADOVĄ IR MOKYKLĄ</w:t>
      </w:r>
    </w:p>
    <w:p w:rsidR="00B6577C" w:rsidRPr="00841E52" w:rsidRDefault="002C4098" w:rsidP="008734F8">
      <w:pPr>
        <w:pStyle w:val="Default"/>
        <w:shd w:val="clear" w:color="auto" w:fill="FFFFFF"/>
        <w:ind w:firstLine="720"/>
        <w:jc w:val="both"/>
        <w:rPr>
          <w:noProof/>
        </w:rPr>
      </w:pPr>
      <w:r>
        <w:rPr>
          <w:noProof/>
        </w:rPr>
        <w:t>Panevėžio r. muzikos mokykla</w:t>
      </w:r>
      <w:r w:rsidR="003A6A7F">
        <w:rPr>
          <w:noProof/>
        </w:rPr>
        <w:t>,</w:t>
      </w:r>
      <w:r w:rsidR="00586CA3">
        <w:rPr>
          <w:noProof/>
        </w:rPr>
        <w:t xml:space="preserve"> Krekenavos mstl., Laisvės g. 18</w:t>
      </w:r>
      <w:r w:rsidR="00050BE9">
        <w:rPr>
          <w:noProof/>
        </w:rPr>
        <w:t>,</w:t>
      </w:r>
      <w:r w:rsidR="00586CA3">
        <w:rPr>
          <w:noProof/>
        </w:rPr>
        <w:t xml:space="preserve"> kodas 191823998. Grupė – neformaliojo vaikų </w:t>
      </w:r>
      <w:r w:rsidR="00054022" w:rsidRPr="00050BE9">
        <w:rPr>
          <w:noProof/>
          <w:color w:val="auto"/>
        </w:rPr>
        <w:t>švietimo mokykla ir formalųjį švietimą papildančio ugdymo mokykla</w:t>
      </w:r>
      <w:r w:rsidR="003E1629">
        <w:rPr>
          <w:noProof/>
        </w:rPr>
        <w:t xml:space="preserve">, mokymo kalba </w:t>
      </w:r>
      <w:r w:rsidR="002D411B">
        <w:rPr>
          <w:noProof/>
        </w:rPr>
        <w:t xml:space="preserve">– lietuvių, </w:t>
      </w:r>
      <w:r w:rsidR="00FA0936" w:rsidRPr="0053355C">
        <w:rPr>
          <w:noProof/>
        </w:rPr>
        <w:t xml:space="preserve">vykdomos švietimo </w:t>
      </w:r>
      <w:r w:rsidR="002D411B">
        <w:rPr>
          <w:noProof/>
        </w:rPr>
        <w:t>programos:</w:t>
      </w:r>
      <w:r w:rsidR="00586CA3">
        <w:rPr>
          <w:noProof/>
        </w:rPr>
        <w:t xml:space="preserve"> </w:t>
      </w:r>
      <w:r w:rsidR="00DE0034" w:rsidRPr="00DE0034">
        <w:rPr>
          <w:noProof/>
        </w:rPr>
        <w:t>pradinio</w:t>
      </w:r>
      <w:r w:rsidR="002D411B">
        <w:rPr>
          <w:noProof/>
        </w:rPr>
        <w:t xml:space="preserve"> ir pagrindinio</w:t>
      </w:r>
      <w:r w:rsidR="00DE0034" w:rsidRPr="00DE0034">
        <w:rPr>
          <w:noProof/>
        </w:rPr>
        <w:t xml:space="preserve"> muzikinio ugdymo</w:t>
      </w:r>
      <w:r w:rsidR="002D411B">
        <w:rPr>
          <w:noProof/>
        </w:rPr>
        <w:t xml:space="preserve">, kryptingo meninio ugdymo, </w:t>
      </w:r>
      <w:r w:rsidR="002D411B" w:rsidRPr="00DE0034">
        <w:rPr>
          <w:noProof/>
        </w:rPr>
        <w:t>profesinės linkmės muzikinio ugdymo (modulio)</w:t>
      </w:r>
      <w:r w:rsidR="002D411B">
        <w:rPr>
          <w:noProof/>
        </w:rPr>
        <w:t xml:space="preserve"> ir </w:t>
      </w:r>
      <w:r w:rsidR="002D411B" w:rsidRPr="00DE0034">
        <w:rPr>
          <w:noProof/>
        </w:rPr>
        <w:t>muzikos mėgėjų</w:t>
      </w:r>
      <w:r w:rsidR="002D411B">
        <w:rPr>
          <w:noProof/>
        </w:rPr>
        <w:t>.</w:t>
      </w:r>
      <w:r w:rsidR="00887DCE">
        <w:rPr>
          <w:noProof/>
        </w:rPr>
        <w:t xml:space="preserve"> </w:t>
      </w:r>
      <w:r w:rsidR="00B6577C" w:rsidRPr="00841E52">
        <w:rPr>
          <w:noProof/>
        </w:rPr>
        <w:t>Mokyklos direktorė – L</w:t>
      </w:r>
      <w:r w:rsidR="008A4C09">
        <w:rPr>
          <w:noProof/>
        </w:rPr>
        <w:t>aima Plančiūnienė, pirm</w:t>
      </w:r>
      <w:r w:rsidR="00050BE9">
        <w:rPr>
          <w:noProof/>
        </w:rPr>
        <w:t>oji</w:t>
      </w:r>
      <w:r w:rsidR="00B6577C" w:rsidRPr="00841E52">
        <w:rPr>
          <w:noProof/>
        </w:rPr>
        <w:t xml:space="preserve"> kvalifikacinė kategorija. Vadybini</w:t>
      </w:r>
      <w:r w:rsidR="00375514">
        <w:rPr>
          <w:noProof/>
        </w:rPr>
        <w:t>s darbo stažas šioje mokykloje –</w:t>
      </w:r>
      <w:r w:rsidR="00B6577C" w:rsidRPr="00841E52">
        <w:rPr>
          <w:noProof/>
        </w:rPr>
        <w:t xml:space="preserve"> 23 meta</w:t>
      </w:r>
      <w:r w:rsidR="00B6577C">
        <w:rPr>
          <w:noProof/>
        </w:rPr>
        <w:t>i.</w:t>
      </w:r>
    </w:p>
    <w:p w:rsidR="00C35A21" w:rsidRPr="003C54D4" w:rsidRDefault="00B56F53" w:rsidP="00BF6DF4">
      <w:pPr>
        <w:pStyle w:val="Standard"/>
        <w:ind w:firstLine="720"/>
        <w:jc w:val="both"/>
        <w:rPr>
          <w:noProof/>
          <w:lang w:val="lt-LT"/>
        </w:rPr>
      </w:pPr>
      <w:r w:rsidRPr="003C54D4">
        <w:rPr>
          <w:noProof/>
          <w:lang w:val="lt-LT"/>
        </w:rPr>
        <w:t>Darbuotojai</w:t>
      </w:r>
    </w:p>
    <w:tbl>
      <w:tblPr>
        <w:tblW w:w="946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6542"/>
        <w:gridCol w:w="1963"/>
      </w:tblGrid>
      <w:tr w:rsidR="00C35A21" w:rsidRPr="0053355C" w:rsidTr="00284F6F">
        <w:trPr>
          <w:trHeight w:val="381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887DCE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887DCE">
              <w:rPr>
                <w:noProof/>
                <w:lang w:val="lt-LT"/>
              </w:rPr>
              <w:t>Eil.</w:t>
            </w:r>
            <w:r w:rsidR="00887DCE" w:rsidRPr="00887DCE">
              <w:rPr>
                <w:noProof/>
                <w:lang w:val="lt-LT"/>
              </w:rPr>
              <w:t xml:space="preserve"> </w:t>
            </w:r>
            <w:r w:rsidRPr="00887DCE">
              <w:rPr>
                <w:noProof/>
                <w:lang w:val="lt-LT"/>
              </w:rPr>
              <w:t>Nr.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C35A21">
            <w:pPr>
              <w:pStyle w:val="Standard"/>
              <w:jc w:val="both"/>
              <w:rPr>
                <w:b/>
                <w:noProof/>
                <w:lang w:val="lt-LT"/>
              </w:rPr>
            </w:pP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4B724F" w:rsidRDefault="00DF0476">
            <w:pPr>
              <w:pStyle w:val="Standard"/>
              <w:jc w:val="center"/>
              <w:rPr>
                <w:noProof/>
                <w:lang w:val="lt-LT"/>
              </w:rPr>
            </w:pPr>
            <w:r w:rsidRPr="004B724F">
              <w:rPr>
                <w:noProof/>
                <w:lang w:val="lt-LT"/>
              </w:rPr>
              <w:t>2016-12-31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3C54D4" w:rsidRDefault="00DF0476" w:rsidP="001033E8">
            <w:pPr>
              <w:pStyle w:val="Standard"/>
              <w:jc w:val="center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1.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3C54D4" w:rsidRDefault="00DF0476">
            <w:pPr>
              <w:pStyle w:val="Standard"/>
              <w:jc w:val="both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Bendras darbuotojų skaičius</w:t>
            </w:r>
            <w:r w:rsidR="00F24D5B" w:rsidRPr="003C54D4">
              <w:rPr>
                <w:b/>
                <w:noProof/>
                <w:lang w:val="lt-LT"/>
              </w:rPr>
              <w:t xml:space="preserve"> </w:t>
            </w:r>
            <w:r w:rsidR="00F24D5B" w:rsidRPr="003C54D4">
              <w:rPr>
                <w:noProof/>
                <w:color w:val="auto"/>
                <w:kern w:val="0"/>
                <w:lang w:val="lt-LT" w:eastAsia="en-US"/>
              </w:rPr>
              <w:t>(su dviem sezoniniais darbuotojais)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F24D5B" w:rsidRDefault="00F64DA4" w:rsidP="00F24D5B">
            <w:pPr>
              <w:pStyle w:val="Betarp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24D5B"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3C54D4" w:rsidRDefault="00DF0476" w:rsidP="001033E8">
            <w:pPr>
              <w:pStyle w:val="Standard"/>
              <w:jc w:val="center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2.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3C54D4" w:rsidRDefault="00DF0476">
            <w:pPr>
              <w:pStyle w:val="Standard"/>
              <w:jc w:val="both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Pedagoginių darbuotojų skaičius</w:t>
            </w:r>
            <w:r w:rsidR="0050337E" w:rsidRPr="003C54D4">
              <w:rPr>
                <w:b/>
                <w:noProof/>
                <w:lang w:val="lt-LT"/>
              </w:rPr>
              <w:t>,</w:t>
            </w:r>
            <w:r w:rsidR="00B25A5F" w:rsidRPr="003C54D4">
              <w:rPr>
                <w:noProof/>
                <w:lang w:val="lt-LT"/>
              </w:rPr>
              <w:t xml:space="preserve"> </w:t>
            </w:r>
            <w:r w:rsidR="0050337E" w:rsidRPr="003C54D4">
              <w:rPr>
                <w:b/>
                <w:noProof/>
                <w:lang w:val="lt-LT"/>
              </w:rPr>
              <w:t>i</w:t>
            </w:r>
            <w:r w:rsidR="00B25A5F" w:rsidRPr="003C54D4">
              <w:rPr>
                <w:b/>
                <w:noProof/>
                <w:lang w:val="lt-LT"/>
              </w:rPr>
              <w:t>š jų: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C50A2A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19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vadovų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C50A2A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mokytojų pagrindinėse pareigose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383764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16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mokytojų nepagrindinėse pareigose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C50A2A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 xml:space="preserve">pagalbos mokiniui specialistai (psichologas, soc. pedagogas, spec. pedagogas, logopedas, mokytojo padėjėjas, bibliotekininkas ir </w:t>
            </w:r>
            <w:r w:rsidR="00B90576">
              <w:rPr>
                <w:noProof/>
                <w:lang w:val="lt-LT"/>
              </w:rPr>
              <w:br/>
            </w:r>
            <w:r w:rsidRPr="0053355C">
              <w:rPr>
                <w:noProof/>
                <w:lang w:val="lt-LT"/>
              </w:rPr>
              <w:t>t.</w:t>
            </w:r>
            <w:r w:rsidR="00A94E4B">
              <w:rPr>
                <w:noProof/>
                <w:lang w:val="lt-LT"/>
              </w:rPr>
              <w:t xml:space="preserve"> </w:t>
            </w:r>
            <w:r w:rsidRPr="0053355C">
              <w:rPr>
                <w:noProof/>
                <w:lang w:val="lt-LT"/>
              </w:rPr>
              <w:t>t.)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1E5DBA" w:rsidP="001E5DBA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3C54D4" w:rsidRDefault="00DF0476" w:rsidP="001033E8">
            <w:pPr>
              <w:pStyle w:val="Standard"/>
              <w:jc w:val="center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3.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3C54D4" w:rsidRDefault="00DF0476">
            <w:pPr>
              <w:pStyle w:val="Standard"/>
              <w:jc w:val="both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Atestuotų pedagoginių darbuotojų skaičius</w:t>
            </w:r>
            <w:r w:rsidR="000C3FAF" w:rsidRPr="003C54D4">
              <w:rPr>
                <w:b/>
                <w:noProof/>
                <w:lang w:val="lt-LT"/>
              </w:rPr>
              <w:t>, iš jų</w:t>
            </w:r>
            <w:r w:rsidRPr="003C54D4">
              <w:rPr>
                <w:b/>
                <w:noProof/>
                <w:lang w:val="lt-LT"/>
              </w:rPr>
              <w:t>: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0568A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19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Turinčių eksperto kvalifikacinę kategoriją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0568A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Turinčių mokytojo metodininko kvalifikacinę kategoriją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0568A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9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Turinčių vyresniojo mokytojo kvalifikacinę kategoriją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0568A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10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53355C" w:rsidRDefault="00C35A21" w:rsidP="001033E8">
            <w:pPr>
              <w:pStyle w:val="Standard"/>
              <w:jc w:val="center"/>
              <w:rPr>
                <w:noProof/>
                <w:lang w:val="lt-LT"/>
              </w:rPr>
            </w:pP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DF0476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Turinčių mokytojo kvalifikacinę kategoriją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0568A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  <w:tr w:rsidR="00C35A21" w:rsidRPr="0053355C" w:rsidTr="00284F6F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A21" w:rsidRPr="003C54D4" w:rsidRDefault="00DF0476" w:rsidP="001033E8">
            <w:pPr>
              <w:pStyle w:val="Standard"/>
              <w:jc w:val="center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4.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3C54D4" w:rsidRDefault="00DF0476">
            <w:pPr>
              <w:pStyle w:val="Standard"/>
              <w:jc w:val="both"/>
              <w:rPr>
                <w:b/>
                <w:noProof/>
                <w:lang w:val="lt-LT"/>
              </w:rPr>
            </w:pPr>
            <w:r w:rsidRPr="003C54D4">
              <w:rPr>
                <w:b/>
                <w:noProof/>
                <w:lang w:val="lt-LT"/>
              </w:rPr>
              <w:t>Neatestuotų pedagoginių darbuotojų skaičius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A21" w:rsidRPr="0053355C" w:rsidRDefault="000568A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</w:tbl>
    <w:p w:rsidR="00CB5DE5" w:rsidRPr="00CB5DE5" w:rsidRDefault="00050BE9" w:rsidP="003C54D4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</w:pPr>
      <w:r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I</w:t>
      </w:r>
      <w:r w:rsidR="00CB5DE5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nicij</w:t>
      </w:r>
      <w:r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uoti</w:t>
      </w:r>
      <w:r w:rsidR="00CB5DE5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 xml:space="preserve"> par</w:t>
      </w:r>
      <w:r w:rsidR="009E2C7A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tnerystės projekt</w:t>
      </w:r>
      <w:r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ai</w:t>
      </w:r>
      <w:r w:rsidR="009E2C7A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:</w:t>
      </w:r>
      <w:r w:rsidR="00CB5DE5" w:rsidRPr="00CB5DE5"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szCs w:val="24"/>
        </w:rPr>
        <w:t xml:space="preserve"> 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Kauno Miko Petrausko muzikos mokyklos projekto „Didysis Grand Pas“ partneriai, 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Latvijos Limbažų savivaldybės projekto ,,Menas vienija“ dalyviai.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</w:rPr>
        <w:t xml:space="preserve"> Šalies projektai: 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„Džiazas su tortu“, 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</w:rPr>
        <w:t>,,Spalvotos dainelės“, ,,Mes grojame baroką“, ,,Pavasario eskizai“, ,,Skamba kanklės“.</w:t>
      </w:r>
    </w:p>
    <w:p w:rsidR="00CB5DE5" w:rsidRPr="009261D5" w:rsidRDefault="009E2C7A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</w:pP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Nuo 2003 m. inicijuo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tas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ir organizuoj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amas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šalies festival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is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,,Skambėk, jauny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ste“.</w:t>
      </w:r>
    </w:p>
    <w:p w:rsidR="00CB5DE5" w:rsidRPr="00CB5DE5" w:rsidRDefault="009E2C7A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  <w:r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Užme</w:t>
      </w:r>
      <w:r w:rsidR="00050BE9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gzti</w:t>
      </w:r>
      <w:r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 ir palaik</w:t>
      </w:r>
      <w:r w:rsidR="00050BE9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omi</w:t>
      </w:r>
      <w:r w:rsidR="00CB5DE5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 dalykini</w:t>
      </w:r>
      <w:r w:rsidR="00050BE9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ai</w:t>
      </w:r>
      <w:r w:rsidR="00CB5DE5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 ryši</w:t>
      </w:r>
      <w:r w:rsidR="00050BE9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ai</w:t>
      </w:r>
      <w:r w:rsidR="00CB5DE5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 su</w:t>
      </w:r>
      <w:r w:rsidR="00CB5DE5" w:rsidRPr="00CB5DE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w:t xml:space="preserve"> 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Didžiosios Britanijos choru ,,One Voice“ (dėl projektų tęstinumo),</w:t>
      </w:r>
      <w:r w:rsidR="00CB5DE5" w:rsidRPr="00CB5DE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w:t xml:space="preserve"> 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Panevėžio Vytauto Mikalausko menų gimnazija, Panevėžio Juozo Balčikonio gimnazija, Ukmergės meno mokykla, Vilniaus ,,Ąžuoliuko“ muzikos mokykla, Kėdainių, Panevėžio, Biržų Vlado Jakubėno, Rokiškio Rudol</w:t>
      </w:r>
      <w:r w:rsidR="008E58EB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fo Lymano muzikos mokyklomis, 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Panevėžio bendruomenių rūmų šokių kolektyvu ,,Grandinėlė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</w:rPr>
        <w:t>“</w:t>
      </w:r>
      <w:r w:rsidR="00CB5DE5"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.</w:t>
      </w:r>
    </w:p>
    <w:p w:rsidR="00CB5DE5" w:rsidRPr="00CB5DE5" w:rsidRDefault="00CB5DE5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shd w:val="clear" w:color="auto" w:fill="FFFFFF"/>
        </w:rPr>
      </w:pPr>
      <w:r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U</w:t>
      </w:r>
      <w:r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gdymo</w:t>
      </w:r>
      <w:r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programų koregavimo, </w:t>
      </w:r>
      <w:r w:rsidR="00050BE9"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mok</w:t>
      </w:r>
      <w:r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ymo metodikos ir kitais pedagoginės veiklos klausimais </w:t>
      </w:r>
      <w:r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bendradarbia</w:t>
      </w:r>
      <w:r w:rsidR="00050BE9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ujama</w:t>
      </w:r>
      <w:r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 su profesionaliais menininkais</w:t>
      </w:r>
      <w:r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:</w:t>
      </w:r>
      <w:r w:rsidR="00050BE9" w:rsidRPr="009261D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 </w:t>
      </w:r>
      <w:r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LMTA profesore Lina Naikeliene,</w:t>
      </w:r>
      <w:r w:rsidRPr="00CB5DE5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 profesoriumi Tauru Adomavičiumi</w:t>
      </w:r>
      <w:r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, docentu Rimu Valančiumi, Nacionalinės Mikalojaus Konstantino Čiurlionio menų mokyklos </w:t>
      </w:r>
      <w:r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  <w:shd w:val="clear" w:color="auto" w:fill="FFFFFF"/>
        </w:rPr>
        <w:t xml:space="preserve">gabių vaikų centro vedėju Žilvinu Meškuočiu, </w:t>
      </w:r>
      <w:r w:rsidRPr="00CB5DE5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>Kauno Vytauto Didžiojo universiteto dėstytoju Nerijumi Jakštoniu (</w:t>
      </w:r>
      <w:r w:rsidRPr="00CB5DE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shd w:val="clear" w:color="auto" w:fill="FFFFFF"/>
        </w:rPr>
        <w:t>meistriškumo pamokos, seminarai, konsultacijos).</w:t>
      </w:r>
    </w:p>
    <w:p w:rsidR="00CB5DE5" w:rsidRPr="00CB5DE5" w:rsidRDefault="00CB5DE5" w:rsidP="009261D5">
      <w:pPr>
        <w:widowControl/>
        <w:suppressAutoHyphens w:val="0"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Microsoft YaHei" w:hAnsi="Times New Roman" w:cs="Times New Roman"/>
          <w:b/>
          <w:noProof/>
          <w:kern w:val="0"/>
          <w:sz w:val="24"/>
          <w:szCs w:val="24"/>
        </w:rPr>
      </w:pPr>
      <w:r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Inicij</w:t>
      </w:r>
      <w:r w:rsidR="00050BE9"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uojama</w:t>
      </w:r>
      <w:r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ir skatina</w:t>
      </w:r>
      <w:r w:rsidR="00050BE9"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ma</w:t>
      </w:r>
      <w:r w:rsidRPr="009261D5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  <w:r w:rsidR="00050BE9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M</w:t>
      </w:r>
      <w:r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 xml:space="preserve">uzikos mokyklos </w:t>
      </w:r>
      <w:r w:rsidR="00050BE9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 xml:space="preserve">šių </w:t>
      </w:r>
      <w:r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 xml:space="preserve">kolektyvų </w:t>
      </w:r>
      <w:r w:rsidR="002C6EFA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menin</w:t>
      </w:r>
      <w:r w:rsidR="00050BE9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ė</w:t>
      </w:r>
      <w:r w:rsidR="002C6EFA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 xml:space="preserve"> veikl</w:t>
      </w:r>
      <w:r w:rsidR="00050BE9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a</w:t>
      </w:r>
      <w:r w:rsidR="002C6EFA" w:rsidRPr="009261D5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</w:rPr>
        <w:t>:</w:t>
      </w:r>
      <w:r w:rsidRPr="00CB5DE5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w:t xml:space="preserve"> </w:t>
      </w:r>
      <w:r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lengvosios muzikos orkestro, tautinių instrumentų orkestro „Žilvitis“, pučiamųjų instrumentų orkestro, jungtinio jaunių choro, akordeonininkų ansamblio, kanklių ansamblio ,,Kanklytės“, smuikininkų ansamblio, folklorinio ansamblio, gitar</w:t>
      </w:r>
      <w:r w:rsidR="00BB0FFD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istų ansamblio</w:t>
      </w:r>
      <w:r w:rsidR="00050BE9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, v</w:t>
      </w:r>
      <w:r w:rsidRPr="00CB5DE5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ieną kartą per metus suburiamo </w:t>
      </w:r>
      <w:r w:rsidRPr="00CB5DE5">
        <w:rPr>
          <w:rFonts w:ascii="Times New Roman" w:eastAsia="Microsoft YaHei" w:hAnsi="Times New Roman" w:cs="Times New Roman"/>
          <w:noProof/>
          <w:kern w:val="0"/>
          <w:sz w:val="24"/>
          <w:szCs w:val="24"/>
        </w:rPr>
        <w:t>Lietuvos festivalio ,,Skambėk, jaunyste“ vaikų ir jaunimo simfoninio orkestro.</w:t>
      </w:r>
    </w:p>
    <w:p w:rsidR="0058405E" w:rsidRDefault="00F85CB5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lastRenderedPageBreak/>
        <w:t>Rengi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ami</w:t>
      </w:r>
      <w:r w:rsidR="007F3F6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projekt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ai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–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pritrauki</w:t>
      </w:r>
      <w:r w:rsidR="00050BE9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ama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papildomų lėšų</w:t>
      </w:r>
      <w:r w:rsidR="00050BE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: V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aikų socializacijos program</w:t>
      </w:r>
      <w:r w:rsidR="00050BE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os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projekt</w:t>
      </w:r>
      <w:r w:rsidR="00397001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ui</w:t>
      </w:r>
      <w:r w:rsidR="00050BE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įgyvendinti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="00397001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500 Eur</w:t>
      </w:r>
      <w:r w:rsidR="00A94E4B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; </w:t>
      </w:r>
      <w:r w:rsidR="00397001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projekt</w:t>
      </w:r>
      <w:r w:rsidR="00A94E4B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ui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,,Neformaliojo švietimo infrastruktūros tobulinimas Panevėžio r. muzikos mokykloje“ laukiama </w:t>
      </w:r>
      <w:r w:rsidR="00CB5DE5" w:rsidRPr="004B724F">
        <w:rPr>
          <w:rFonts w:ascii="Times New Roman" w:eastAsia="Calibri" w:hAnsi="Times New Roman" w:cs="Times New Roman"/>
          <w:kern w:val="0"/>
          <w:sz w:val="24"/>
          <w:szCs w:val="24"/>
        </w:rPr>
        <w:t>19</w:t>
      </w:r>
      <w:r w:rsidR="00A94E4B" w:rsidRPr="004B724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B5DE5" w:rsidRPr="004B724F">
        <w:rPr>
          <w:rFonts w:ascii="Times New Roman" w:eastAsia="Calibri" w:hAnsi="Times New Roman" w:cs="Times New Roman"/>
          <w:kern w:val="0"/>
          <w:sz w:val="24"/>
          <w:szCs w:val="24"/>
        </w:rPr>
        <w:t xml:space="preserve">674,63 </w:t>
      </w:r>
      <w:proofErr w:type="spellStart"/>
      <w:r w:rsidR="00CB5DE5" w:rsidRPr="004B724F">
        <w:rPr>
          <w:rFonts w:ascii="Times New Roman" w:eastAsia="Calibri" w:hAnsi="Times New Roman" w:cs="Times New Roman"/>
          <w:kern w:val="0"/>
          <w:sz w:val="24"/>
          <w:szCs w:val="24"/>
        </w:rPr>
        <w:t>Eur</w:t>
      </w:r>
      <w:proofErr w:type="spellEnd"/>
      <w:r w:rsidR="00CB5DE5" w:rsidRPr="00A94E4B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.</w:t>
      </w:r>
    </w:p>
    <w:p w:rsidR="00CB5DE5" w:rsidRPr="00CB5DE5" w:rsidRDefault="00A94E4B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Mokyklos veiklai 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panaudo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jamos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informacin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ė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s komunikacin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ė</w:t>
      </w:r>
      <w:r w:rsidR="00CB5DE5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s technologij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os</w:t>
      </w:r>
      <w:r w:rsid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: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nuo 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2011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m.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direktorė </w:t>
      </w:r>
      <w:r w:rsidR="00CB5DE5" w:rsidRPr="00CB5DE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tvark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o</w:t>
      </w:r>
      <w:r w:rsidR="0033619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67960">
        <w:rPr>
          <w:rFonts w:ascii="Times New Roman" w:eastAsia="Calibri" w:hAnsi="Times New Roman" w:cs="Times New Roman"/>
          <w:kern w:val="0"/>
          <w:sz w:val="24"/>
          <w:szCs w:val="24"/>
        </w:rPr>
        <w:t>mokyklos interneto</w:t>
      </w:r>
      <w:r w:rsidR="00CB5DE5" w:rsidRPr="00CB5DE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svetain</w:t>
      </w:r>
      <w:r w:rsidR="00336193">
        <w:rPr>
          <w:rFonts w:ascii="Times New Roman" w:eastAsia="Calibri" w:hAnsi="Times New Roman" w:cs="Times New Roman"/>
          <w:kern w:val="0"/>
          <w:sz w:val="24"/>
          <w:szCs w:val="24"/>
        </w:rPr>
        <w:t>ę</w:t>
      </w:r>
      <w:r w:rsidR="00F4048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hyperlink r:id="rId7" w:history="1">
        <w:r w:rsidR="00F40481" w:rsidRPr="004B2464">
          <w:rPr>
            <w:rFonts w:ascii="Times New Roman" w:hAnsi="Times New Roman"/>
            <w:noProof/>
            <w:color w:val="0563C1"/>
            <w:sz w:val="24"/>
            <w:szCs w:val="24"/>
            <w:u w:val="single"/>
          </w:rPr>
          <w:t>www.muzikosmokyklapr.lt</w:t>
        </w:r>
      </w:hyperlink>
      <w:r w:rsidR="00CB5DE5" w:rsidRPr="00CB5DE5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</w:p>
    <w:p w:rsidR="002D590B" w:rsidRDefault="00430A49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Mokykla galėtų dal</w:t>
      </w:r>
      <w:r w:rsidR="00336193"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y</w:t>
      </w:r>
      <w:r w:rsidRPr="009261D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tis</w:t>
      </w:r>
      <w:r w:rsidRPr="00567960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="00D271AE" w:rsidRPr="00BA342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renginių</w:t>
      </w:r>
      <w:r w:rsidR="00F85CB5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,</w:t>
      </w:r>
      <w:r w:rsidR="007857A0" w:rsidRPr="00BA342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koncertų, </w:t>
      </w:r>
      <w:r w:rsidR="006412FC" w:rsidRPr="00BA342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muzikinių </w:t>
      </w:r>
      <w:r w:rsidR="007857A0" w:rsidRPr="00BA342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spektaklių</w:t>
      </w:r>
      <w:r w:rsidR="00A61788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,</w:t>
      </w:r>
      <w:r w:rsidR="00C40C71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p</w:t>
      </w:r>
      <w:r w:rsidR="00C40C71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raktini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ų</w:t>
      </w:r>
      <w:r w:rsidR="00C40C71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edukacini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ų</w:t>
      </w:r>
      <w:r w:rsidR="00D0756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užsiėmim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ų organizavimo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patirtimi.</w:t>
      </w:r>
    </w:p>
    <w:p w:rsidR="002B7962" w:rsidRPr="002B7962" w:rsidRDefault="002B7962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2B7962">
        <w:rPr>
          <w:rFonts w:ascii="Times New Roman" w:hAnsi="Times New Roman" w:cs="Times New Roman"/>
          <w:sz w:val="24"/>
          <w:szCs w:val="24"/>
        </w:rPr>
        <w:t xml:space="preserve">Muzikos mokyklos solistai, ansambliai, orkestrai, chorai aktyviai dalyvauja bendruomenių organizuojamuose renginiuose. </w:t>
      </w:r>
    </w:p>
    <w:p w:rsidR="00336193" w:rsidRPr="00821F8D" w:rsidRDefault="001F4163" w:rsidP="006540C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1F416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Muzikos mokykla įsikūrusi Krekenavo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s mstl.</w:t>
      </w:r>
      <w:r w:rsidRPr="001F416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, Krekenavos Mykolo Antanaičio gimnazijos patalpose. Mokykla turi du skyrius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:</w:t>
      </w:r>
      <w:r w:rsidRPr="001F416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Ramygalo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s m.</w:t>
      </w:r>
      <w:r w:rsidRPr="001F416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(Ramygalos gimnazijos patalpose), Naujamies</w:t>
      </w:r>
      <w:r w:rsidR="0033619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čio mstl.</w:t>
      </w:r>
      <w:r w:rsidRPr="001F4163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(Naujamiesčio Šv. apaštalo evangelisto Mato parapijos namuose). Muzikos mokyklą lanko šių miestelių ir aplinkinių kaimų mokiniai: Linkaučių, Naujarodžių, Žibartonių, Ėriškių, Jotainių, Daniūnų, Liberiškio, Vadaktėlių, Sidabravo, Puškonių ir kitų vietovių.</w:t>
      </w:r>
    </w:p>
    <w:p w:rsidR="00BB749E" w:rsidRDefault="00DF0476" w:rsidP="00336193">
      <w:pPr>
        <w:pStyle w:val="Porat"/>
        <w:jc w:val="center"/>
        <w:rPr>
          <w:b/>
          <w:bCs/>
          <w:noProof/>
          <w:lang w:val="lt-LT"/>
        </w:rPr>
      </w:pPr>
      <w:r w:rsidRPr="00747B55">
        <w:rPr>
          <w:b/>
          <w:bCs/>
          <w:noProof/>
          <w:lang w:val="lt-LT"/>
        </w:rPr>
        <w:t>II. MOKINIAI</w:t>
      </w:r>
    </w:p>
    <w:p w:rsidR="00C35A21" w:rsidRPr="00567960" w:rsidRDefault="00846D7B" w:rsidP="009261D5">
      <w:pPr>
        <w:pStyle w:val="Standard"/>
        <w:ind w:firstLine="709"/>
        <w:jc w:val="both"/>
        <w:rPr>
          <w:noProof/>
          <w:lang w:val="lt-LT"/>
        </w:rPr>
      </w:pPr>
      <w:r w:rsidRPr="00567960">
        <w:rPr>
          <w:noProof/>
          <w:lang w:val="lt-LT"/>
        </w:rPr>
        <w:t>Besimokančių mokinių skaičius</w:t>
      </w:r>
    </w:p>
    <w:tbl>
      <w:tblPr>
        <w:tblW w:w="935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708"/>
        <w:gridCol w:w="709"/>
        <w:gridCol w:w="709"/>
        <w:gridCol w:w="992"/>
        <w:gridCol w:w="1559"/>
        <w:gridCol w:w="3261"/>
      </w:tblGrid>
      <w:tr w:rsidR="00A25B53" w:rsidRPr="0053355C" w:rsidTr="00284F6F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9E1940" w:rsidRDefault="009E1940" w:rsidP="009E19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1940">
              <w:rPr>
                <w:rFonts w:ascii="Times New Roman" w:hAnsi="Times New Roman" w:cs="Times New Roman"/>
                <w:noProof/>
                <w:sz w:val="24"/>
                <w:szCs w:val="24"/>
              </w:rPr>
              <w:t>Metai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9E1940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1–</w:t>
            </w:r>
            <w:r w:rsidRPr="0053355C">
              <w:rPr>
                <w:noProof/>
                <w:lang w:val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9E1940">
            <w:pPr>
              <w:pStyle w:val="Standard"/>
              <w:jc w:val="center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5</w:t>
            </w:r>
            <w:r>
              <w:rPr>
                <w:noProof/>
                <w:lang w:val="lt-LT"/>
              </w:rPr>
              <w:t>–</w:t>
            </w:r>
            <w:r w:rsidRPr="0053355C">
              <w:rPr>
                <w:noProof/>
                <w:lang w:val="lt-LT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9E1940">
            <w:pPr>
              <w:pStyle w:val="Standard"/>
              <w:jc w:val="center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9</w:t>
            </w:r>
            <w:r>
              <w:rPr>
                <w:noProof/>
                <w:lang w:val="lt-LT"/>
              </w:rPr>
              <w:t>–</w:t>
            </w:r>
            <w:r w:rsidRPr="0053355C">
              <w:rPr>
                <w:noProof/>
                <w:lang w:val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9E1940">
            <w:pPr>
              <w:pStyle w:val="Standard"/>
              <w:jc w:val="center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11</w:t>
            </w:r>
            <w:r>
              <w:rPr>
                <w:noProof/>
                <w:lang w:val="lt-LT"/>
              </w:rPr>
              <w:t>–</w:t>
            </w:r>
            <w:r w:rsidRPr="0053355C">
              <w:rPr>
                <w:noProof/>
                <w:lang w:val="lt-LT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67960" w:rsidRDefault="00A25B53" w:rsidP="009E1940">
            <w:pPr>
              <w:pStyle w:val="Standard"/>
              <w:jc w:val="center"/>
              <w:rPr>
                <w:noProof/>
                <w:lang w:val="lt-LT"/>
              </w:rPr>
            </w:pPr>
            <w:r w:rsidRPr="00567960">
              <w:rPr>
                <w:noProof/>
                <w:lang w:val="lt-LT"/>
              </w:rPr>
              <w:t>Iš viso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53" w:rsidRPr="0053355C" w:rsidRDefault="009E1940" w:rsidP="00567960">
            <w:pPr>
              <w:pStyle w:val="Standard"/>
              <w:rPr>
                <w:noProof/>
                <w:lang w:val="lt-LT"/>
              </w:rPr>
            </w:pPr>
            <w:r w:rsidRPr="009E1940">
              <w:rPr>
                <w:noProof/>
                <w:color w:val="222222"/>
                <w:shd w:val="clear" w:color="auto" w:fill="FFFFFF"/>
                <w:lang w:val="lt-LT"/>
              </w:rPr>
              <w:t>Iš jų specialiųjų ugdymosi poreikių turinčių mokinių</w:t>
            </w:r>
          </w:p>
        </w:tc>
      </w:tr>
      <w:tr w:rsidR="00A25B53" w:rsidRPr="0053355C" w:rsidTr="00284F6F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53" w:rsidRPr="0053355C" w:rsidRDefault="00A25B53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2015-09-01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67960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 w:rsidRPr="00567960">
              <w:rPr>
                <w:noProof/>
                <w:lang w:val="lt-LT"/>
              </w:rPr>
              <w:t>210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  <w:tr w:rsidR="00A25B53" w:rsidRPr="0053355C" w:rsidTr="00284F6F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53" w:rsidRPr="0053355C" w:rsidRDefault="00A25B53">
            <w:pPr>
              <w:pStyle w:val="Standard"/>
              <w:jc w:val="both"/>
              <w:rPr>
                <w:noProof/>
                <w:lang w:val="lt-LT"/>
              </w:rPr>
            </w:pPr>
            <w:r w:rsidRPr="0053355C">
              <w:rPr>
                <w:noProof/>
                <w:lang w:val="lt-LT"/>
              </w:rPr>
              <w:t>2016-09-01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67960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 w:rsidRPr="00567960">
              <w:rPr>
                <w:noProof/>
                <w:lang w:val="lt-LT"/>
              </w:rPr>
              <w:t>212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B53" w:rsidRPr="0053355C" w:rsidRDefault="00A25B53" w:rsidP="00511246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</w:tbl>
    <w:p w:rsidR="00F1360B" w:rsidRPr="00F1360B" w:rsidRDefault="00F1360B" w:rsidP="006540C9">
      <w:pPr>
        <w:pStyle w:val="Betarp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1360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zh-CN"/>
        </w:rPr>
        <w:t>2,86</w:t>
      </w:r>
      <w:r w:rsidR="0033619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="00B9057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proc.</w:t>
      </w:r>
      <w:r w:rsidR="00A661A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(</w:t>
      </w:r>
      <w:r w:rsidRPr="00F1360B">
        <w:rPr>
          <w:rFonts w:ascii="Times New Roman" w:eastAsia="Times New Roman" w:hAnsi="Times New Roman"/>
          <w:noProof/>
          <w:sz w:val="24"/>
          <w:szCs w:val="24"/>
        </w:rPr>
        <w:t>6 mokiniai</w:t>
      </w:r>
      <w:r w:rsidR="00567960">
        <w:rPr>
          <w:rFonts w:ascii="Times New Roman" w:eastAsia="Times New Roman" w:hAnsi="Times New Roman"/>
          <w:noProof/>
          <w:sz w:val="24"/>
          <w:szCs w:val="24"/>
        </w:rPr>
        <w:t>)</w:t>
      </w:r>
      <w:r w:rsidRPr="00F1360B">
        <w:rPr>
          <w:rFonts w:ascii="Times New Roman" w:eastAsia="Times New Roman" w:hAnsi="Times New Roman"/>
          <w:noProof/>
          <w:sz w:val="24"/>
          <w:szCs w:val="24"/>
        </w:rPr>
        <w:t xml:space="preserve"> buvo pavežami, t. y. 5 tik iš mokyklos, 1 į mokyklą ir iš jos). </w:t>
      </w:r>
      <w:r w:rsidR="00B90576">
        <w:rPr>
          <w:rFonts w:ascii="Times New Roman" w:eastAsia="Times New Roman" w:hAnsi="Times New Roman"/>
          <w:noProof/>
          <w:sz w:val="24"/>
          <w:szCs w:val="24"/>
        </w:rPr>
        <w:br/>
      </w:r>
      <w:r w:rsidRPr="00F1360B">
        <w:rPr>
          <w:rFonts w:ascii="Times New Roman" w:eastAsia="Times New Roman" w:hAnsi="Times New Roman"/>
          <w:noProof/>
          <w:sz w:val="24"/>
          <w:szCs w:val="24"/>
        </w:rPr>
        <w:t>58 mokiniai</w:t>
      </w:r>
      <w:r w:rsidR="00E1086C">
        <w:rPr>
          <w:rFonts w:ascii="Times New Roman" w:hAnsi="Times New Roman"/>
          <w:noProof/>
          <w:sz w:val="24"/>
          <w:szCs w:val="24"/>
        </w:rPr>
        <w:t xml:space="preserve"> </w:t>
      </w:r>
      <w:r w:rsidRPr="00F1360B">
        <w:rPr>
          <w:rFonts w:ascii="Times New Roman" w:hAnsi="Times New Roman"/>
          <w:noProof/>
          <w:sz w:val="24"/>
          <w:szCs w:val="24"/>
        </w:rPr>
        <w:t>b</w:t>
      </w:r>
      <w:r w:rsidR="00E1086C">
        <w:rPr>
          <w:rFonts w:ascii="Times New Roman" w:hAnsi="Times New Roman"/>
          <w:noProof/>
          <w:sz w:val="24"/>
          <w:szCs w:val="24"/>
        </w:rPr>
        <w:t>uvo vežami gimnazijų autobusais</w:t>
      </w:r>
      <w:r w:rsidR="00055106">
        <w:rPr>
          <w:rFonts w:ascii="Times New Roman" w:hAnsi="Times New Roman"/>
          <w:noProof/>
          <w:sz w:val="24"/>
          <w:szCs w:val="24"/>
        </w:rPr>
        <w:t xml:space="preserve">. </w:t>
      </w:r>
      <w:r w:rsidR="00A66130" w:rsidRPr="00A66130">
        <w:rPr>
          <w:rFonts w:ascii="Times New Roman" w:hAnsi="Times New Roman"/>
          <w:noProof/>
          <w:sz w:val="24"/>
          <w:szCs w:val="24"/>
        </w:rPr>
        <w:t>Mokinių lankomumas fiksuojamas grupinių, individualių pamokų dienynuose ir</w:t>
      </w:r>
      <w:r w:rsidR="00A66130" w:rsidRPr="00A6613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mokinių pasiekimų knygelėse.</w:t>
      </w:r>
      <w:r w:rsidR="00A66130" w:rsidRPr="00A66130">
        <w:rPr>
          <w:rFonts w:ascii="Times New Roman" w:hAnsi="Times New Roman"/>
          <w:noProof/>
          <w:sz w:val="24"/>
          <w:szCs w:val="24"/>
        </w:rPr>
        <w:t xml:space="preserve"> Lankomumo problemų n</w:t>
      </w:r>
      <w:r w:rsidR="00336193">
        <w:rPr>
          <w:rFonts w:ascii="Times New Roman" w:hAnsi="Times New Roman"/>
          <w:noProof/>
          <w:sz w:val="24"/>
          <w:szCs w:val="24"/>
        </w:rPr>
        <w:t>ėra</w:t>
      </w:r>
      <w:r w:rsidR="00A66130" w:rsidRPr="00A66130">
        <w:rPr>
          <w:rFonts w:ascii="Times New Roman" w:hAnsi="Times New Roman"/>
          <w:noProof/>
          <w:sz w:val="24"/>
          <w:szCs w:val="24"/>
        </w:rPr>
        <w:t>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40"/>
        <w:gridCol w:w="3581"/>
      </w:tblGrid>
      <w:tr w:rsidR="00EE67EC" w:rsidRPr="00EE67EC" w:rsidTr="00E7297A">
        <w:tc>
          <w:tcPr>
            <w:tcW w:w="2835" w:type="dxa"/>
            <w:shd w:val="clear" w:color="auto" w:fill="auto"/>
            <w:vAlign w:val="center"/>
          </w:tcPr>
          <w:p w:rsidR="009E7193" w:rsidRDefault="00EE67EC" w:rsidP="009E719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E67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Socialiai remtinos </w:t>
            </w:r>
            <w:r w:rsidR="009E7193" w:rsidRPr="00EE67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šeimos</w:t>
            </w:r>
          </w:p>
          <w:p w:rsidR="00EE67EC" w:rsidRPr="00EE67EC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9E7193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E6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Mokinių, gyvenančių </w:t>
            </w:r>
          </w:p>
          <w:p w:rsidR="00EE67EC" w:rsidRPr="00EE67EC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EE6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šeimose, skaičius</w:t>
            </w:r>
          </w:p>
        </w:tc>
        <w:tc>
          <w:tcPr>
            <w:tcW w:w="3581" w:type="dxa"/>
            <w:shd w:val="clear" w:color="auto" w:fill="auto"/>
          </w:tcPr>
          <w:p w:rsidR="00EE67EC" w:rsidRPr="00EE67EC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EE67EC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>Proc. nuo mokinių skaičiaus</w:t>
            </w:r>
          </w:p>
        </w:tc>
      </w:tr>
      <w:tr w:rsidR="00EE67EC" w:rsidRPr="00EE67EC" w:rsidTr="00E7297A">
        <w:tc>
          <w:tcPr>
            <w:tcW w:w="2835" w:type="dxa"/>
            <w:shd w:val="clear" w:color="auto" w:fill="auto"/>
          </w:tcPr>
          <w:p w:rsidR="00EE67EC" w:rsidRPr="00EE67EC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EE67E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42</w:t>
            </w:r>
          </w:p>
        </w:tc>
        <w:tc>
          <w:tcPr>
            <w:tcW w:w="2940" w:type="dxa"/>
            <w:shd w:val="clear" w:color="auto" w:fill="auto"/>
          </w:tcPr>
          <w:p w:rsidR="00EE67EC" w:rsidRPr="00EE67EC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EE67E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51</w:t>
            </w:r>
          </w:p>
        </w:tc>
        <w:tc>
          <w:tcPr>
            <w:tcW w:w="3581" w:type="dxa"/>
            <w:shd w:val="clear" w:color="auto" w:fill="auto"/>
          </w:tcPr>
          <w:p w:rsidR="00EE67EC" w:rsidRPr="00EE67EC" w:rsidRDefault="00EE67EC" w:rsidP="00EE67E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EE67E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24,05</w:t>
            </w:r>
          </w:p>
        </w:tc>
      </w:tr>
    </w:tbl>
    <w:p w:rsidR="00A01E3E" w:rsidRPr="00A01E3E" w:rsidRDefault="00A01E3E" w:rsidP="006540C9">
      <w:pPr>
        <w:pStyle w:val="Betarp"/>
      </w:pPr>
    </w:p>
    <w:tbl>
      <w:tblPr>
        <w:tblpPr w:leftFromText="180" w:rightFromText="180" w:vertAnchor="text" w:horzAnchor="margin" w:tblpX="250" w:tblpY="133"/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7"/>
        <w:gridCol w:w="2835"/>
      </w:tblGrid>
      <w:tr w:rsidR="00F535E3" w:rsidRPr="00DF61CE" w:rsidTr="00E7297A">
        <w:trPr>
          <w:trHeight w:val="274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1CE" w:rsidRPr="00DF61CE" w:rsidRDefault="00DF61CE" w:rsidP="00FF1CA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F61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Mokinių, paliktų kartoti ugdymo programos kursą, </w:t>
            </w:r>
            <w:r w:rsidR="00FF1C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skaičius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1CE" w:rsidRPr="00DF61CE" w:rsidRDefault="00DF61CE" w:rsidP="00FF1CA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DF61CE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 xml:space="preserve">Proc. nuo mokinių </w:t>
            </w:r>
            <w:r w:rsidR="00FF1CA3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>sk.</w:t>
            </w:r>
            <w:r w:rsidR="00F535E3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 xml:space="preserve">   </w:t>
            </w:r>
          </w:p>
        </w:tc>
      </w:tr>
      <w:tr w:rsidR="00F535E3" w:rsidRPr="00DF61CE" w:rsidTr="00E7297A"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1CE" w:rsidRPr="00DF61CE" w:rsidRDefault="00DF61CE" w:rsidP="00DF61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F61C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DCE" w:rsidRPr="00DF61CE" w:rsidRDefault="00DF61CE" w:rsidP="00887D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F61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1,41</w:t>
            </w:r>
          </w:p>
        </w:tc>
      </w:tr>
    </w:tbl>
    <w:p w:rsidR="006657C3" w:rsidRDefault="00A00C70" w:rsidP="00A00C70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w:t xml:space="preserve">         </w:t>
      </w:r>
    </w:p>
    <w:tbl>
      <w:tblPr>
        <w:tblW w:w="9356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6657C3" w:rsidRPr="006657C3" w:rsidTr="00E7297A"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7C3" w:rsidRPr="006657C3" w:rsidRDefault="006657C3" w:rsidP="006657C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57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Mokiniai, atleisti nuo mokesčio už mokslą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57C3" w:rsidRPr="006657C3" w:rsidRDefault="006657C3" w:rsidP="006657C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57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Mokinių skaičius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7C3" w:rsidRPr="006657C3" w:rsidRDefault="006657C3" w:rsidP="006657C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57C3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>Proc. nuo mokinių skaičiaus</w:t>
            </w:r>
          </w:p>
        </w:tc>
      </w:tr>
      <w:tr w:rsidR="006657C3" w:rsidRPr="006657C3" w:rsidTr="00E7297A"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7C3" w:rsidRPr="006657C3" w:rsidRDefault="006657C3" w:rsidP="006657C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57C3" w:rsidRPr="006657C3" w:rsidRDefault="006657C3" w:rsidP="006657C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 w:rsidRPr="00665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zh-CN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7C3" w:rsidRPr="006657C3" w:rsidRDefault="006657C3" w:rsidP="006657C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 w:rsidRPr="006657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24,05</w:t>
            </w:r>
          </w:p>
        </w:tc>
      </w:tr>
    </w:tbl>
    <w:p w:rsidR="00A00C70" w:rsidRPr="00567960" w:rsidRDefault="00BB69CF" w:rsidP="009261D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</w:pPr>
      <w:r w:rsidRPr="00567960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>Dalyvavimas konkursuose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42"/>
        <w:gridCol w:w="1435"/>
        <w:gridCol w:w="1539"/>
        <w:gridCol w:w="1430"/>
        <w:gridCol w:w="1567"/>
      </w:tblGrid>
      <w:tr w:rsidR="00A00C70" w:rsidRPr="00A00C70" w:rsidTr="00E7297A">
        <w:tc>
          <w:tcPr>
            <w:tcW w:w="3385" w:type="dxa"/>
            <w:gridSpan w:val="2"/>
            <w:shd w:val="clear" w:color="auto" w:fill="auto"/>
            <w:vAlign w:val="center"/>
          </w:tcPr>
          <w:p w:rsidR="00A00C70" w:rsidRPr="00A00C70" w:rsidRDefault="00A00C70" w:rsidP="00A00C7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Rajono (miesto)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A00C70" w:rsidRPr="00A00C70" w:rsidRDefault="00A00C70" w:rsidP="00A00C7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Šalies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A00C70" w:rsidRPr="00A00C70" w:rsidRDefault="00A00C70" w:rsidP="00A00C7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Tarptautiniuose</w:t>
            </w:r>
          </w:p>
        </w:tc>
      </w:tr>
      <w:tr w:rsidR="00A00C70" w:rsidRPr="00A00C70" w:rsidTr="00E7297A">
        <w:tc>
          <w:tcPr>
            <w:tcW w:w="1843" w:type="dxa"/>
            <w:shd w:val="clear" w:color="auto" w:fill="auto"/>
          </w:tcPr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Dalyvavusių</w:t>
            </w:r>
          </w:p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mokinių</w:t>
            </w:r>
          </w:p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42" w:type="dxa"/>
            <w:shd w:val="clear" w:color="auto" w:fill="auto"/>
          </w:tcPr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Prizininkų/</w:t>
            </w:r>
          </w:p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laureatų skaičius</w:t>
            </w:r>
          </w:p>
        </w:tc>
        <w:tc>
          <w:tcPr>
            <w:tcW w:w="1435" w:type="dxa"/>
            <w:shd w:val="clear" w:color="auto" w:fill="auto"/>
          </w:tcPr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Dalyvavusių</w:t>
            </w:r>
          </w:p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mokinių</w:t>
            </w:r>
          </w:p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39" w:type="dxa"/>
            <w:shd w:val="clear" w:color="auto" w:fill="auto"/>
          </w:tcPr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Prizininkų/</w:t>
            </w:r>
          </w:p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laureatų skaičius</w:t>
            </w:r>
          </w:p>
        </w:tc>
        <w:tc>
          <w:tcPr>
            <w:tcW w:w="1430" w:type="dxa"/>
            <w:shd w:val="clear" w:color="auto" w:fill="auto"/>
          </w:tcPr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Dalyvavusių</w:t>
            </w:r>
          </w:p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mokinių</w:t>
            </w:r>
          </w:p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67" w:type="dxa"/>
            <w:shd w:val="clear" w:color="auto" w:fill="auto"/>
          </w:tcPr>
          <w:p w:rsidR="00A00C70" w:rsidRPr="00A00C70" w:rsidRDefault="00A00C70" w:rsidP="00A00C70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0C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Prizininkų/</w:t>
            </w:r>
          </w:p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laureatų skaičius</w:t>
            </w:r>
          </w:p>
        </w:tc>
      </w:tr>
      <w:tr w:rsidR="00A00C70" w:rsidRPr="00A00C70" w:rsidTr="00E7297A">
        <w:tc>
          <w:tcPr>
            <w:tcW w:w="1843" w:type="dxa"/>
            <w:shd w:val="clear" w:color="auto" w:fill="auto"/>
          </w:tcPr>
          <w:p w:rsidR="00A00C70" w:rsidRPr="00A00C70" w:rsidRDefault="009A030B" w:rsidP="009A030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18</w:t>
            </w:r>
            <w:r w:rsidR="0048394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(3 ansam</w:t>
            </w:r>
            <w:r w:rsidR="0048394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.)</w:t>
            </w:r>
          </w:p>
        </w:tc>
        <w:tc>
          <w:tcPr>
            <w:tcW w:w="1542" w:type="dxa"/>
            <w:shd w:val="clear" w:color="auto" w:fill="auto"/>
          </w:tcPr>
          <w:p w:rsidR="00A00C70" w:rsidRPr="00A00C70" w:rsidRDefault="009A030B" w:rsidP="00A00C7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 (ansam</w:t>
            </w:r>
            <w:r w:rsidR="0048394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.)</w:t>
            </w:r>
          </w:p>
        </w:tc>
        <w:tc>
          <w:tcPr>
            <w:tcW w:w="1435" w:type="dxa"/>
            <w:shd w:val="clear" w:color="auto" w:fill="auto"/>
          </w:tcPr>
          <w:p w:rsidR="00A00C70" w:rsidRPr="00A00C70" w:rsidRDefault="009140AA" w:rsidP="00A00C7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:rsidR="00A00C70" w:rsidRPr="00A00C70" w:rsidRDefault="009140AA" w:rsidP="00A00C7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:rsidR="00A00C70" w:rsidRPr="00A00C70" w:rsidRDefault="009140AA" w:rsidP="00A00C7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11</w:t>
            </w:r>
          </w:p>
        </w:tc>
        <w:tc>
          <w:tcPr>
            <w:tcW w:w="1567" w:type="dxa"/>
            <w:shd w:val="clear" w:color="auto" w:fill="auto"/>
          </w:tcPr>
          <w:p w:rsidR="00A00C70" w:rsidRPr="00A00C70" w:rsidRDefault="00A00C70" w:rsidP="00A00C7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A00C7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5</w:t>
            </w:r>
          </w:p>
        </w:tc>
      </w:tr>
    </w:tbl>
    <w:p w:rsidR="008A59BD" w:rsidRDefault="00BB69CF" w:rsidP="009261D5">
      <w:pPr>
        <w:pStyle w:val="Standard"/>
        <w:ind w:firstLine="851"/>
        <w:rPr>
          <w:b/>
          <w:noProof/>
          <w:lang w:val="lt-LT"/>
        </w:rPr>
      </w:pPr>
      <w:r>
        <w:rPr>
          <w:rFonts w:eastAsia="Times New Roman"/>
          <w:noProof/>
          <w:kern w:val="0"/>
        </w:rPr>
        <w:t>2015–</w:t>
      </w:r>
      <w:r w:rsidR="008A59BD" w:rsidRPr="00D65EE4">
        <w:rPr>
          <w:rFonts w:eastAsia="Times New Roman"/>
          <w:noProof/>
          <w:kern w:val="0"/>
        </w:rPr>
        <w:t>2016 m.</w:t>
      </w:r>
      <w:r w:rsidR="008A59BD">
        <w:rPr>
          <w:rFonts w:eastAsia="Times New Roman"/>
          <w:noProof/>
          <w:kern w:val="0"/>
        </w:rPr>
        <w:t xml:space="preserve"> </w:t>
      </w:r>
      <w:r w:rsidR="008A59BD" w:rsidRPr="00D65EE4">
        <w:rPr>
          <w:rFonts w:eastAsia="Times New Roman"/>
          <w:noProof/>
          <w:kern w:val="0"/>
        </w:rPr>
        <w:t>m. koncertinėje</w:t>
      </w:r>
      <w:r>
        <w:rPr>
          <w:rFonts w:eastAsia="Times New Roman"/>
          <w:noProof/>
          <w:kern w:val="0"/>
        </w:rPr>
        <w:t xml:space="preserve"> veikloje (</w:t>
      </w:r>
      <w:r w:rsidR="008A59BD" w:rsidRPr="00D24D43">
        <w:rPr>
          <w:rFonts w:eastAsia="Times New Roman"/>
          <w:noProof/>
          <w:kern w:val="0"/>
        </w:rPr>
        <w:t>67 renginiai</w:t>
      </w:r>
      <w:r>
        <w:rPr>
          <w:rFonts w:eastAsia="Times New Roman"/>
          <w:noProof/>
          <w:kern w:val="0"/>
        </w:rPr>
        <w:t>) dalyvavo apie 700 mokinių</w:t>
      </w:r>
      <w:r w:rsidR="008A59BD" w:rsidRPr="00D24D43">
        <w:rPr>
          <w:rFonts w:eastAsia="Times New Roman"/>
          <w:noProof/>
          <w:kern w:val="0"/>
        </w:rPr>
        <w:t>.</w:t>
      </w:r>
    </w:p>
    <w:p w:rsidR="0073452C" w:rsidRPr="00567960" w:rsidRDefault="00602693" w:rsidP="009261D5">
      <w:pPr>
        <w:pStyle w:val="Standard"/>
        <w:ind w:firstLine="851"/>
        <w:rPr>
          <w:noProof/>
          <w:lang w:val="lt-LT"/>
        </w:rPr>
      </w:pPr>
      <w:r w:rsidRPr="00567960">
        <w:rPr>
          <w:noProof/>
          <w:lang w:val="lt-LT"/>
        </w:rPr>
        <w:t>Projektai</w:t>
      </w:r>
    </w:p>
    <w:tbl>
      <w:tblPr>
        <w:tblW w:w="9356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984"/>
        <w:gridCol w:w="1701"/>
        <w:gridCol w:w="1559"/>
        <w:gridCol w:w="993"/>
      </w:tblGrid>
      <w:tr w:rsidR="008305B7" w:rsidRPr="0053355C" w:rsidTr="00E7297A"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5B7" w:rsidRPr="008305B7" w:rsidRDefault="008305B7">
            <w:pPr>
              <w:pStyle w:val="Standard"/>
              <w:jc w:val="center"/>
              <w:rPr>
                <w:b/>
                <w:noProof/>
                <w:lang w:val="lt-LT" w:eastAsia="lt-LT"/>
              </w:rPr>
            </w:pPr>
            <w:r w:rsidRPr="008305B7">
              <w:rPr>
                <w:b/>
                <w:noProof/>
                <w:lang w:val="lt-LT" w:eastAsia="lt-LT"/>
              </w:rPr>
              <w:t>Socialiniai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5B7" w:rsidRPr="008305B7" w:rsidRDefault="008305B7">
            <w:pPr>
              <w:pStyle w:val="Standard"/>
              <w:jc w:val="center"/>
              <w:rPr>
                <w:b/>
                <w:noProof/>
                <w:shd w:val="clear" w:color="auto" w:fill="FFFFFF"/>
                <w:lang w:val="lt-LT" w:eastAsia="lt-LT"/>
              </w:rPr>
            </w:pPr>
            <w:r w:rsidRPr="008305B7">
              <w:rPr>
                <w:b/>
                <w:noProof/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5B7" w:rsidRPr="008305B7" w:rsidRDefault="008305B7">
            <w:pPr>
              <w:pStyle w:val="Standard"/>
              <w:jc w:val="center"/>
              <w:rPr>
                <w:b/>
                <w:noProof/>
                <w:lang w:val="lt-LT" w:eastAsia="lt-LT"/>
              </w:rPr>
            </w:pPr>
            <w:r w:rsidRPr="008305B7">
              <w:rPr>
                <w:b/>
                <w:noProof/>
                <w:lang w:val="lt-LT" w:eastAsia="lt-LT"/>
              </w:rPr>
              <w:t>Mokomieji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5B7" w:rsidRPr="008305B7" w:rsidRDefault="008305B7">
            <w:pPr>
              <w:pStyle w:val="Standard"/>
              <w:jc w:val="center"/>
              <w:rPr>
                <w:b/>
                <w:noProof/>
                <w:lang w:val="lt-LT" w:eastAsia="lt-LT"/>
              </w:rPr>
            </w:pPr>
            <w:r w:rsidRPr="008305B7">
              <w:rPr>
                <w:b/>
                <w:noProof/>
                <w:lang w:val="lt-LT" w:eastAsia="lt-LT"/>
              </w:rPr>
              <w:t>Bendruomenės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5B7" w:rsidRPr="008305B7" w:rsidRDefault="008305B7">
            <w:pPr>
              <w:pStyle w:val="Standard"/>
              <w:jc w:val="center"/>
              <w:rPr>
                <w:b/>
                <w:noProof/>
                <w:lang w:val="lt-LT" w:eastAsia="lt-LT"/>
              </w:rPr>
            </w:pPr>
            <w:r w:rsidRPr="008305B7">
              <w:rPr>
                <w:b/>
                <w:noProof/>
                <w:lang w:val="lt-LT" w:eastAsia="lt-LT"/>
              </w:rPr>
              <w:t>Tarptautiniai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5B7" w:rsidRPr="008305B7" w:rsidRDefault="008305B7">
            <w:pPr>
              <w:pStyle w:val="Standard"/>
              <w:jc w:val="center"/>
              <w:rPr>
                <w:b/>
                <w:noProof/>
                <w:lang w:val="lt-LT" w:eastAsia="lt-LT"/>
              </w:rPr>
            </w:pPr>
            <w:r w:rsidRPr="008305B7">
              <w:rPr>
                <w:b/>
                <w:noProof/>
                <w:lang w:val="lt-LT" w:eastAsia="lt-LT"/>
              </w:rPr>
              <w:t>Kiti</w:t>
            </w:r>
          </w:p>
        </w:tc>
      </w:tr>
      <w:tr w:rsidR="006809A2" w:rsidRPr="0053355C" w:rsidTr="00E7297A">
        <w:tc>
          <w:tcPr>
            <w:tcW w:w="9356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446042" w:rsidRDefault="006809A2" w:rsidP="00446042">
            <w:pPr>
              <w:pStyle w:val="Standard"/>
              <w:rPr>
                <w:bCs/>
                <w:noProof/>
                <w:lang w:val="lt-LT" w:eastAsia="lt-LT"/>
              </w:rPr>
            </w:pPr>
            <w:r w:rsidRPr="008305B7">
              <w:rPr>
                <w:bCs/>
                <w:noProof/>
                <w:lang w:val="lt-LT" w:eastAsia="lt-LT"/>
              </w:rPr>
              <w:t>Vykdytų projektų skaičius ir /dalyvavusių mokinių skaičius</w:t>
            </w:r>
            <w:r w:rsidR="00446042">
              <w:rPr>
                <w:bCs/>
                <w:noProof/>
                <w:lang w:val="lt-LT" w:eastAsia="lt-LT"/>
              </w:rPr>
              <w:t xml:space="preserve"> </w:t>
            </w:r>
            <w:r w:rsidRPr="008305B7">
              <w:rPr>
                <w:bCs/>
                <w:noProof/>
                <w:lang w:val="lt-LT" w:eastAsia="lt-LT"/>
              </w:rPr>
              <w:t xml:space="preserve">(proc. nuo bendro mokinių </w:t>
            </w:r>
            <w:r w:rsidR="00446042">
              <w:rPr>
                <w:bCs/>
                <w:noProof/>
                <w:lang w:val="lt-LT" w:eastAsia="lt-LT"/>
              </w:rPr>
              <w:t>sk.)</w:t>
            </w:r>
          </w:p>
        </w:tc>
      </w:tr>
      <w:tr w:rsidR="006809A2" w:rsidRPr="0053355C" w:rsidTr="00E7297A"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53355C" w:rsidRDefault="0073452C" w:rsidP="0073452C">
            <w:pPr>
              <w:pStyle w:val="Standard"/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53355C" w:rsidRDefault="0073452C" w:rsidP="0073452C">
            <w:pPr>
              <w:pStyle w:val="Standard"/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602693" w:rsidRDefault="0073452C" w:rsidP="0073452C">
            <w:pPr>
              <w:pStyle w:val="Standard"/>
              <w:jc w:val="center"/>
              <w:rPr>
                <w:bCs/>
                <w:noProof/>
                <w:lang w:val="lt-LT"/>
              </w:rPr>
            </w:pPr>
            <w:r w:rsidRPr="00602693">
              <w:rPr>
                <w:bCs/>
                <w:noProof/>
                <w:lang w:val="lt-LT"/>
              </w:rPr>
              <w:t>1</w:t>
            </w:r>
            <w:r w:rsidR="00336193">
              <w:rPr>
                <w:bCs/>
                <w:noProof/>
                <w:lang w:val="lt-LT"/>
              </w:rPr>
              <w:t xml:space="preserve"> </w:t>
            </w:r>
            <w:r w:rsidR="0030509E" w:rsidRPr="00602693">
              <w:rPr>
                <w:bCs/>
                <w:noProof/>
                <w:lang w:val="lt-LT"/>
              </w:rPr>
              <w:t>/</w:t>
            </w:r>
            <w:r w:rsidR="00336193">
              <w:rPr>
                <w:bCs/>
                <w:noProof/>
                <w:lang w:val="lt-LT"/>
              </w:rPr>
              <w:t xml:space="preserve"> </w:t>
            </w:r>
            <w:r w:rsidR="0030509E" w:rsidRPr="00602693">
              <w:rPr>
                <w:bCs/>
                <w:noProof/>
                <w:lang w:val="lt-LT"/>
              </w:rPr>
              <w:t>148</w:t>
            </w:r>
            <w:r w:rsidR="00A61788">
              <w:rPr>
                <w:bCs/>
                <w:noProof/>
                <w:lang w:val="lt-LT"/>
              </w:rPr>
              <w:t xml:space="preserve"> </w:t>
            </w:r>
            <w:r w:rsidR="00602693" w:rsidRPr="00602693">
              <w:rPr>
                <w:bCs/>
                <w:noProof/>
                <w:lang w:val="lt-LT"/>
              </w:rPr>
              <w:t>/</w:t>
            </w:r>
            <w:r w:rsidR="0030509E" w:rsidRPr="00602693">
              <w:rPr>
                <w:bCs/>
                <w:noProof/>
                <w:lang w:val="lt-LT"/>
              </w:rPr>
              <w:t xml:space="preserve"> </w:t>
            </w:r>
            <w:r w:rsidRPr="00602693">
              <w:rPr>
                <w:bCs/>
                <w:noProof/>
                <w:lang w:val="lt-LT"/>
              </w:rPr>
              <w:t>69,81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53355C" w:rsidRDefault="0073452C" w:rsidP="0073452C">
            <w:pPr>
              <w:pStyle w:val="Standard"/>
              <w:jc w:val="center"/>
              <w:rPr>
                <w:noProof/>
                <w:lang w:val="lt-LT" w:eastAsia="lt-LT"/>
              </w:rPr>
            </w:pPr>
            <w:r>
              <w:rPr>
                <w:noProof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53355C" w:rsidRDefault="0073452C" w:rsidP="0073452C">
            <w:pPr>
              <w:pStyle w:val="Standard"/>
              <w:jc w:val="center"/>
              <w:rPr>
                <w:noProof/>
                <w:lang w:val="lt-LT" w:eastAsia="lt-LT"/>
              </w:rPr>
            </w:pPr>
            <w:r>
              <w:rPr>
                <w:noProof/>
                <w:lang w:val="lt-LT" w:eastAsia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9A2" w:rsidRPr="0053355C" w:rsidRDefault="0073452C" w:rsidP="0073452C">
            <w:pPr>
              <w:pStyle w:val="Standard"/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</w:t>
            </w:r>
          </w:p>
        </w:tc>
      </w:tr>
    </w:tbl>
    <w:p w:rsidR="00F60F1C" w:rsidRPr="00B90576" w:rsidRDefault="00A74F42" w:rsidP="00B90576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</w:pPr>
      <w:r w:rsidRPr="0056796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Darbas su </w:t>
      </w:r>
      <w:r w:rsidRPr="00567960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gabiais ir talentingais mokiniais.</w:t>
      </w:r>
      <w:r w:rsidR="0069694D" w:rsidRPr="00567960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Pr="00A74F4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Vykd</w:t>
      </w:r>
      <w:r w:rsidR="00242C26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oma</w:t>
      </w:r>
      <w:r w:rsidRPr="00A74F4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profesinės linkmės muzikinio ugdymo modulio program</w:t>
      </w:r>
      <w:r w:rsidR="00242C26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a</w:t>
      </w:r>
      <w:r w:rsidRPr="00A74F42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, kurioje dalyvavo 15 mokinių.</w:t>
      </w:r>
    </w:p>
    <w:p w:rsidR="00276BAC" w:rsidRDefault="00276BAC" w:rsidP="006540C9">
      <w:pPr>
        <w:pStyle w:val="Standard"/>
        <w:ind w:left="1080"/>
        <w:jc w:val="center"/>
        <w:rPr>
          <w:b/>
          <w:noProof/>
          <w:lang w:val="lt-LT"/>
        </w:rPr>
      </w:pPr>
      <w:r>
        <w:rPr>
          <w:b/>
          <w:noProof/>
          <w:lang w:val="lt-LT"/>
        </w:rPr>
        <w:t xml:space="preserve">III. </w:t>
      </w:r>
      <w:r w:rsidR="00DF0476" w:rsidRPr="0053355C">
        <w:rPr>
          <w:b/>
          <w:noProof/>
          <w:lang w:val="lt-LT"/>
        </w:rPr>
        <w:t>INFORMACIJA APIE MOKINIŲ VEIKLOS REZULTATUS</w:t>
      </w:r>
    </w:p>
    <w:p w:rsidR="00C35A21" w:rsidRPr="009A0558" w:rsidRDefault="00707897" w:rsidP="006540C9">
      <w:pPr>
        <w:pStyle w:val="Standard"/>
        <w:ind w:firstLine="709"/>
        <w:jc w:val="both"/>
        <w:rPr>
          <w:noProof/>
          <w:lang w:val="lt-LT"/>
        </w:rPr>
      </w:pPr>
      <w:r w:rsidRPr="00567960">
        <w:rPr>
          <w:rFonts w:eastAsia="Times New Roman"/>
          <w:noProof/>
          <w:lang w:val="lt-LT" w:eastAsia="en-US"/>
        </w:rPr>
        <w:t xml:space="preserve">2016 m. </w:t>
      </w:r>
      <w:r w:rsidR="00DF0476" w:rsidRPr="00567960">
        <w:rPr>
          <w:rFonts w:eastAsia="Times New Roman"/>
          <w:noProof/>
          <w:lang w:val="lt-LT" w:eastAsia="en-US"/>
        </w:rPr>
        <w:t>egzaminų rezultatai.</w:t>
      </w:r>
      <w:r w:rsidR="00605AFC">
        <w:rPr>
          <w:rFonts w:eastAsia="Times New Roman"/>
          <w:b/>
          <w:noProof/>
          <w:lang w:val="lt-LT" w:eastAsia="en-US"/>
        </w:rPr>
        <w:t xml:space="preserve"> </w:t>
      </w:r>
      <w:r w:rsidR="00605AFC" w:rsidRPr="009A0558">
        <w:rPr>
          <w:rFonts w:eastAsia="Times New Roman"/>
          <w:noProof/>
          <w:lang w:val="lt-LT" w:eastAsia="en-US"/>
        </w:rPr>
        <w:t>Laikė</w:t>
      </w:r>
      <w:r w:rsidR="00A4473D">
        <w:rPr>
          <w:rFonts w:eastAsia="Times New Roman"/>
          <w:noProof/>
          <w:lang w:val="lt-LT" w:eastAsia="en-US"/>
        </w:rPr>
        <w:t>:</w:t>
      </w:r>
      <w:r w:rsidR="00605AFC" w:rsidRPr="009A0558">
        <w:rPr>
          <w:rFonts w:eastAsia="Times New Roman"/>
          <w:noProof/>
          <w:lang w:val="lt-LT" w:eastAsia="en-US"/>
        </w:rPr>
        <w:t xml:space="preserve"> muzikavimo egzaminą – 20</w:t>
      </w:r>
      <w:r>
        <w:rPr>
          <w:rFonts w:eastAsia="Times New Roman"/>
          <w:noProof/>
          <w:lang w:val="lt-LT" w:eastAsia="en-US"/>
        </w:rPr>
        <w:t xml:space="preserve"> mokinių</w:t>
      </w:r>
      <w:r w:rsidR="00605AFC" w:rsidRPr="009A0558">
        <w:rPr>
          <w:rFonts w:eastAsia="Times New Roman"/>
          <w:noProof/>
          <w:lang w:val="lt-LT" w:eastAsia="en-US"/>
        </w:rPr>
        <w:t xml:space="preserve">, </w:t>
      </w:r>
      <w:r w:rsidR="009A0558">
        <w:rPr>
          <w:rFonts w:eastAsia="Times New Roman"/>
          <w:noProof/>
          <w:lang w:val="lt-LT" w:eastAsia="en-US"/>
        </w:rPr>
        <w:t xml:space="preserve">įvertinimas balais: </w:t>
      </w:r>
      <w:r w:rsidR="009A0558" w:rsidRPr="009A0558">
        <w:rPr>
          <w:rFonts w:eastAsia="Times New Roman"/>
          <w:noProof/>
          <w:lang w:val="lt-LT" w:eastAsia="en-US"/>
        </w:rPr>
        <w:t>8 –</w:t>
      </w:r>
      <w:r w:rsidR="009A0558">
        <w:rPr>
          <w:rFonts w:eastAsia="Times New Roman"/>
          <w:noProof/>
          <w:lang w:val="lt-LT" w:eastAsia="en-US"/>
        </w:rPr>
        <w:t xml:space="preserve"> 2</w:t>
      </w:r>
      <w:r w:rsidR="0080734D">
        <w:rPr>
          <w:rFonts w:eastAsia="Times New Roman"/>
          <w:noProof/>
          <w:lang w:val="lt-LT" w:eastAsia="en-US"/>
        </w:rPr>
        <w:t xml:space="preserve"> mok.</w:t>
      </w:r>
      <w:r w:rsidR="009A0558" w:rsidRPr="009A0558">
        <w:rPr>
          <w:rFonts w:eastAsia="Times New Roman"/>
          <w:noProof/>
          <w:lang w:val="lt-LT" w:eastAsia="en-US"/>
        </w:rPr>
        <w:t>, 9 –</w:t>
      </w:r>
      <w:r w:rsidR="009A0558">
        <w:rPr>
          <w:rFonts w:eastAsia="Times New Roman"/>
          <w:noProof/>
          <w:lang w:val="lt-LT" w:eastAsia="en-US"/>
        </w:rPr>
        <w:t xml:space="preserve"> 11</w:t>
      </w:r>
      <w:r w:rsidR="0080734D">
        <w:rPr>
          <w:rFonts w:eastAsia="Times New Roman"/>
          <w:noProof/>
          <w:lang w:val="lt-LT" w:eastAsia="en-US"/>
        </w:rPr>
        <w:t xml:space="preserve"> mok.</w:t>
      </w:r>
      <w:r w:rsidR="009A0558" w:rsidRPr="009A0558">
        <w:rPr>
          <w:rFonts w:eastAsia="Times New Roman"/>
          <w:noProof/>
          <w:lang w:val="lt-LT" w:eastAsia="en-US"/>
        </w:rPr>
        <w:t>, 10 –</w:t>
      </w:r>
      <w:r w:rsidR="009A0558">
        <w:rPr>
          <w:rFonts w:eastAsia="Times New Roman"/>
          <w:noProof/>
          <w:lang w:val="lt-LT" w:eastAsia="en-US"/>
        </w:rPr>
        <w:t xml:space="preserve"> 7</w:t>
      </w:r>
      <w:r w:rsidR="0080734D">
        <w:rPr>
          <w:rFonts w:eastAsia="Times New Roman"/>
          <w:noProof/>
          <w:lang w:val="lt-LT" w:eastAsia="en-US"/>
        </w:rPr>
        <w:t xml:space="preserve"> mok</w:t>
      </w:r>
      <w:r w:rsidR="009A0558" w:rsidRPr="009A0558">
        <w:rPr>
          <w:rFonts w:eastAsia="Times New Roman"/>
          <w:noProof/>
          <w:lang w:val="lt-LT" w:eastAsia="en-US"/>
        </w:rPr>
        <w:t>.</w:t>
      </w:r>
      <w:r w:rsidR="00AA71CD">
        <w:rPr>
          <w:rFonts w:eastAsia="Times New Roman"/>
          <w:noProof/>
          <w:lang w:val="lt-LT" w:eastAsia="en-US"/>
        </w:rPr>
        <w:t xml:space="preserve"> Solfedžio egzaminą – 20 mokinių, įvertinimas balais: </w:t>
      </w:r>
      <w:r w:rsidR="006540C9">
        <w:rPr>
          <w:rFonts w:eastAsia="Times New Roman"/>
          <w:noProof/>
          <w:lang w:val="lt-LT" w:eastAsia="en-US"/>
        </w:rPr>
        <w:br/>
      </w:r>
      <w:r w:rsidR="00AA71CD">
        <w:rPr>
          <w:rFonts w:eastAsia="Times New Roman"/>
          <w:noProof/>
          <w:lang w:val="lt-LT" w:eastAsia="en-US"/>
        </w:rPr>
        <w:t xml:space="preserve">7 – 6 mok., </w:t>
      </w:r>
      <w:r w:rsidR="00AA71CD" w:rsidRPr="009A0558">
        <w:rPr>
          <w:rFonts w:eastAsia="Times New Roman"/>
          <w:noProof/>
          <w:lang w:val="lt-LT" w:eastAsia="en-US"/>
        </w:rPr>
        <w:t>8 –</w:t>
      </w:r>
      <w:r w:rsidR="00A4473D">
        <w:rPr>
          <w:rFonts w:eastAsia="Times New Roman"/>
          <w:noProof/>
          <w:lang w:val="lt-LT" w:eastAsia="en-US"/>
        </w:rPr>
        <w:t xml:space="preserve"> 8</w:t>
      </w:r>
      <w:r w:rsidR="00AA71CD">
        <w:rPr>
          <w:rFonts w:eastAsia="Times New Roman"/>
          <w:noProof/>
          <w:lang w:val="lt-LT" w:eastAsia="en-US"/>
        </w:rPr>
        <w:t xml:space="preserve"> mok.</w:t>
      </w:r>
      <w:r w:rsidR="00AA71CD" w:rsidRPr="009A0558">
        <w:rPr>
          <w:rFonts w:eastAsia="Times New Roman"/>
          <w:noProof/>
          <w:lang w:val="lt-LT" w:eastAsia="en-US"/>
        </w:rPr>
        <w:t>, 9 –</w:t>
      </w:r>
      <w:r w:rsidR="00AA71CD">
        <w:rPr>
          <w:rFonts w:eastAsia="Times New Roman"/>
          <w:noProof/>
          <w:lang w:val="lt-LT" w:eastAsia="en-US"/>
        </w:rPr>
        <w:t xml:space="preserve"> 4 mok.</w:t>
      </w:r>
      <w:r w:rsidR="00AA71CD" w:rsidRPr="009A0558">
        <w:rPr>
          <w:rFonts w:eastAsia="Times New Roman"/>
          <w:noProof/>
          <w:lang w:val="lt-LT" w:eastAsia="en-US"/>
        </w:rPr>
        <w:t>, 10 –</w:t>
      </w:r>
      <w:r w:rsidR="00A4473D">
        <w:rPr>
          <w:rFonts w:eastAsia="Times New Roman"/>
          <w:noProof/>
          <w:lang w:val="lt-LT" w:eastAsia="en-US"/>
        </w:rPr>
        <w:t xml:space="preserve"> 2</w:t>
      </w:r>
      <w:r w:rsidR="00AA71CD">
        <w:rPr>
          <w:rFonts w:eastAsia="Times New Roman"/>
          <w:noProof/>
          <w:lang w:val="lt-LT" w:eastAsia="en-US"/>
        </w:rPr>
        <w:t xml:space="preserve"> mok</w:t>
      </w:r>
      <w:r w:rsidR="00AA71CD" w:rsidRPr="009A0558">
        <w:rPr>
          <w:rFonts w:eastAsia="Times New Roman"/>
          <w:noProof/>
          <w:lang w:val="lt-LT" w:eastAsia="en-US"/>
        </w:rPr>
        <w:t>.</w:t>
      </w:r>
    </w:p>
    <w:p w:rsidR="00C35A21" w:rsidRPr="0053355C" w:rsidRDefault="00284B84" w:rsidP="006540C9">
      <w:pPr>
        <w:pStyle w:val="Betarp"/>
        <w:ind w:firstLine="709"/>
        <w:jc w:val="both"/>
        <w:rPr>
          <w:noProof/>
        </w:rPr>
      </w:pPr>
      <w:r w:rsidRPr="00567960">
        <w:rPr>
          <w:rFonts w:ascii="Times New Roman" w:hAnsi="Times New Roman"/>
          <w:noProof/>
          <w:sz w:val="24"/>
          <w:szCs w:val="24"/>
        </w:rPr>
        <w:lastRenderedPageBreak/>
        <w:t>Mokinių pažangos ir pasiekimų vertinimas.</w:t>
      </w:r>
      <w:r w:rsidR="005D377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D3775">
        <w:rPr>
          <w:rFonts w:ascii="Times New Roman" w:hAnsi="Times New Roman"/>
          <w:noProof/>
          <w:sz w:val="24"/>
          <w:szCs w:val="24"/>
        </w:rPr>
        <w:t>P</w:t>
      </w:r>
      <w:r w:rsidR="006B13AF" w:rsidRPr="006B13AF">
        <w:rPr>
          <w:rFonts w:ascii="Times New Roman" w:hAnsi="Times New Roman"/>
          <w:noProof/>
          <w:sz w:val="24"/>
          <w:szCs w:val="24"/>
        </w:rPr>
        <w:t xml:space="preserve">amokų, atsiskaitymų, egzaminų, koncertų, tyrimų ir kitu metu </w:t>
      </w:r>
      <w:r w:rsidR="005D3775">
        <w:rPr>
          <w:rFonts w:ascii="Times New Roman" w:hAnsi="Times New Roman"/>
          <w:noProof/>
          <w:sz w:val="24"/>
          <w:szCs w:val="24"/>
        </w:rPr>
        <w:t>buvo kaupiama</w:t>
      </w:r>
      <w:r w:rsidR="006B13AF" w:rsidRPr="006B13AF">
        <w:rPr>
          <w:rFonts w:ascii="Times New Roman" w:hAnsi="Times New Roman"/>
          <w:noProof/>
          <w:sz w:val="24"/>
          <w:szCs w:val="24"/>
        </w:rPr>
        <w:t xml:space="preserve"> infor</w:t>
      </w:r>
      <w:r w:rsidR="005D3775">
        <w:rPr>
          <w:rFonts w:ascii="Times New Roman" w:hAnsi="Times New Roman"/>
          <w:noProof/>
          <w:sz w:val="24"/>
          <w:szCs w:val="24"/>
        </w:rPr>
        <w:t>macija</w:t>
      </w:r>
      <w:r w:rsidR="006B13AF" w:rsidRPr="006B13AF">
        <w:rPr>
          <w:rFonts w:ascii="Times New Roman" w:hAnsi="Times New Roman"/>
          <w:noProof/>
          <w:sz w:val="24"/>
          <w:szCs w:val="24"/>
        </w:rPr>
        <w:t xml:space="preserve"> apie mokinių mokymąsi, jų pasiekimus ir daromą pažangą</w:t>
      </w:r>
      <w:r w:rsidR="00504B3B">
        <w:rPr>
          <w:rFonts w:ascii="Times New Roman" w:hAnsi="Times New Roman"/>
          <w:noProof/>
          <w:sz w:val="24"/>
          <w:szCs w:val="24"/>
        </w:rPr>
        <w:t>.</w:t>
      </w:r>
      <w:r w:rsidR="005D3775">
        <w:rPr>
          <w:rFonts w:ascii="Times New Roman" w:hAnsi="Times New Roman"/>
          <w:noProof/>
          <w:sz w:val="24"/>
          <w:szCs w:val="24"/>
        </w:rPr>
        <w:t xml:space="preserve"> A</w:t>
      </w:r>
      <w:r w:rsidR="006B13AF" w:rsidRPr="006B13AF">
        <w:rPr>
          <w:rFonts w:ascii="Times New Roman" w:hAnsi="Times New Roman"/>
          <w:noProof/>
          <w:sz w:val="24"/>
          <w:szCs w:val="24"/>
        </w:rPr>
        <w:t>ptarta su tėvais (globėjais, r</w:t>
      </w:r>
      <w:r w:rsidR="0069694D">
        <w:rPr>
          <w:rFonts w:ascii="Times New Roman" w:hAnsi="Times New Roman"/>
          <w:noProof/>
          <w:sz w:val="24"/>
          <w:szCs w:val="24"/>
        </w:rPr>
        <w:t>ū</w:t>
      </w:r>
      <w:r w:rsidR="006B13AF" w:rsidRPr="006B13AF">
        <w:rPr>
          <w:rFonts w:ascii="Times New Roman" w:hAnsi="Times New Roman"/>
          <w:noProof/>
          <w:sz w:val="24"/>
          <w:szCs w:val="24"/>
        </w:rPr>
        <w:t>pintojais) individualių pokalbių metu, mokytojų tarybos posėdžiuose, bendruose tėvų (globėjų, rūpintojų) susirinkimuose.</w:t>
      </w:r>
      <w:r w:rsidR="006B13AF" w:rsidRPr="006B13AF">
        <w:rPr>
          <w:rFonts w:ascii="Times New Roman" w:hAnsi="Times New Roman"/>
          <w:sz w:val="24"/>
          <w:szCs w:val="24"/>
        </w:rPr>
        <w:t xml:space="preserve"> Ši informacija panaudota koreguojant ir planuojant toli</w:t>
      </w:r>
      <w:r w:rsidR="0069694D">
        <w:rPr>
          <w:rFonts w:ascii="Times New Roman" w:hAnsi="Times New Roman"/>
          <w:sz w:val="24"/>
          <w:szCs w:val="24"/>
        </w:rPr>
        <w:t>mesnį mokinių ugdymą</w:t>
      </w:r>
      <w:r w:rsidR="006B13AF" w:rsidRPr="006B13AF">
        <w:rPr>
          <w:rFonts w:ascii="Times New Roman" w:hAnsi="Times New Roman"/>
          <w:sz w:val="24"/>
          <w:szCs w:val="24"/>
        </w:rPr>
        <w:t>(</w:t>
      </w:r>
      <w:proofErr w:type="spellStart"/>
      <w:r w:rsidR="006B13AF" w:rsidRPr="006B13AF">
        <w:rPr>
          <w:rFonts w:ascii="Times New Roman" w:hAnsi="Times New Roman"/>
          <w:sz w:val="24"/>
          <w:szCs w:val="24"/>
        </w:rPr>
        <w:t>si</w:t>
      </w:r>
      <w:proofErr w:type="spellEnd"/>
      <w:r w:rsidR="006B13AF" w:rsidRPr="006B13AF">
        <w:rPr>
          <w:rFonts w:ascii="Times New Roman" w:hAnsi="Times New Roman"/>
          <w:sz w:val="24"/>
          <w:szCs w:val="24"/>
        </w:rPr>
        <w:t>), analizuojant ugdymo procesą ir planuojant būtinus pokyčius.</w:t>
      </w:r>
      <w:r w:rsidR="005D3775">
        <w:rPr>
          <w:rFonts w:ascii="Times New Roman" w:hAnsi="Times New Roman"/>
          <w:sz w:val="24"/>
          <w:szCs w:val="24"/>
        </w:rPr>
        <w:t xml:space="preserve"> </w:t>
      </w:r>
      <w:r w:rsidR="006B13AF" w:rsidRPr="006B13AF">
        <w:rPr>
          <w:rFonts w:ascii="Times New Roman" w:eastAsia="Times New Roman" w:hAnsi="Times New Roman"/>
          <w:noProof/>
          <w:sz w:val="24"/>
          <w:szCs w:val="24"/>
        </w:rPr>
        <w:t>Atlikti tyrimai</w:t>
      </w:r>
      <w:r w:rsidR="0069694D">
        <w:rPr>
          <w:rFonts w:ascii="Times New Roman" w:eastAsia="Times New Roman" w:hAnsi="Times New Roman"/>
          <w:noProof/>
          <w:sz w:val="24"/>
          <w:szCs w:val="24"/>
        </w:rPr>
        <w:t>:</w:t>
      </w:r>
      <w:r w:rsidR="006B13AF" w:rsidRPr="006B13AF">
        <w:rPr>
          <w:rFonts w:ascii="Times New Roman" w:eastAsia="Times New Roman" w:hAnsi="Times New Roman"/>
          <w:noProof/>
          <w:sz w:val="24"/>
          <w:szCs w:val="24"/>
        </w:rPr>
        <w:t xml:space="preserve"> ,,Metakognityvinio mokymo reikšmė mokinių mokymosi motyvacijai“, ,,Mano mokymosi stilius“.</w:t>
      </w:r>
      <w:r w:rsidR="006B13AF" w:rsidRPr="004B724F">
        <w:rPr>
          <w:rFonts w:ascii="Times New Roman" w:eastAsia="Times New Roman" w:hAnsi="Times New Roman"/>
          <w:bCs/>
          <w:noProof/>
          <w:sz w:val="24"/>
          <w:szCs w:val="24"/>
        </w:rPr>
        <w:t xml:space="preserve"> </w:t>
      </w:r>
      <w:r w:rsidR="006B13AF" w:rsidRPr="006B13AF">
        <w:rPr>
          <w:rFonts w:ascii="Times New Roman" w:eastAsia="Times New Roman" w:hAnsi="Times New Roman"/>
          <w:bCs/>
          <w:noProof/>
          <w:sz w:val="24"/>
          <w:szCs w:val="24"/>
        </w:rPr>
        <w:t xml:space="preserve">Tyrimų </w:t>
      </w:r>
      <w:r w:rsidR="006B13AF" w:rsidRPr="00B21711">
        <w:rPr>
          <w:rFonts w:ascii="Times New Roman" w:eastAsia="Times New Roman" w:hAnsi="Times New Roman"/>
          <w:bCs/>
          <w:noProof/>
          <w:sz w:val="24"/>
          <w:szCs w:val="24"/>
        </w:rPr>
        <w:t>tikslai</w:t>
      </w:r>
      <w:r w:rsidR="00B21711">
        <w:rPr>
          <w:rFonts w:ascii="Times New Roman" w:eastAsia="Times New Roman" w:hAnsi="Times New Roman"/>
          <w:noProof/>
          <w:sz w:val="24"/>
          <w:szCs w:val="24"/>
        </w:rPr>
        <w:t>:</w:t>
      </w:r>
      <w:r w:rsidR="006B13AF" w:rsidRPr="004B724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6B13AF" w:rsidRPr="006B13AF">
        <w:rPr>
          <w:rFonts w:ascii="Times New Roman" w:eastAsia="Times New Roman" w:hAnsi="Times New Roman"/>
          <w:noProof/>
          <w:sz w:val="24"/>
          <w:szCs w:val="24"/>
        </w:rPr>
        <w:t>atskleisti mokinių muzikinės raiškos poreikio formavimo galimybes mokantis groti fortepijonu</w:t>
      </w:r>
      <w:r w:rsidR="00B21711">
        <w:rPr>
          <w:rFonts w:ascii="Times New Roman" w:eastAsia="Times New Roman" w:hAnsi="Times New Roman"/>
          <w:noProof/>
          <w:sz w:val="24"/>
          <w:szCs w:val="24"/>
        </w:rPr>
        <w:t>; n</w:t>
      </w:r>
      <w:r w:rsidR="006B13AF" w:rsidRPr="006B13AF">
        <w:rPr>
          <w:rFonts w:ascii="Times New Roman" w:eastAsia="Times New Roman" w:hAnsi="Times New Roman"/>
          <w:noProof/>
          <w:sz w:val="24"/>
          <w:szCs w:val="24"/>
        </w:rPr>
        <w:t>ustatyti vaikų motyvacijas groti pasirinktu muzikos instrumentu, jų savarankiškumą mokantis ir galimybes siekiant užsibrėžto tikslo.</w:t>
      </w:r>
    </w:p>
    <w:p w:rsidR="00276BAC" w:rsidRPr="0053355C" w:rsidRDefault="006B50BF" w:rsidP="006540C9">
      <w:pPr>
        <w:pStyle w:val="Standard"/>
        <w:ind w:left="1080"/>
        <w:jc w:val="center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 xml:space="preserve">IV. </w:t>
      </w:r>
      <w:r w:rsidR="00DF0476" w:rsidRPr="0053355C">
        <w:rPr>
          <w:b/>
          <w:bCs/>
          <w:noProof/>
          <w:lang w:val="lt-LT"/>
        </w:rPr>
        <w:t>PEDAGOGAI</w:t>
      </w:r>
    </w:p>
    <w:p w:rsidR="006540C9" w:rsidRDefault="00630B48" w:rsidP="006540C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</w:pPr>
      <w:r w:rsidRPr="00567960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Mokyklos pedagogų kvalifi</w:t>
      </w:r>
      <w:r w:rsidR="00870F5B" w:rsidRPr="00567960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kacijos tobulinimo prioritetai.</w:t>
      </w:r>
      <w:r w:rsidR="00870F5B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w:t xml:space="preserve"> </w:t>
      </w:r>
      <w:r w:rsidRPr="00630B48">
        <w:rPr>
          <w:rFonts w:ascii="Times New Roman" w:eastAsia="Calibri" w:hAnsi="Times New Roman" w:cs="Times New Roman"/>
          <w:noProof/>
          <w:kern w:val="0"/>
          <w:sz w:val="24"/>
          <w:szCs w:val="24"/>
        </w:rPr>
        <w:t>P</w:t>
      </w:r>
      <w:r w:rsidRPr="00630B48"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  <w:t xml:space="preserve">edagogų profesinių kompetencijų stiprinimas ir tobulinimas, orientuojantis į kūrybiškumo ugdymą, tarpdalykines sąsajas, problemų sprendimą ir kitas tarpdalykines inovacijas, </w:t>
      </w:r>
      <w:r w:rsidR="00B21711"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  <w:t>gerin</w:t>
      </w:r>
      <w:r w:rsidRPr="00630B48"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  <w:t>ant mokinių pasiekim</w:t>
      </w:r>
      <w:r w:rsidR="00B21711"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  <w:t>us</w:t>
      </w:r>
      <w:r w:rsidRPr="00630B48"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  <w:t xml:space="preserve"> ir atsižvelgiant į individualius mokinių ugdymosi poreikius.</w:t>
      </w:r>
    </w:p>
    <w:p w:rsidR="00B21711" w:rsidRPr="00B90576" w:rsidRDefault="00B25C89" w:rsidP="00B90576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shd w:val="clear" w:color="auto" w:fill="FFFFFF"/>
        </w:rPr>
      </w:pPr>
      <w:r w:rsidRPr="00567960">
        <w:rPr>
          <w:rFonts w:ascii="Times New Roman" w:hAnsi="Times New Roman"/>
          <w:noProof/>
          <w:sz w:val="24"/>
          <w:szCs w:val="24"/>
        </w:rPr>
        <w:t>Pedagoginės veiklos pasiekimai.</w:t>
      </w:r>
      <w:r w:rsidR="000914E0">
        <w:rPr>
          <w:rFonts w:ascii="Times New Roman" w:hAnsi="Times New Roman"/>
          <w:noProof/>
          <w:sz w:val="24"/>
          <w:szCs w:val="24"/>
        </w:rPr>
        <w:t xml:space="preserve"> </w:t>
      </w:r>
      <w:r w:rsidR="0069694D">
        <w:rPr>
          <w:rFonts w:ascii="Times New Roman" w:hAnsi="Times New Roman"/>
          <w:noProof/>
          <w:sz w:val="24"/>
          <w:szCs w:val="24"/>
        </w:rPr>
        <w:t>Mokytojai d</w:t>
      </w:r>
      <w:r w:rsidR="000914E0">
        <w:rPr>
          <w:rFonts w:ascii="Times New Roman" w:hAnsi="Times New Roman"/>
          <w:noProof/>
          <w:sz w:val="24"/>
          <w:szCs w:val="24"/>
        </w:rPr>
        <w:t>alijo</w:t>
      </w:r>
      <w:r w:rsidR="00CD6036">
        <w:rPr>
          <w:rFonts w:ascii="Times New Roman" w:hAnsi="Times New Roman"/>
          <w:noProof/>
          <w:sz w:val="24"/>
          <w:szCs w:val="24"/>
        </w:rPr>
        <w:t>si gerąja patirtimi su š</w:t>
      </w:r>
      <w:r w:rsidR="000914E0" w:rsidRPr="00841E52">
        <w:rPr>
          <w:rFonts w:ascii="Times New Roman" w:hAnsi="Times New Roman"/>
          <w:noProof/>
          <w:sz w:val="24"/>
          <w:szCs w:val="24"/>
        </w:rPr>
        <w:t>alies muzikos ir meno mokyklomis (vesti 6 seminarai,</w:t>
      </w:r>
      <w:r w:rsidR="0069694D">
        <w:rPr>
          <w:rFonts w:ascii="Times New Roman" w:hAnsi="Times New Roman"/>
          <w:noProof/>
          <w:sz w:val="24"/>
          <w:szCs w:val="24"/>
        </w:rPr>
        <w:t xml:space="preserve"> publikuoti 25 straipsniai), d</w:t>
      </w:r>
      <w:r w:rsidR="000914E0" w:rsidRPr="00841E52">
        <w:rPr>
          <w:rFonts w:ascii="Times New Roman" w:hAnsi="Times New Roman"/>
          <w:noProof/>
          <w:sz w:val="24"/>
          <w:szCs w:val="24"/>
        </w:rPr>
        <w:t>alyvavo</w:t>
      </w:r>
      <w:r w:rsidR="007F0DE2">
        <w:rPr>
          <w:rFonts w:ascii="Times New Roman" w:hAnsi="Times New Roman"/>
          <w:noProof/>
          <w:sz w:val="24"/>
          <w:szCs w:val="24"/>
        </w:rPr>
        <w:t xml:space="preserve"> </w:t>
      </w:r>
      <w:r w:rsidR="000914E0" w:rsidRPr="00841E52">
        <w:rPr>
          <w:rFonts w:ascii="Times New Roman" w:hAnsi="Times New Roman"/>
          <w:noProof/>
          <w:sz w:val="24"/>
          <w:szCs w:val="24"/>
        </w:rPr>
        <w:t>šalies</w:t>
      </w:r>
      <w:r w:rsidR="007F0DE2">
        <w:rPr>
          <w:rFonts w:ascii="Times New Roman" w:hAnsi="Times New Roman"/>
          <w:noProof/>
          <w:sz w:val="24"/>
          <w:szCs w:val="24"/>
        </w:rPr>
        <w:t xml:space="preserve"> projektuose – </w:t>
      </w:r>
      <w:r w:rsidR="006540C9">
        <w:rPr>
          <w:rFonts w:ascii="Times New Roman" w:hAnsi="Times New Roman"/>
          <w:noProof/>
          <w:sz w:val="24"/>
          <w:szCs w:val="24"/>
        </w:rPr>
        <w:br/>
      </w:r>
      <w:r w:rsidR="007F0DE2">
        <w:rPr>
          <w:rFonts w:ascii="Times New Roman" w:hAnsi="Times New Roman"/>
          <w:noProof/>
          <w:sz w:val="24"/>
          <w:szCs w:val="24"/>
        </w:rPr>
        <w:t>17</w:t>
      </w:r>
      <w:r w:rsidR="00A01CB0">
        <w:rPr>
          <w:rFonts w:ascii="Times New Roman" w:hAnsi="Times New Roman"/>
          <w:noProof/>
          <w:sz w:val="24"/>
          <w:szCs w:val="24"/>
        </w:rPr>
        <w:t xml:space="preserve"> </w:t>
      </w:r>
      <w:r w:rsidR="0069694D">
        <w:rPr>
          <w:rFonts w:ascii="Times New Roman" w:hAnsi="Times New Roman"/>
          <w:noProof/>
          <w:sz w:val="24"/>
          <w:szCs w:val="24"/>
        </w:rPr>
        <w:t>(</w:t>
      </w:r>
      <w:r w:rsidR="007F0DE2">
        <w:rPr>
          <w:rFonts w:ascii="Times New Roman" w:hAnsi="Times New Roman"/>
          <w:noProof/>
          <w:sz w:val="24"/>
          <w:szCs w:val="24"/>
        </w:rPr>
        <w:t>89,47</w:t>
      </w:r>
      <w:r w:rsidR="00157BC9">
        <w:rPr>
          <w:rFonts w:ascii="Times New Roman" w:hAnsi="Times New Roman"/>
          <w:noProof/>
          <w:sz w:val="24"/>
          <w:szCs w:val="24"/>
        </w:rPr>
        <w:t xml:space="preserve"> </w:t>
      </w:r>
      <w:r w:rsidR="00157B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proc.</w:t>
      </w:r>
      <w:r w:rsidR="0069694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)</w:t>
      </w:r>
      <w:r w:rsidR="007F0DE2">
        <w:rPr>
          <w:rFonts w:ascii="Times New Roman" w:hAnsi="Times New Roman"/>
          <w:noProof/>
          <w:sz w:val="24"/>
          <w:szCs w:val="24"/>
        </w:rPr>
        <w:t>,</w:t>
      </w:r>
      <w:r w:rsidR="000914E0" w:rsidRPr="00841E52">
        <w:rPr>
          <w:rFonts w:ascii="Times New Roman" w:hAnsi="Times New Roman"/>
          <w:noProof/>
          <w:sz w:val="24"/>
          <w:szCs w:val="24"/>
        </w:rPr>
        <w:t xml:space="preserve"> </w:t>
      </w:r>
      <w:r w:rsidR="00B21711">
        <w:rPr>
          <w:rFonts w:ascii="Times New Roman" w:hAnsi="Times New Roman"/>
          <w:noProof/>
          <w:sz w:val="24"/>
          <w:szCs w:val="24"/>
        </w:rPr>
        <w:t>tarptautiniuose</w:t>
      </w:r>
      <w:r w:rsidR="007F0DE2" w:rsidRPr="00B25C89">
        <w:rPr>
          <w:rFonts w:ascii="Times New Roman" w:hAnsi="Times New Roman"/>
          <w:noProof/>
          <w:sz w:val="24"/>
          <w:szCs w:val="24"/>
        </w:rPr>
        <w:t xml:space="preserve"> projektuose</w:t>
      </w:r>
      <w:r w:rsidR="007F0DE2">
        <w:rPr>
          <w:rFonts w:ascii="Times New Roman" w:hAnsi="Times New Roman"/>
          <w:noProof/>
          <w:sz w:val="24"/>
          <w:szCs w:val="24"/>
        </w:rPr>
        <w:t xml:space="preserve"> –</w:t>
      </w:r>
      <w:r w:rsidR="00B21711">
        <w:rPr>
          <w:rFonts w:ascii="Times New Roman" w:hAnsi="Times New Roman"/>
          <w:noProof/>
          <w:sz w:val="24"/>
          <w:szCs w:val="24"/>
        </w:rPr>
        <w:t xml:space="preserve"> </w:t>
      </w:r>
      <w:r w:rsidR="00A01CB0">
        <w:rPr>
          <w:rFonts w:ascii="Times New Roman" w:hAnsi="Times New Roman"/>
          <w:noProof/>
          <w:sz w:val="24"/>
          <w:szCs w:val="24"/>
        </w:rPr>
        <w:t>3 (</w:t>
      </w:r>
      <w:r w:rsidR="007F0DE2">
        <w:rPr>
          <w:rFonts w:ascii="Times New Roman" w:hAnsi="Times New Roman"/>
          <w:noProof/>
          <w:sz w:val="24"/>
          <w:szCs w:val="24"/>
        </w:rPr>
        <w:t>15,78</w:t>
      </w:r>
      <w:r w:rsidR="00157B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proc.</w:t>
      </w:r>
      <w:r w:rsidR="00A01CB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)</w:t>
      </w:r>
      <w:r w:rsidR="00283C3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.</w:t>
      </w:r>
      <w:r w:rsidR="00283C3A">
        <w:rPr>
          <w:rFonts w:ascii="Times New Roman" w:hAnsi="Times New Roman"/>
          <w:noProof/>
          <w:sz w:val="24"/>
          <w:szCs w:val="24"/>
        </w:rPr>
        <w:t xml:space="preserve"> </w:t>
      </w:r>
      <w:r w:rsidR="000914E0" w:rsidRPr="00841E52">
        <w:rPr>
          <w:rFonts w:ascii="Times New Roman" w:hAnsi="Times New Roman"/>
          <w:sz w:val="24"/>
          <w:szCs w:val="24"/>
        </w:rPr>
        <w:t xml:space="preserve">Lietuvos moksleivių </w:t>
      </w:r>
      <w:r w:rsidR="000914E0">
        <w:rPr>
          <w:rFonts w:ascii="Times New Roman" w:hAnsi="Times New Roman"/>
          <w:noProof/>
          <w:sz w:val="24"/>
          <w:szCs w:val="24"/>
        </w:rPr>
        <w:t>d</w:t>
      </w:r>
      <w:r w:rsidR="000914E0" w:rsidRPr="00841E52">
        <w:rPr>
          <w:rFonts w:ascii="Times New Roman" w:hAnsi="Times New Roman"/>
          <w:noProof/>
          <w:sz w:val="24"/>
          <w:szCs w:val="24"/>
        </w:rPr>
        <w:t xml:space="preserve">ainų šventėje </w:t>
      </w:r>
      <w:r w:rsidR="00A63478">
        <w:rPr>
          <w:rFonts w:ascii="Times New Roman" w:hAnsi="Times New Roman"/>
          <w:noProof/>
          <w:sz w:val="24"/>
          <w:szCs w:val="24"/>
        </w:rPr>
        <w:t xml:space="preserve">dalyvavo </w:t>
      </w:r>
      <w:r w:rsidR="000914E0" w:rsidRPr="00841E52">
        <w:rPr>
          <w:rFonts w:ascii="Times New Roman" w:hAnsi="Times New Roman"/>
          <w:noProof/>
          <w:sz w:val="24"/>
          <w:szCs w:val="24"/>
        </w:rPr>
        <w:t xml:space="preserve">4 kolektyvai (103 dalyviai). Organizavo </w:t>
      </w:r>
      <w:r w:rsidR="00A63478">
        <w:rPr>
          <w:rFonts w:ascii="Times New Roman" w:hAnsi="Times New Roman"/>
          <w:noProof/>
          <w:sz w:val="24"/>
          <w:szCs w:val="24"/>
        </w:rPr>
        <w:t>šalies festivalius, koncertus (</w:t>
      </w:r>
      <w:r w:rsidR="00254C66">
        <w:rPr>
          <w:rFonts w:ascii="Times New Roman" w:hAnsi="Times New Roman"/>
          <w:noProof/>
          <w:sz w:val="24"/>
          <w:szCs w:val="24"/>
        </w:rPr>
        <w:t>3</w:t>
      </w:r>
      <w:r w:rsidR="000914E0" w:rsidRPr="00841E52">
        <w:rPr>
          <w:rFonts w:ascii="Times New Roman" w:hAnsi="Times New Roman"/>
          <w:noProof/>
          <w:sz w:val="24"/>
          <w:szCs w:val="24"/>
        </w:rPr>
        <w:t xml:space="preserve">5 </w:t>
      </w:r>
      <w:r w:rsidR="00254C66">
        <w:rPr>
          <w:rFonts w:ascii="Times New Roman" w:hAnsi="Times New Roman"/>
          <w:noProof/>
          <w:sz w:val="24"/>
          <w:szCs w:val="24"/>
        </w:rPr>
        <w:t>renginiai</w:t>
      </w:r>
      <w:r w:rsidR="00A63478">
        <w:rPr>
          <w:rFonts w:ascii="Times New Roman" w:hAnsi="Times New Roman"/>
          <w:noProof/>
          <w:sz w:val="24"/>
          <w:szCs w:val="24"/>
        </w:rPr>
        <w:t>)</w:t>
      </w:r>
      <w:r w:rsidR="000914E0" w:rsidRPr="00841E52">
        <w:rPr>
          <w:rFonts w:ascii="Times New Roman" w:hAnsi="Times New Roman"/>
          <w:noProof/>
          <w:sz w:val="24"/>
          <w:szCs w:val="24"/>
        </w:rPr>
        <w:t xml:space="preserve">. </w:t>
      </w:r>
      <w:r w:rsidR="006540C9">
        <w:rPr>
          <w:rFonts w:ascii="Times New Roman" w:hAnsi="Times New Roman"/>
          <w:noProof/>
          <w:sz w:val="24"/>
          <w:szCs w:val="24"/>
        </w:rPr>
        <w:br/>
      </w:r>
      <w:r w:rsidR="00A63478">
        <w:rPr>
          <w:rFonts w:ascii="Times New Roman" w:hAnsi="Times New Roman"/>
          <w:noProof/>
          <w:sz w:val="24"/>
          <w:szCs w:val="24"/>
        </w:rPr>
        <w:t>3 mokytojai dalyvavo vertinimo komisijojoje</w:t>
      </w:r>
      <w:r w:rsidR="000914E0" w:rsidRPr="00841E52">
        <w:rPr>
          <w:rFonts w:ascii="Times New Roman" w:hAnsi="Times New Roman"/>
          <w:noProof/>
          <w:sz w:val="24"/>
          <w:szCs w:val="24"/>
        </w:rPr>
        <w:t>.</w:t>
      </w:r>
      <w:r w:rsidR="000914E0" w:rsidRPr="004B724F">
        <w:rPr>
          <w:rFonts w:ascii="Times New Roman" w:hAnsi="Times New Roman"/>
          <w:noProof/>
          <w:sz w:val="24"/>
          <w:szCs w:val="24"/>
        </w:rPr>
        <w:t xml:space="preserve"> </w:t>
      </w:r>
      <w:r w:rsidR="000914E0">
        <w:rPr>
          <w:rFonts w:ascii="Times New Roman" w:eastAsia="Times New Roman" w:hAnsi="Times New Roman"/>
          <w:noProof/>
          <w:sz w:val="24"/>
          <w:szCs w:val="24"/>
          <w:lang w:eastAsia="lt-LT"/>
        </w:rPr>
        <w:t>Atliko</w:t>
      </w:r>
      <w:r w:rsidR="000914E0" w:rsidRPr="00841E5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0914E0">
        <w:rPr>
          <w:rFonts w:ascii="Times New Roman" w:eastAsia="Times New Roman" w:hAnsi="Times New Roman"/>
          <w:noProof/>
          <w:sz w:val="24"/>
          <w:szCs w:val="24"/>
        </w:rPr>
        <w:t>vienos srities teminį įsivertinimą</w:t>
      </w:r>
      <w:r w:rsidR="000914E0" w:rsidRPr="00841E52">
        <w:rPr>
          <w:rFonts w:ascii="Times New Roman" w:eastAsia="Times New Roman" w:hAnsi="Times New Roman"/>
          <w:noProof/>
          <w:sz w:val="24"/>
          <w:szCs w:val="24"/>
          <w:lang w:eastAsia="lt-LT"/>
        </w:rPr>
        <w:t>, naudojant internetinę platformą IQES</w:t>
      </w:r>
      <w:r w:rsidR="00A63478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0914E0" w:rsidRPr="00841E5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online Lietuva. </w:t>
      </w:r>
      <w:r w:rsidR="000914E0" w:rsidRPr="00DF73EC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Sritis – </w:t>
      </w:r>
      <w:r w:rsidR="00B21711">
        <w:rPr>
          <w:rFonts w:ascii="Times New Roman" w:eastAsia="Times New Roman" w:hAnsi="Times New Roman"/>
          <w:noProof/>
          <w:sz w:val="24"/>
          <w:szCs w:val="24"/>
          <w:lang w:eastAsia="lt-LT"/>
        </w:rPr>
        <w:t>m</w:t>
      </w:r>
      <w:r w:rsidR="000914E0" w:rsidRPr="00DF73EC">
        <w:rPr>
          <w:rFonts w:ascii="Times New Roman" w:eastAsia="Times New Roman" w:hAnsi="Times New Roman"/>
          <w:noProof/>
          <w:sz w:val="24"/>
          <w:szCs w:val="24"/>
          <w:lang w:eastAsia="lt-LT"/>
        </w:rPr>
        <w:t>okyklos kultūra. Tema – pasiekimai.</w:t>
      </w:r>
      <w:r w:rsidR="000914E0" w:rsidRPr="004B724F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0914E0" w:rsidRPr="00841E52">
        <w:rPr>
          <w:rFonts w:ascii="Times New Roman" w:hAnsi="Times New Roman"/>
          <w:noProof/>
          <w:sz w:val="24"/>
          <w:szCs w:val="24"/>
        </w:rPr>
        <w:t>Apklausti tėvai (globėjai, rūpintojai) ir mokytojai.</w:t>
      </w:r>
    </w:p>
    <w:p w:rsidR="00D14D3B" w:rsidRDefault="00DF0476" w:rsidP="006540C9">
      <w:pPr>
        <w:pStyle w:val="Standard"/>
        <w:jc w:val="center"/>
        <w:rPr>
          <w:b/>
          <w:bCs/>
          <w:noProof/>
          <w:lang w:val="lt-LT"/>
        </w:rPr>
      </w:pPr>
      <w:r w:rsidRPr="0053355C">
        <w:rPr>
          <w:b/>
          <w:bCs/>
          <w:noProof/>
          <w:lang w:val="lt-LT"/>
        </w:rPr>
        <w:t>V. FINANSAVIMAS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843"/>
        <w:gridCol w:w="1843"/>
      </w:tblGrid>
      <w:tr w:rsidR="00E10B7B" w:rsidRPr="0004285E" w:rsidTr="00284F6F">
        <w:tc>
          <w:tcPr>
            <w:tcW w:w="5528" w:type="dxa"/>
            <w:shd w:val="clear" w:color="auto" w:fill="auto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>Finansavimo šaltiniai</w:t>
            </w:r>
          </w:p>
        </w:tc>
        <w:tc>
          <w:tcPr>
            <w:tcW w:w="1843" w:type="dxa"/>
            <w:shd w:val="clear" w:color="auto" w:fill="auto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>Gauta (Eur)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b/>
                <w:noProof/>
                <w:kern w:val="0"/>
                <w:sz w:val="24"/>
                <w:szCs w:val="24"/>
              </w:rPr>
              <w:t>Išleista (Eur)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5SB savivaldybės biudžetas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301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301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603,35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5SBLL Savivaldybės biudžeto lėšų likutis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800,00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4VB</w:t>
            </w:r>
            <w:r w:rsidR="0087065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(MK) mokinio krepšelis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300,00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4VB</w:t>
            </w:r>
            <w:r w:rsidR="0087065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(T) Valstybės bi</w:t>
            </w:r>
            <w:r w:rsidR="00806FE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udžeto lėšos pagal LRV nutar.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1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1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295,72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4VB</w:t>
            </w:r>
            <w:r w:rsidR="0087065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(V) mokinių pav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ė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žėjimas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345,38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5SB</w:t>
            </w:r>
            <w:r w:rsidR="0087065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(SP1) spec. programa</w:t>
            </w:r>
          </w:p>
        </w:tc>
        <w:tc>
          <w:tcPr>
            <w:tcW w:w="1843" w:type="dxa"/>
            <w:shd w:val="clear" w:color="auto" w:fill="auto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8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607,78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</w:t>
            </w:r>
            <w:r w:rsidR="00B2171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195,77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5SB</w:t>
            </w:r>
            <w:r w:rsidR="0087065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(SP1) spec. programos likutis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635,00</w:t>
            </w:r>
          </w:p>
        </w:tc>
      </w:tr>
      <w:tr w:rsidR="00E10B7B" w:rsidRPr="0004285E" w:rsidTr="00284F6F">
        <w:tc>
          <w:tcPr>
            <w:tcW w:w="5528" w:type="dxa"/>
            <w:shd w:val="clear" w:color="auto" w:fill="auto"/>
            <w:vAlign w:val="center"/>
          </w:tcPr>
          <w:p w:rsidR="0004285E" w:rsidRPr="00567960" w:rsidRDefault="00D515A4" w:rsidP="0004285E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Iš viso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85E" w:rsidRPr="00567960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320</w:t>
            </w:r>
            <w:r w:rsidR="00B21711"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708</w:t>
            </w:r>
            <w:r w:rsidR="00B21711"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85E" w:rsidRPr="00567960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319</w:t>
            </w:r>
            <w:r w:rsidR="00B21711"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56796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175,22</w:t>
            </w:r>
          </w:p>
        </w:tc>
      </w:tr>
      <w:tr w:rsidR="00B96987" w:rsidRPr="0004285E" w:rsidTr="00284F6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214" w:type="dxa"/>
            <w:gridSpan w:val="3"/>
          </w:tcPr>
          <w:p w:rsidR="0050337E" w:rsidRPr="00CD6036" w:rsidRDefault="005B5EAE" w:rsidP="004B72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56796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2 proc.</w:t>
            </w:r>
            <w:r w:rsidR="00CD6036" w:rsidRPr="0056796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</w:t>
            </w:r>
            <w:r w:rsidR="00B96987" w:rsidRPr="0056796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panaudojimas</w:t>
            </w:r>
            <w:r w:rsidR="00CD603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.</w:t>
            </w:r>
            <w:r w:rsidR="00CD6036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="00B96987" w:rsidRPr="0004285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2015 m.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likutis –</w:t>
            </w:r>
            <w:r w:rsidR="00B9698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</w:t>
            </w:r>
            <w:r w:rsidR="00B96987" w:rsidRPr="0004285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1</w:t>
            </w:r>
            <w:r w:rsidR="00B2171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</w:t>
            </w:r>
            <w:r w:rsidR="00B96987" w:rsidRPr="0004285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848,11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E</w:t>
            </w:r>
            <w:r w:rsidR="00044C8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ur</w:t>
            </w:r>
            <w:r w:rsidR="00FA701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. </w:t>
            </w:r>
            <w:r w:rsidR="00B96987" w:rsidRPr="0004285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2016 m. </w:t>
            </w:r>
            <w:r w:rsidR="00B9698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gauta </w:t>
            </w:r>
            <w:r w:rsidR="00B96987" w:rsidRPr="0004285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555,52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E</w:t>
            </w:r>
            <w:r w:rsidR="00CD603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ur</w:t>
            </w:r>
            <w:r w:rsidR="00B53D1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. Už </w:t>
            </w:r>
            <w:r w:rsidR="006540C9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br/>
            </w:r>
            <w:r w:rsidR="00CD603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1</w:t>
            </w:r>
            <w:r w:rsidR="00B2171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</w:t>
            </w:r>
            <w:r w:rsidR="00CD603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514,94</w:t>
            </w:r>
            <w:r w:rsidR="00B53D1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Eur</w:t>
            </w:r>
            <w:r w:rsidR="00B9698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 xml:space="preserve"> </w:t>
            </w:r>
            <w:r w:rsidR="00B53D1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n</w:t>
            </w:r>
            <w:r w:rsidR="00FA701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upirktas</w:t>
            </w:r>
            <w:r w:rsidR="00CD6036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="00CD603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t>pianinas ,,Yamaha“.</w:t>
            </w:r>
          </w:p>
        </w:tc>
      </w:tr>
      <w:tr w:rsidR="00E10B7B" w:rsidRPr="0004285E" w:rsidTr="00284F6F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5528" w:type="dxa"/>
          </w:tcPr>
          <w:p w:rsidR="0004285E" w:rsidRPr="0004285E" w:rsidRDefault="002718B2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Vaikų soc.</w:t>
            </w:r>
            <w:r w:rsidR="0004285E"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pr</w:t>
            </w:r>
            <w:r w:rsidR="00B53D1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ogram</w:t>
            </w:r>
            <w:r w:rsidR="00F4048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os</w:t>
            </w:r>
            <w:r w:rsidR="00B53D1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projekto lėšos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85E" w:rsidRPr="0004285E" w:rsidRDefault="0004285E" w:rsidP="0004285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04285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500,00 </w:t>
            </w:r>
          </w:p>
        </w:tc>
      </w:tr>
    </w:tbl>
    <w:p w:rsidR="00D67C66" w:rsidRDefault="004B2464" w:rsidP="006F03C1">
      <w:pPr>
        <w:pStyle w:val="Betarp"/>
        <w:ind w:firstLine="1296"/>
        <w:jc w:val="both"/>
        <w:rPr>
          <w:rFonts w:ascii="Times New Roman" w:hAnsi="Times New Roman"/>
          <w:noProof/>
          <w:sz w:val="24"/>
          <w:szCs w:val="24"/>
        </w:rPr>
      </w:pPr>
      <w:r w:rsidRPr="004B2464">
        <w:rPr>
          <w:rFonts w:ascii="Times New Roman" w:hAnsi="Times New Roman"/>
          <w:noProof/>
          <w:sz w:val="24"/>
          <w:szCs w:val="24"/>
        </w:rPr>
        <w:t>Biudžeto lėšos</w:t>
      </w:r>
      <w:r w:rsidR="00A57902">
        <w:rPr>
          <w:rFonts w:ascii="Times New Roman" w:hAnsi="Times New Roman"/>
          <w:noProof/>
          <w:sz w:val="24"/>
          <w:szCs w:val="24"/>
        </w:rPr>
        <w:t>,</w:t>
      </w:r>
      <w:r w:rsidRPr="004B2464">
        <w:rPr>
          <w:rFonts w:ascii="Times New Roman" w:hAnsi="Times New Roman"/>
          <w:noProof/>
          <w:sz w:val="24"/>
          <w:szCs w:val="24"/>
        </w:rPr>
        <w:t xml:space="preserve"> skirtos ugdymo planui įgyvendinti</w:t>
      </w:r>
      <w:r w:rsidR="00A57902">
        <w:rPr>
          <w:rFonts w:ascii="Times New Roman" w:hAnsi="Times New Roman"/>
          <w:noProof/>
          <w:sz w:val="24"/>
          <w:szCs w:val="24"/>
        </w:rPr>
        <w:t>,</w:t>
      </w:r>
      <w:r w:rsidRPr="004B2464">
        <w:rPr>
          <w:rFonts w:ascii="Times New Roman" w:hAnsi="Times New Roman"/>
          <w:noProof/>
          <w:sz w:val="24"/>
          <w:szCs w:val="24"/>
        </w:rPr>
        <w:t xml:space="preserve"> yra minimalios.</w:t>
      </w:r>
    </w:p>
    <w:p w:rsidR="006F03C1" w:rsidRDefault="006F03C1" w:rsidP="006540C9">
      <w:pPr>
        <w:pStyle w:val="Betarp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6F03C1" w:rsidRPr="00845D96" w:rsidRDefault="006F03C1" w:rsidP="006F03C1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</w:t>
      </w:r>
      <w:r w:rsidRPr="00845D96">
        <w:rPr>
          <w:rFonts w:ascii="Times New Roman" w:hAnsi="Times New Roman"/>
          <w:b/>
          <w:sz w:val="24"/>
          <w:szCs w:val="24"/>
        </w:rPr>
        <w:t>PROBLEMOS, SUSIJUSIOS SU ĮSTAIGOS VEIKLA, IR VADOVO SIŪLOMI JŲ SPRENDIMO BŪDAI</w:t>
      </w:r>
    </w:p>
    <w:p w:rsidR="006F03C1" w:rsidRPr="006F03C1" w:rsidRDefault="006F03C1" w:rsidP="006F03C1">
      <w:pPr>
        <w:pStyle w:val="Betarp"/>
        <w:ind w:firstLine="1296"/>
        <w:jc w:val="both"/>
        <w:rPr>
          <w:rFonts w:ascii="Times New Roman" w:hAnsi="Times New Roman"/>
          <w:noProof/>
          <w:sz w:val="24"/>
          <w:szCs w:val="24"/>
        </w:rPr>
      </w:pPr>
      <w:r w:rsidRPr="006F03C1">
        <w:rPr>
          <w:rFonts w:ascii="Times New Roman" w:hAnsi="Times New Roman"/>
          <w:noProof/>
          <w:sz w:val="24"/>
          <w:szCs w:val="24"/>
        </w:rPr>
        <w:t>Reikalinga direktoriaus pavaduotojo pareigybė.</w:t>
      </w:r>
    </w:p>
    <w:p w:rsidR="004B2464" w:rsidRDefault="004B2464" w:rsidP="004B2464">
      <w:pPr>
        <w:pStyle w:val="Betarp"/>
        <w:jc w:val="both"/>
        <w:rPr>
          <w:rFonts w:ascii="Times New Roman" w:hAnsi="Times New Roman"/>
          <w:noProof/>
          <w:sz w:val="24"/>
          <w:szCs w:val="24"/>
        </w:rPr>
      </w:pPr>
    </w:p>
    <w:p w:rsidR="00567960" w:rsidRDefault="00567960" w:rsidP="004B2464">
      <w:pPr>
        <w:pStyle w:val="Betarp"/>
        <w:jc w:val="both"/>
        <w:rPr>
          <w:rFonts w:ascii="Times New Roman" w:hAnsi="Times New Roman"/>
          <w:noProof/>
          <w:sz w:val="24"/>
          <w:szCs w:val="24"/>
        </w:rPr>
      </w:pPr>
    </w:p>
    <w:p w:rsidR="00C35A21" w:rsidRDefault="00FA7013" w:rsidP="00FF1C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</w:pPr>
      <w:r w:rsidRPr="00FA701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Mokyklos direktorė                                                                                  </w:t>
      </w:r>
      <w:r w:rsidR="00B903B1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  </w:t>
      </w:r>
      <w:r w:rsidRPr="00FA701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 </w:t>
      </w:r>
      <w:r w:rsidRPr="00FA701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 xml:space="preserve"> Laima Plančiūni</w:t>
      </w:r>
      <w:r w:rsidR="00FF1CA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  <w:t>enė</w:t>
      </w:r>
    </w:p>
    <w:p w:rsidR="00FB75B4" w:rsidRDefault="00FB75B4" w:rsidP="00FF1C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</w:pPr>
    </w:p>
    <w:p w:rsidR="00FB75B4" w:rsidRDefault="00FB75B4" w:rsidP="00FB75B4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FB75B4" w:rsidRDefault="00FB75B4" w:rsidP="00FB75B4">
      <w:pPr>
        <w:pStyle w:val="Standard"/>
        <w:rPr>
          <w:color w:val="auto"/>
        </w:rPr>
      </w:pPr>
    </w:p>
    <w:p w:rsidR="00FB75B4" w:rsidRDefault="00FB75B4" w:rsidP="00FB75B4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FB75B4" w:rsidRPr="005D4349" w:rsidRDefault="00FB75B4" w:rsidP="00FB75B4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FB75B4" w:rsidRPr="00FF1CA3" w:rsidRDefault="00FB75B4" w:rsidP="00FF1C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</w:pPr>
    </w:p>
    <w:sectPr w:rsidR="00FB75B4" w:rsidRPr="00FF1CA3" w:rsidSect="00795FD9">
      <w:headerReference w:type="default" r:id="rId8"/>
      <w:footerReference w:type="default" r:id="rId9"/>
      <w:pgSz w:w="11906" w:h="16838"/>
      <w:pgMar w:top="1135" w:right="851" w:bottom="1440" w:left="144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A1" w:rsidRDefault="00AE79A1">
      <w:pPr>
        <w:spacing w:after="0" w:line="240" w:lineRule="auto"/>
      </w:pPr>
      <w:r>
        <w:separator/>
      </w:r>
    </w:p>
  </w:endnote>
  <w:endnote w:type="continuationSeparator" w:id="0">
    <w:p w:rsidR="00AE79A1" w:rsidRDefault="00AE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9E" w:rsidRDefault="00BB749E">
    <w:pPr>
      <w:pStyle w:val="Porat"/>
      <w:jc w:val="center"/>
    </w:pPr>
  </w:p>
  <w:p w:rsidR="00BB749E" w:rsidRDefault="00BB749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A1" w:rsidRDefault="00AE79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E79A1" w:rsidRDefault="00AE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618702"/>
      <w:docPartObj>
        <w:docPartGallery w:val="Page Numbers (Top of Page)"/>
        <w:docPartUnique/>
      </w:docPartObj>
    </w:sdtPr>
    <w:sdtContent>
      <w:p w:rsidR="00795FD9" w:rsidRDefault="00795F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5FD9">
          <w:rPr>
            <w:noProof/>
            <w:lang w:val="lt-LT"/>
          </w:rPr>
          <w:t>3</w:t>
        </w:r>
        <w:r>
          <w:fldChar w:fldCharType="end"/>
        </w:r>
      </w:p>
    </w:sdtContent>
  </w:sdt>
  <w:p w:rsidR="00795FD9" w:rsidRDefault="00795F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431B"/>
    <w:multiLevelType w:val="hybridMultilevel"/>
    <w:tmpl w:val="B12C7884"/>
    <w:lvl w:ilvl="0" w:tplc="85C2CF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3FA"/>
    <w:multiLevelType w:val="hybridMultilevel"/>
    <w:tmpl w:val="8F80C84E"/>
    <w:lvl w:ilvl="0" w:tplc="EB6ABE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A28C1"/>
    <w:multiLevelType w:val="multilevel"/>
    <w:tmpl w:val="626ADB0E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4EF04B3"/>
    <w:multiLevelType w:val="hybridMultilevel"/>
    <w:tmpl w:val="F894EB58"/>
    <w:lvl w:ilvl="0" w:tplc="10EEF544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B0D1FE9"/>
    <w:multiLevelType w:val="multilevel"/>
    <w:tmpl w:val="BDD06D4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D064F02"/>
    <w:multiLevelType w:val="multilevel"/>
    <w:tmpl w:val="8BCA583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0F469A3"/>
    <w:multiLevelType w:val="hybridMultilevel"/>
    <w:tmpl w:val="D096A5BA"/>
    <w:lvl w:ilvl="0" w:tplc="343C6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73F5"/>
    <w:multiLevelType w:val="multilevel"/>
    <w:tmpl w:val="7828F52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D660788"/>
    <w:multiLevelType w:val="multilevel"/>
    <w:tmpl w:val="5C4C6858"/>
    <w:lvl w:ilvl="0">
      <w:start w:val="6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21"/>
    <w:rsid w:val="00006876"/>
    <w:rsid w:val="00010926"/>
    <w:rsid w:val="0004285E"/>
    <w:rsid w:val="000428EF"/>
    <w:rsid w:val="00042FE1"/>
    <w:rsid w:val="00043CBF"/>
    <w:rsid w:val="00044C82"/>
    <w:rsid w:val="00050BE9"/>
    <w:rsid w:val="00054022"/>
    <w:rsid w:val="00055106"/>
    <w:rsid w:val="000568A6"/>
    <w:rsid w:val="000914E0"/>
    <w:rsid w:val="00091C2E"/>
    <w:rsid w:val="00096D12"/>
    <w:rsid w:val="000C3FAF"/>
    <w:rsid w:val="000D138C"/>
    <w:rsid w:val="000D7D8F"/>
    <w:rsid w:val="001033E8"/>
    <w:rsid w:val="001227E4"/>
    <w:rsid w:val="00140525"/>
    <w:rsid w:val="00157BC9"/>
    <w:rsid w:val="00171584"/>
    <w:rsid w:val="001C10C9"/>
    <w:rsid w:val="001E27CF"/>
    <w:rsid w:val="001E5DBA"/>
    <w:rsid w:val="001F39A4"/>
    <w:rsid w:val="001F3B93"/>
    <w:rsid w:val="001F4163"/>
    <w:rsid w:val="001F7724"/>
    <w:rsid w:val="00205F24"/>
    <w:rsid w:val="00232FF3"/>
    <w:rsid w:val="00242C26"/>
    <w:rsid w:val="00254C66"/>
    <w:rsid w:val="00263ED5"/>
    <w:rsid w:val="002718B2"/>
    <w:rsid w:val="00276BAC"/>
    <w:rsid w:val="0028256B"/>
    <w:rsid w:val="00283C3A"/>
    <w:rsid w:val="00284B84"/>
    <w:rsid w:val="00284F6F"/>
    <w:rsid w:val="002A6995"/>
    <w:rsid w:val="002B7962"/>
    <w:rsid w:val="002B7C81"/>
    <w:rsid w:val="002C4098"/>
    <w:rsid w:val="002C6EFA"/>
    <w:rsid w:val="002D411B"/>
    <w:rsid w:val="002D590B"/>
    <w:rsid w:val="0030509E"/>
    <w:rsid w:val="00320ED1"/>
    <w:rsid w:val="00336193"/>
    <w:rsid w:val="0034379B"/>
    <w:rsid w:val="003643A4"/>
    <w:rsid w:val="00367421"/>
    <w:rsid w:val="00372C16"/>
    <w:rsid w:val="00375514"/>
    <w:rsid w:val="00383764"/>
    <w:rsid w:val="00397001"/>
    <w:rsid w:val="003A6A7F"/>
    <w:rsid w:val="003C2065"/>
    <w:rsid w:val="003C54D4"/>
    <w:rsid w:val="003D34AB"/>
    <w:rsid w:val="003E1629"/>
    <w:rsid w:val="003F5CF3"/>
    <w:rsid w:val="00430819"/>
    <w:rsid w:val="00430A49"/>
    <w:rsid w:val="00435354"/>
    <w:rsid w:val="00446042"/>
    <w:rsid w:val="00447FB0"/>
    <w:rsid w:val="00465450"/>
    <w:rsid w:val="00475CB7"/>
    <w:rsid w:val="00483944"/>
    <w:rsid w:val="004B2464"/>
    <w:rsid w:val="004B724F"/>
    <w:rsid w:val="0050312D"/>
    <w:rsid w:val="0050337E"/>
    <w:rsid w:val="00504B3B"/>
    <w:rsid w:val="005105F3"/>
    <w:rsid w:val="00511246"/>
    <w:rsid w:val="0053355C"/>
    <w:rsid w:val="005440AA"/>
    <w:rsid w:val="00556602"/>
    <w:rsid w:val="00567960"/>
    <w:rsid w:val="005734DB"/>
    <w:rsid w:val="00576F05"/>
    <w:rsid w:val="0058405E"/>
    <w:rsid w:val="00586CA3"/>
    <w:rsid w:val="005910A4"/>
    <w:rsid w:val="005B5EAE"/>
    <w:rsid w:val="005D3775"/>
    <w:rsid w:val="005F16A8"/>
    <w:rsid w:val="00602693"/>
    <w:rsid w:val="00605AFC"/>
    <w:rsid w:val="00626859"/>
    <w:rsid w:val="00630B48"/>
    <w:rsid w:val="006412FC"/>
    <w:rsid w:val="006540C9"/>
    <w:rsid w:val="006657C3"/>
    <w:rsid w:val="006809A2"/>
    <w:rsid w:val="00690A2F"/>
    <w:rsid w:val="0069694D"/>
    <w:rsid w:val="006A39EB"/>
    <w:rsid w:val="006B13AF"/>
    <w:rsid w:val="006B50BF"/>
    <w:rsid w:val="006C70A8"/>
    <w:rsid w:val="006F03C1"/>
    <w:rsid w:val="006F2648"/>
    <w:rsid w:val="006F6D9E"/>
    <w:rsid w:val="00704430"/>
    <w:rsid w:val="00706A87"/>
    <w:rsid w:val="00707897"/>
    <w:rsid w:val="0073452C"/>
    <w:rsid w:val="00737A5C"/>
    <w:rsid w:val="007406CB"/>
    <w:rsid w:val="00747B55"/>
    <w:rsid w:val="00756AC8"/>
    <w:rsid w:val="007857A0"/>
    <w:rsid w:val="00795FD9"/>
    <w:rsid w:val="007E6925"/>
    <w:rsid w:val="007F0DE2"/>
    <w:rsid w:val="007F3F69"/>
    <w:rsid w:val="00806FE9"/>
    <w:rsid w:val="0080734D"/>
    <w:rsid w:val="00821F8D"/>
    <w:rsid w:val="0083004A"/>
    <w:rsid w:val="008305B7"/>
    <w:rsid w:val="008370ED"/>
    <w:rsid w:val="00846D7B"/>
    <w:rsid w:val="00852932"/>
    <w:rsid w:val="00854F5B"/>
    <w:rsid w:val="00870651"/>
    <w:rsid w:val="00870F5B"/>
    <w:rsid w:val="008734F8"/>
    <w:rsid w:val="00887DCE"/>
    <w:rsid w:val="0089209D"/>
    <w:rsid w:val="008A4C09"/>
    <w:rsid w:val="008A59BD"/>
    <w:rsid w:val="008C0996"/>
    <w:rsid w:val="008E58EB"/>
    <w:rsid w:val="009140AA"/>
    <w:rsid w:val="00916ED4"/>
    <w:rsid w:val="009261D5"/>
    <w:rsid w:val="009278B2"/>
    <w:rsid w:val="009535D6"/>
    <w:rsid w:val="0098442A"/>
    <w:rsid w:val="00990936"/>
    <w:rsid w:val="00991F04"/>
    <w:rsid w:val="00994BBE"/>
    <w:rsid w:val="009A030B"/>
    <w:rsid w:val="009A0558"/>
    <w:rsid w:val="009D7C4F"/>
    <w:rsid w:val="009E1940"/>
    <w:rsid w:val="009E2C7A"/>
    <w:rsid w:val="009E7193"/>
    <w:rsid w:val="00A00C70"/>
    <w:rsid w:val="00A01CB0"/>
    <w:rsid w:val="00A01E3E"/>
    <w:rsid w:val="00A25B53"/>
    <w:rsid w:val="00A4473D"/>
    <w:rsid w:val="00A57902"/>
    <w:rsid w:val="00A61788"/>
    <w:rsid w:val="00A63478"/>
    <w:rsid w:val="00A637C1"/>
    <w:rsid w:val="00A66130"/>
    <w:rsid w:val="00A661AE"/>
    <w:rsid w:val="00A73268"/>
    <w:rsid w:val="00A74F42"/>
    <w:rsid w:val="00A94E4B"/>
    <w:rsid w:val="00AA71CD"/>
    <w:rsid w:val="00AE79A1"/>
    <w:rsid w:val="00B1064F"/>
    <w:rsid w:val="00B21711"/>
    <w:rsid w:val="00B25A5F"/>
    <w:rsid w:val="00B25C89"/>
    <w:rsid w:val="00B36CA4"/>
    <w:rsid w:val="00B40E6E"/>
    <w:rsid w:val="00B53D15"/>
    <w:rsid w:val="00B56F53"/>
    <w:rsid w:val="00B6003F"/>
    <w:rsid w:val="00B6577C"/>
    <w:rsid w:val="00B725AD"/>
    <w:rsid w:val="00B903B1"/>
    <w:rsid w:val="00B90576"/>
    <w:rsid w:val="00B96987"/>
    <w:rsid w:val="00BA3422"/>
    <w:rsid w:val="00BB0FFD"/>
    <w:rsid w:val="00BB69CF"/>
    <w:rsid w:val="00BB749E"/>
    <w:rsid w:val="00BD7FA8"/>
    <w:rsid w:val="00BF6DF4"/>
    <w:rsid w:val="00C00882"/>
    <w:rsid w:val="00C01C87"/>
    <w:rsid w:val="00C35A21"/>
    <w:rsid w:val="00C40C71"/>
    <w:rsid w:val="00C50A2A"/>
    <w:rsid w:val="00C84C14"/>
    <w:rsid w:val="00CA310E"/>
    <w:rsid w:val="00CB5DE5"/>
    <w:rsid w:val="00CB70B0"/>
    <w:rsid w:val="00CD6036"/>
    <w:rsid w:val="00CF002C"/>
    <w:rsid w:val="00CF6BC9"/>
    <w:rsid w:val="00D07563"/>
    <w:rsid w:val="00D14D3B"/>
    <w:rsid w:val="00D24D43"/>
    <w:rsid w:val="00D271AE"/>
    <w:rsid w:val="00D4573E"/>
    <w:rsid w:val="00D515A4"/>
    <w:rsid w:val="00D65EE4"/>
    <w:rsid w:val="00D662D7"/>
    <w:rsid w:val="00D67C66"/>
    <w:rsid w:val="00DB26D2"/>
    <w:rsid w:val="00DB37E8"/>
    <w:rsid w:val="00DD5CB2"/>
    <w:rsid w:val="00DE0034"/>
    <w:rsid w:val="00DE3969"/>
    <w:rsid w:val="00DF0476"/>
    <w:rsid w:val="00DF61CE"/>
    <w:rsid w:val="00E1086C"/>
    <w:rsid w:val="00E10B7B"/>
    <w:rsid w:val="00E7297A"/>
    <w:rsid w:val="00E76E8A"/>
    <w:rsid w:val="00E9439B"/>
    <w:rsid w:val="00ED1234"/>
    <w:rsid w:val="00ED465D"/>
    <w:rsid w:val="00EE1A87"/>
    <w:rsid w:val="00EE67EC"/>
    <w:rsid w:val="00EF3D63"/>
    <w:rsid w:val="00EF3E7E"/>
    <w:rsid w:val="00EF6EFB"/>
    <w:rsid w:val="00F1360B"/>
    <w:rsid w:val="00F24D5B"/>
    <w:rsid w:val="00F326CB"/>
    <w:rsid w:val="00F40481"/>
    <w:rsid w:val="00F535E3"/>
    <w:rsid w:val="00F60F1C"/>
    <w:rsid w:val="00F629DA"/>
    <w:rsid w:val="00F64DA4"/>
    <w:rsid w:val="00F71720"/>
    <w:rsid w:val="00F85CB5"/>
    <w:rsid w:val="00F94FC3"/>
    <w:rsid w:val="00FA0936"/>
    <w:rsid w:val="00FA260A"/>
    <w:rsid w:val="00FA7013"/>
    <w:rsid w:val="00FB3BA5"/>
    <w:rsid w:val="00FB5E50"/>
    <w:rsid w:val="00FB75B4"/>
    <w:rsid w:val="00FC685D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27FE0A-3087-4E7F-94BD-F599B22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uiPriority w:val="99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Pr>
      <w:sz w:val="20"/>
      <w:szCs w:val="20"/>
    </w:rPr>
  </w:style>
  <w:style w:type="paragraph" w:styleId="Antrats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ratDiagrama">
    <w:name w:val="Poraštė Diagrama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character" w:styleId="Grietas">
    <w:name w:val="Strong"/>
    <w:qFormat/>
    <w:rsid w:val="003A6A7F"/>
    <w:rPr>
      <w:b/>
      <w:bCs/>
    </w:rPr>
  </w:style>
  <w:style w:type="character" w:customStyle="1" w:styleId="apple-converted-space">
    <w:name w:val="apple-converted-space"/>
    <w:rsid w:val="003A6A7F"/>
  </w:style>
  <w:style w:type="paragraph" w:customStyle="1" w:styleId="Default">
    <w:name w:val="Default"/>
    <w:uiPriority w:val="99"/>
    <w:rsid w:val="0005402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B6577C"/>
    <w:rPr>
      <w:rFonts w:eastAsia="Calibri" w:cs="Times New Roman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2B7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ikosmokyklapr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5590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8760</CharactersWithSpaces>
  <SharedDoc>false</SharedDoc>
  <HLinks>
    <vt:vector size="6" baseType="variant"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8</cp:revision>
  <cp:lastPrinted>2017-04-19T16:38:00Z</cp:lastPrinted>
  <dcterms:created xsi:type="dcterms:W3CDTF">2017-04-28T10:14:00Z</dcterms:created>
  <dcterms:modified xsi:type="dcterms:W3CDTF">2017-05-05T06:39:00Z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