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E0" w:rsidRDefault="003601E0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3601E0" w:rsidRDefault="003601E0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 rajono savivaldybės tarybos</w:t>
      </w:r>
    </w:p>
    <w:p w:rsidR="003601E0" w:rsidRPr="00A1124E" w:rsidRDefault="003601E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2017 m. birželio 22 d. sprendimu Nr. T-</w:t>
      </w:r>
      <w:r w:rsidR="00BD06B4">
        <w:rPr>
          <w:iCs/>
          <w:lang w:val="lt-LT"/>
        </w:rPr>
        <w:t>107</w:t>
      </w:r>
      <w:bookmarkStart w:id="0" w:name="_GoBack"/>
      <w:bookmarkEnd w:id="0"/>
    </w:p>
    <w:p w:rsidR="003601E0" w:rsidRDefault="003601E0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3601E0" w:rsidRDefault="003601E0" w:rsidP="005E4B06">
      <w:pPr>
        <w:spacing w:after="0" w:line="240" w:lineRule="auto"/>
        <w:jc w:val="center"/>
      </w:pPr>
      <w:r>
        <w:rPr>
          <w:b/>
          <w:bCs/>
          <w:caps/>
        </w:rPr>
        <w:t>panevėžio rajono savivaldybės PAĮSTRIO kultūros centro direktor</w:t>
      </w:r>
      <w:r w:rsidR="009265EE">
        <w:rPr>
          <w:b/>
          <w:bCs/>
          <w:caps/>
        </w:rPr>
        <w:t>Ė</w:t>
      </w:r>
      <w:r>
        <w:rPr>
          <w:b/>
          <w:bCs/>
          <w:caps/>
        </w:rPr>
        <w:t xml:space="preserve">s </w:t>
      </w:r>
      <w:r w:rsidR="009265EE">
        <w:rPr>
          <w:b/>
          <w:bCs/>
          <w:caps/>
        </w:rPr>
        <w:t xml:space="preserve">DAIVOS KIRŠGALVIENĖS </w:t>
      </w:r>
      <w:r>
        <w:rPr>
          <w:b/>
          <w:bCs/>
          <w:caps/>
        </w:rPr>
        <w:t>2016 metų veiklos ataskaita</w:t>
      </w:r>
    </w:p>
    <w:p w:rsidR="003601E0" w:rsidRPr="00283DAE" w:rsidRDefault="003601E0" w:rsidP="003309FF">
      <w:pPr>
        <w:spacing w:after="0" w:line="240" w:lineRule="auto"/>
        <w:jc w:val="center"/>
        <w:rPr>
          <w:bCs/>
          <w:caps/>
        </w:rPr>
      </w:pPr>
    </w:p>
    <w:p w:rsidR="003601E0" w:rsidRDefault="003601E0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3601E0" w:rsidRPr="00A1124E" w:rsidRDefault="003601E0" w:rsidP="003309FF">
      <w:pPr>
        <w:spacing w:after="0" w:line="240" w:lineRule="auto"/>
        <w:ind w:firstLine="851"/>
        <w:jc w:val="both"/>
      </w:pPr>
    </w:p>
    <w:p w:rsidR="003601E0" w:rsidRPr="0091260E" w:rsidRDefault="003601E0" w:rsidP="00283DAE">
      <w:pPr>
        <w:spacing w:after="0" w:line="240" w:lineRule="auto"/>
        <w:ind w:firstLine="851"/>
        <w:jc w:val="both"/>
        <w:rPr>
          <w:sz w:val="20"/>
          <w:szCs w:val="20"/>
        </w:rPr>
      </w:pPr>
      <w:r w:rsidRPr="00283DAE">
        <w:t>Įstaigos pristatymas</w:t>
      </w:r>
      <w:r w:rsidR="005E4B06">
        <w:t xml:space="preserve">. </w:t>
      </w:r>
      <w:r w:rsidRPr="0091260E">
        <w:t xml:space="preserve">Paįstrio kultūros centras akredituotas 2011 metais, suteikta </w:t>
      </w:r>
      <w:r w:rsidR="005E4B06">
        <w:t>pirmoji</w:t>
      </w:r>
      <w:r w:rsidR="00470681">
        <w:t xml:space="preserve"> </w:t>
      </w:r>
      <w:r w:rsidRPr="0091260E">
        <w:t>kategorija</w:t>
      </w:r>
      <w:r w:rsidRPr="00A5370C">
        <w:rPr>
          <w:sz w:val="20"/>
          <w:szCs w:val="20"/>
        </w:rPr>
        <w:t>.</w:t>
      </w:r>
    </w:p>
    <w:p w:rsidR="003601E0" w:rsidRPr="0091260E" w:rsidRDefault="005E4B06" w:rsidP="00283DAE">
      <w:pPr>
        <w:pStyle w:val="Betarp"/>
        <w:ind w:firstLine="851"/>
        <w:jc w:val="both"/>
      </w:pPr>
      <w:r>
        <w:t>D</w:t>
      </w:r>
      <w:r w:rsidRPr="0091260E">
        <w:t xml:space="preserve">irektorė </w:t>
      </w:r>
      <w:r w:rsidR="003601E0" w:rsidRPr="0091260E">
        <w:t xml:space="preserve">Daiva </w:t>
      </w:r>
      <w:proofErr w:type="spellStart"/>
      <w:r w:rsidR="003601E0" w:rsidRPr="0091260E">
        <w:t>Kiršgalvienė</w:t>
      </w:r>
      <w:proofErr w:type="spellEnd"/>
      <w:r>
        <w:t>,</w:t>
      </w:r>
      <w:r w:rsidR="003601E0" w:rsidRPr="0091260E">
        <w:t xml:space="preserve"> </w:t>
      </w:r>
      <w:r>
        <w:t>v</w:t>
      </w:r>
      <w:r w:rsidR="003601E0" w:rsidRPr="0091260E">
        <w:t>ad</w:t>
      </w:r>
      <w:r>
        <w:t>ybini</w:t>
      </w:r>
      <w:r w:rsidR="003601E0" w:rsidRPr="0091260E">
        <w:t>o darbo stažas</w:t>
      </w:r>
      <w:r>
        <w:t xml:space="preserve"> –</w:t>
      </w:r>
      <w:r w:rsidR="00405F20">
        <w:t xml:space="preserve"> 21 metai</w:t>
      </w:r>
      <w:r>
        <w:t>, suteikta pirmoji kvalifikacinė klasė</w:t>
      </w:r>
      <w:r w:rsidR="003601E0" w:rsidRPr="0091260E">
        <w:t>. Kvalifikaciją kėlė seminaruose, stovyklose, stažuotėse.</w:t>
      </w:r>
    </w:p>
    <w:p w:rsidR="003601E0" w:rsidRDefault="003601E0" w:rsidP="00283DAE">
      <w:pPr>
        <w:pStyle w:val="Betarp"/>
        <w:ind w:firstLine="851"/>
        <w:jc w:val="both"/>
      </w:pPr>
      <w:r>
        <w:t>Didžiausias leistinas pareigybių (etatų) skaičius – 9,25</w:t>
      </w:r>
      <w:r w:rsidR="005E4B06">
        <w:t>.</w:t>
      </w:r>
    </w:p>
    <w:p w:rsidR="003601E0" w:rsidRDefault="003601E0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680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739"/>
        <w:gridCol w:w="528"/>
        <w:gridCol w:w="739"/>
        <w:gridCol w:w="566"/>
        <w:gridCol w:w="743"/>
        <w:gridCol w:w="607"/>
        <w:gridCol w:w="798"/>
        <w:gridCol w:w="574"/>
        <w:gridCol w:w="741"/>
        <w:gridCol w:w="531"/>
        <w:gridCol w:w="739"/>
        <w:gridCol w:w="528"/>
        <w:gridCol w:w="683"/>
      </w:tblGrid>
      <w:tr w:rsidR="003601E0" w:rsidTr="00844A41">
        <w:trPr>
          <w:trHeight w:val="381"/>
        </w:trPr>
        <w:tc>
          <w:tcPr>
            <w:tcW w:w="641" w:type="pct"/>
            <w:vMerge w:val="restar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gridSpan w:val="2"/>
            <w:vMerge w:val="restar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68" w:type="pct"/>
            <w:gridSpan w:val="2"/>
            <w:vMerge w:val="restart"/>
          </w:tcPr>
          <w:p w:rsidR="003601E0" w:rsidRDefault="005E4B06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43" w:type="pct"/>
            <w:gridSpan w:val="9"/>
          </w:tcPr>
          <w:p w:rsidR="003601E0" w:rsidRPr="00614B4A" w:rsidRDefault="003601E0" w:rsidP="00844A41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3601E0" w:rsidRDefault="003601E0" w:rsidP="00844A41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844A41" w:rsidTr="00844A41">
        <w:trPr>
          <w:trHeight w:val="146"/>
        </w:trPr>
        <w:tc>
          <w:tcPr>
            <w:tcW w:w="641" w:type="pct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02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51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49" w:type="pct"/>
            <w:gridSpan w:val="2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283DAE" w:rsidTr="00844A41">
        <w:trPr>
          <w:trHeight w:val="461"/>
        </w:trPr>
        <w:tc>
          <w:tcPr>
            <w:tcW w:w="641" w:type="pct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0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0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0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9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8" w:type="pct"/>
          </w:tcPr>
          <w:p w:rsidR="003601E0" w:rsidRDefault="003601E0" w:rsidP="00844A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RPr="00772254" w:rsidTr="00844A41">
        <w:trPr>
          <w:trHeight w:val="282"/>
        </w:trPr>
        <w:tc>
          <w:tcPr>
            <w:tcW w:w="641" w:type="pct"/>
            <w:vMerge/>
            <w:vAlign w:val="center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9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1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79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2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8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0" w:type="pct"/>
          </w:tcPr>
          <w:p w:rsidR="003601E0" w:rsidRPr="00772254" w:rsidRDefault="003601E0" w:rsidP="00844A4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283DAE" w:rsidTr="00844A41">
        <w:trPr>
          <w:trHeight w:val="697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Paįstrio kultūros centras (</w:t>
            </w:r>
            <w:r w:rsidR="00283DAE">
              <w:rPr>
                <w:sz w:val="20"/>
                <w:szCs w:val="20"/>
              </w:rPr>
              <w:t>su Piniava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455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Bernatonių padalinys 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455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Daukniūnų padalinys 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455"/>
        </w:trPr>
        <w:tc>
          <w:tcPr>
            <w:tcW w:w="64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Juozo Zikaro muziejus</w:t>
            </w: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9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sz w:val="20"/>
                <w:szCs w:val="20"/>
              </w:rPr>
            </w:pPr>
          </w:p>
        </w:tc>
      </w:tr>
      <w:tr w:rsidR="00283DAE" w:rsidTr="00844A41">
        <w:trPr>
          <w:trHeight w:val="390"/>
        </w:trPr>
        <w:tc>
          <w:tcPr>
            <w:tcW w:w="641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Iš viso</w:t>
            </w:r>
          </w:p>
        </w:tc>
        <w:tc>
          <w:tcPr>
            <w:tcW w:w="378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13</w:t>
            </w:r>
          </w:p>
        </w:tc>
        <w:tc>
          <w:tcPr>
            <w:tcW w:w="270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5</w:t>
            </w:r>
          </w:p>
        </w:tc>
        <w:tc>
          <w:tcPr>
            <w:tcW w:w="378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6,5</w:t>
            </w:r>
          </w:p>
        </w:tc>
        <w:tc>
          <w:tcPr>
            <w:tcW w:w="290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2,75</w:t>
            </w:r>
          </w:p>
        </w:tc>
        <w:tc>
          <w:tcPr>
            <w:tcW w:w="380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</w:tcPr>
          <w:p w:rsidR="003601E0" w:rsidRPr="00283DAE" w:rsidRDefault="003601E0" w:rsidP="00844A4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272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378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3601E0" w:rsidRDefault="003601E0" w:rsidP="00844A41">
            <w:pPr>
              <w:rPr>
                <w:b/>
                <w:sz w:val="20"/>
                <w:szCs w:val="20"/>
              </w:rPr>
            </w:pPr>
          </w:p>
        </w:tc>
      </w:tr>
    </w:tbl>
    <w:p w:rsidR="003601E0" w:rsidRDefault="00844A41" w:rsidP="00844A41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135"/>
        <w:gridCol w:w="567"/>
        <w:gridCol w:w="425"/>
        <w:gridCol w:w="426"/>
        <w:gridCol w:w="567"/>
        <w:gridCol w:w="992"/>
        <w:gridCol w:w="709"/>
        <w:gridCol w:w="1575"/>
      </w:tblGrid>
      <w:tr w:rsidR="003601E0" w:rsidTr="00844A41">
        <w:trPr>
          <w:trHeight w:val="415"/>
        </w:trPr>
        <w:tc>
          <w:tcPr>
            <w:tcW w:w="3248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709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etatų </w:t>
            </w:r>
            <w:proofErr w:type="spellStart"/>
            <w:r>
              <w:rPr>
                <w:sz w:val="16"/>
                <w:szCs w:val="16"/>
              </w:rPr>
              <w:t>skai</w:t>
            </w:r>
            <w:r w:rsidR="00844A4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575" w:type="dxa"/>
            <w:vMerge w:val="restart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Kultūros ir meno specialistų poreikis</w:t>
            </w:r>
          </w:p>
        </w:tc>
      </w:tr>
      <w:tr w:rsidR="003601E0" w:rsidTr="00844A41">
        <w:trPr>
          <w:trHeight w:val="420"/>
        </w:trPr>
        <w:tc>
          <w:tcPr>
            <w:tcW w:w="3248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</w:tcPr>
          <w:p w:rsidR="003601E0" w:rsidRDefault="003601E0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vMerge/>
            <w:vAlign w:val="center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</w:tr>
      <w:tr w:rsidR="003601E0" w:rsidTr="00844A41">
        <w:trPr>
          <w:trHeight w:val="275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Paįstrio kultūros centras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01E0" w:rsidTr="00844A41">
        <w:trPr>
          <w:trHeight w:val="297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Bernatonių padalinys 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01E0" w:rsidTr="00844A41">
        <w:trPr>
          <w:trHeight w:val="403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Daukniūnų padalinys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601E0" w:rsidTr="00844A41">
        <w:trPr>
          <w:trHeight w:val="403"/>
        </w:trPr>
        <w:tc>
          <w:tcPr>
            <w:tcW w:w="3248" w:type="dxa"/>
          </w:tcPr>
          <w:p w:rsidR="003601E0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Juozo Zikaro muziejus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</w:tr>
      <w:tr w:rsidR="003601E0" w:rsidTr="00844A41">
        <w:trPr>
          <w:trHeight w:val="263"/>
        </w:trPr>
        <w:tc>
          <w:tcPr>
            <w:tcW w:w="3248" w:type="dxa"/>
          </w:tcPr>
          <w:p w:rsidR="003601E0" w:rsidRPr="00283DAE" w:rsidRDefault="003601E0">
            <w:pPr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01E0" w:rsidRDefault="003601E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3601E0" w:rsidRDefault="0036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3601E0" w:rsidRPr="00A1124E" w:rsidRDefault="003601E0" w:rsidP="00A1124E">
      <w:pPr>
        <w:spacing w:after="0" w:line="240" w:lineRule="auto"/>
        <w:rPr>
          <w:color w:val="000000"/>
        </w:rPr>
      </w:pPr>
    </w:p>
    <w:p w:rsidR="003601E0" w:rsidRDefault="003601E0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TIKSLAI, VEIKLA IR REZULTATAI </w:t>
      </w:r>
    </w:p>
    <w:p w:rsidR="003601E0" w:rsidRPr="00844A41" w:rsidRDefault="003601E0" w:rsidP="003309FF">
      <w:pPr>
        <w:spacing w:after="0" w:line="240" w:lineRule="auto"/>
        <w:ind w:firstLine="900"/>
        <w:jc w:val="both"/>
      </w:pPr>
    </w:p>
    <w:p w:rsidR="003601E0" w:rsidRPr="00283DAE" w:rsidRDefault="003601E0" w:rsidP="00283DAE">
      <w:pPr>
        <w:pStyle w:val="Betarp"/>
        <w:ind w:firstLine="900"/>
        <w:jc w:val="both"/>
      </w:pPr>
      <w:r w:rsidRPr="00283DAE">
        <w:t>Direktorė remdamasi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kultūros centrų įstatymu,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vietos savivaldos įstatymu,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biudžetinių įstaigų įstatymu, L</w:t>
      </w:r>
      <w:r w:rsidR="00C40B15">
        <w:t xml:space="preserve">ietuvos </w:t>
      </w:r>
      <w:r w:rsidRPr="00283DAE">
        <w:t>R</w:t>
      </w:r>
      <w:r w:rsidR="00C40B15">
        <w:t>espublikos</w:t>
      </w:r>
      <w:r w:rsidRPr="00283DAE">
        <w:t xml:space="preserve"> darbo kodeksu bei kit</w:t>
      </w:r>
      <w:r w:rsidR="00C40B15">
        <w:t>ais</w:t>
      </w:r>
      <w:r w:rsidRPr="00283DAE">
        <w:t xml:space="preserve"> su kultūros cento administravimu ir kultūros politika susijusiais teisės aktais organizavo ir planavo Paįstrio kultūros centro ir padalinių – Bernatonių bendruomenės namų ir Daukniūnų filialo </w:t>
      </w:r>
      <w:r w:rsidR="00C40B15">
        <w:t xml:space="preserve">– </w:t>
      </w:r>
      <w:r w:rsidRPr="00283DAE">
        <w:t xml:space="preserve">darbą, Piniavos gyvenvietės bendruomenės, Paliukų kaime esančio Juozo Zikaro muziejaus darbą, atsakė už jų veiklą, vertino kultūros ir jos verslo aplinką. Direktorė parengė 2016 metų veiklos programą, </w:t>
      </w:r>
      <w:r w:rsidR="00844A41" w:rsidRPr="00844A41">
        <w:t>2015–2017</w:t>
      </w:r>
      <w:r w:rsidRPr="00844A41">
        <w:t xml:space="preserve"> metų strateginį planą</w:t>
      </w:r>
      <w:r w:rsidRPr="00283DAE">
        <w:t>, renginių planus. Analizavo kultūrinės veiklos programas, rengė kultūros programų projektus ir rūpinosi jų įgyvendinimu. Pateikt</w:t>
      </w:r>
      <w:r w:rsidR="00C40B15">
        <w:t>a</w:t>
      </w:r>
      <w:r w:rsidRPr="00283DAE">
        <w:t xml:space="preserve"> projektų (kultūros centro, su partneriais) </w:t>
      </w:r>
      <w:r w:rsidR="00C40B15">
        <w:t>–</w:t>
      </w:r>
      <w:r w:rsidRPr="00283DAE">
        <w:t xml:space="preserve"> 21. Iš viso </w:t>
      </w:r>
      <w:r w:rsidRPr="00283DAE">
        <w:rPr>
          <w:color w:val="000000"/>
        </w:rPr>
        <w:t>pritraukt</w:t>
      </w:r>
      <w:r w:rsidR="00C40B15">
        <w:rPr>
          <w:color w:val="000000"/>
        </w:rPr>
        <w:t>a</w:t>
      </w:r>
      <w:r w:rsidRPr="00283DAE">
        <w:rPr>
          <w:color w:val="000000"/>
        </w:rPr>
        <w:t xml:space="preserve"> lėš</w:t>
      </w:r>
      <w:r w:rsidR="00C40B15" w:rsidRPr="00283DAE">
        <w:t xml:space="preserve">ų – </w:t>
      </w:r>
      <w:r w:rsidRPr="00283DAE">
        <w:t>19</w:t>
      </w:r>
      <w:r w:rsidR="00C40B15">
        <w:t xml:space="preserve"> </w:t>
      </w:r>
      <w:r w:rsidRPr="00283DAE">
        <w:t xml:space="preserve">888,00 </w:t>
      </w:r>
      <w:proofErr w:type="spellStart"/>
      <w:r w:rsidR="00C40B15">
        <w:t>E</w:t>
      </w:r>
      <w:r w:rsidRPr="00283DAE">
        <w:t>ur</w:t>
      </w:r>
      <w:proofErr w:type="spellEnd"/>
      <w:r w:rsidRPr="00283DAE">
        <w:t>. Įgyvendinta gyventojų užimtumo programa, įdarbinti 4 žmonės (viešieji darbai).</w:t>
      </w:r>
    </w:p>
    <w:p w:rsidR="003601E0" w:rsidRPr="00283DAE" w:rsidRDefault="003601E0" w:rsidP="00283DAE">
      <w:pPr>
        <w:pStyle w:val="Betarp"/>
        <w:jc w:val="both"/>
      </w:pPr>
      <w:r w:rsidRPr="00283DAE">
        <w:t>Paįstrio kultūros centro merginų liaudiškų šokių grupė</w:t>
      </w:r>
      <w:r w:rsidRPr="00283DAE">
        <w:rPr>
          <w:color w:val="000000"/>
        </w:rPr>
        <w:t xml:space="preserve"> ir </w:t>
      </w:r>
      <w:r w:rsidRPr="00283DAE">
        <w:t xml:space="preserve">Paįstrio kultūros centro vaikų orkestras </w:t>
      </w:r>
      <w:r w:rsidRPr="00283DAE">
        <w:rPr>
          <w:color w:val="000000"/>
        </w:rPr>
        <w:t xml:space="preserve">dalyvavo </w:t>
      </w:r>
      <w:r w:rsidRPr="00283DAE">
        <w:t xml:space="preserve">Lietuvos </w:t>
      </w:r>
      <w:r w:rsidR="00C40B15">
        <w:t>m</w:t>
      </w:r>
      <w:r w:rsidRPr="00283DAE">
        <w:t xml:space="preserve">oksleivių </w:t>
      </w:r>
      <w:r w:rsidR="00C40B15">
        <w:t>d</w:t>
      </w:r>
      <w:r w:rsidRPr="00283DAE">
        <w:t xml:space="preserve">ainų šventėje. Kultūros centro meno kolektyvų </w:t>
      </w:r>
      <w:r w:rsidRPr="00283DAE">
        <w:rPr>
          <w:color w:val="000000"/>
        </w:rPr>
        <w:t>laimėjimai konkursuose: pagrindinis prizas, I, II, III vietos (rajono, regiono, šalies bei tarptautiniuose), kultūros srities nominacijų laimėjimai – 14 diplomų.</w:t>
      </w:r>
      <w:r w:rsidRPr="00283DAE">
        <w:t xml:space="preserve"> </w:t>
      </w:r>
    </w:p>
    <w:p w:rsidR="003601E0" w:rsidRPr="00283DAE" w:rsidRDefault="003601E0" w:rsidP="00283DAE">
      <w:pPr>
        <w:pStyle w:val="Betarp"/>
        <w:ind w:firstLine="851"/>
        <w:jc w:val="both"/>
      </w:pPr>
      <w:r w:rsidRPr="00283DAE">
        <w:t xml:space="preserve">Gauti įvertinimai: Lietuvos </w:t>
      </w:r>
      <w:r w:rsidR="00C40B15">
        <w:t>n</w:t>
      </w:r>
      <w:r w:rsidRPr="00283DAE">
        <w:t xml:space="preserve">acionalinio kultūros centro direktoriaus Sauliaus </w:t>
      </w:r>
      <w:proofErr w:type="spellStart"/>
      <w:r w:rsidRPr="00283DAE">
        <w:t>Liausos</w:t>
      </w:r>
      <w:proofErr w:type="spellEnd"/>
      <w:r w:rsidRPr="00283DAE">
        <w:t xml:space="preserve"> </w:t>
      </w:r>
      <w:r w:rsidR="00C40B15">
        <w:t>d</w:t>
      </w:r>
      <w:r w:rsidRPr="00283DAE">
        <w:t>iplomas</w:t>
      </w:r>
      <w:r w:rsidR="00C40B15">
        <w:t>;</w:t>
      </w:r>
      <w:r w:rsidRPr="00283DAE">
        <w:t xml:space="preserve"> Lietuvos mėgėjų teatrų šventė</w:t>
      </w:r>
      <w:r w:rsidR="00C40B15">
        <w:t>s</w:t>
      </w:r>
      <w:r w:rsidRPr="00283DAE">
        <w:t xml:space="preserve"> </w:t>
      </w:r>
      <w:r w:rsidR="00C40B15">
        <w:t>„</w:t>
      </w:r>
      <w:r w:rsidRPr="00283DAE">
        <w:t>Tegyvuoja Teatras</w:t>
      </w:r>
      <w:r w:rsidR="00C40B15">
        <w:t>“ n</w:t>
      </w:r>
      <w:r w:rsidRPr="00283DAE">
        <w:t xml:space="preserve">ominacija </w:t>
      </w:r>
      <w:r w:rsidR="00917ABE">
        <w:t>„</w:t>
      </w:r>
      <w:r w:rsidRPr="00283DAE">
        <w:t>Ryškiausias tarptautinis suaugusiųjų teatrų festivalis Lietuvoje</w:t>
      </w:r>
      <w:r w:rsidR="00917ABE">
        <w:t>“</w:t>
      </w:r>
      <w:r w:rsidRPr="00283DAE">
        <w:t xml:space="preserve">. Lietuvos </w:t>
      </w:r>
      <w:r w:rsidR="00917ABE">
        <w:t xml:space="preserve">Respublikos </w:t>
      </w:r>
      <w:r w:rsidRPr="00283DAE">
        <w:t xml:space="preserve">kultūros ministro Šarūno Biručio padėkos raštas Paįstrio kultūros centro direktorei Daivai </w:t>
      </w:r>
      <w:proofErr w:type="spellStart"/>
      <w:r w:rsidRPr="00283DAE">
        <w:t>Kiršgalvienei</w:t>
      </w:r>
      <w:proofErr w:type="spellEnd"/>
      <w:r w:rsidRPr="00283DAE">
        <w:t xml:space="preserve"> už ilgametę, aktyvią ir kūrybingą veiklą kultūros srityje, prasmingas iniciatyvas ir jų įgyvendinimą, profesionalaus ir mėgėjų meno veiklos skatinimą ir vystymą, bendruomenės telkimą aktyviai visuomeninei ir kultūrinei veiklai.</w:t>
      </w:r>
    </w:p>
    <w:p w:rsidR="003601E0" w:rsidRPr="00283DAE" w:rsidRDefault="003601E0" w:rsidP="00283DAE">
      <w:pPr>
        <w:pStyle w:val="Betarp"/>
        <w:ind w:firstLine="851"/>
        <w:jc w:val="both"/>
      </w:pPr>
      <w:r w:rsidRPr="00283DAE">
        <w:t>Įstaigos veiklos rezultatai</w:t>
      </w:r>
      <w:r w:rsidR="00917ABE">
        <w:t>:</w:t>
      </w:r>
    </w:p>
    <w:p w:rsidR="003601E0" w:rsidRDefault="003601E0" w:rsidP="00283DAE">
      <w:pPr>
        <w:pStyle w:val="Betarp"/>
        <w:jc w:val="both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797"/>
        <w:gridCol w:w="1275"/>
      </w:tblGrid>
      <w:tr w:rsidR="003601E0" w:rsidTr="00283DAE">
        <w:trPr>
          <w:trHeight w:val="427"/>
        </w:trPr>
        <w:tc>
          <w:tcPr>
            <w:tcW w:w="567" w:type="dxa"/>
          </w:tcPr>
          <w:p w:rsidR="003601E0" w:rsidRPr="00772254" w:rsidRDefault="003601E0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</w:tcPr>
          <w:p w:rsidR="003601E0" w:rsidRPr="00772254" w:rsidRDefault="003601E0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3601E0" w:rsidTr="00283DAE">
        <w:trPr>
          <w:trHeight w:val="290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706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</w:p>
        </w:tc>
      </w:tr>
      <w:tr w:rsidR="003601E0" w:rsidTr="00283DAE">
        <w:trPr>
          <w:trHeight w:val="549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</w:tr>
      <w:tr w:rsidR="003601E0" w:rsidTr="00283DAE">
        <w:trPr>
          <w:trHeight w:val="27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Apie 100</w:t>
            </w:r>
          </w:p>
        </w:tc>
      </w:tr>
      <w:tr w:rsidR="003601E0" w:rsidTr="00283DAE">
        <w:trPr>
          <w:trHeight w:val="27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601E0" w:rsidTr="00283DAE">
        <w:trPr>
          <w:trHeight w:val="56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3601E0" w:rsidTr="00283DAE">
        <w:trPr>
          <w:trHeight w:val="824"/>
        </w:trPr>
        <w:tc>
          <w:tcPr>
            <w:tcW w:w="567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</w:tcPr>
          <w:p w:rsidR="003601E0" w:rsidRPr="00772254" w:rsidRDefault="003601E0" w:rsidP="00283DA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601E0" w:rsidRPr="00917ABE" w:rsidRDefault="003601E0" w:rsidP="00283DAE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283DAE">
        <w:t>Renginiai</w:t>
      </w:r>
      <w:r w:rsidR="00917AB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646"/>
        <w:gridCol w:w="1276"/>
      </w:tblGrid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917ABE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917ABE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917ABE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917ABE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917ABE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917ABE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</w:tcPr>
          <w:p w:rsidR="003601E0" w:rsidRPr="00772254" w:rsidRDefault="00917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601E0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689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3601E0" w:rsidRDefault="003601E0" w:rsidP="00283DAE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283DAE">
        <w:rPr>
          <w:color w:val="000000"/>
        </w:rPr>
        <w:t>Meno kolektyvai</w:t>
      </w:r>
      <w:r w:rsidR="00917ABE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7495"/>
        <w:gridCol w:w="1273"/>
      </w:tblGrid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917AB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rPr>
          <w:trHeight w:val="520"/>
        </w:trPr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917ABE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</w:p>
        </w:tc>
      </w:tr>
      <w:tr w:rsidR="003601E0" w:rsidTr="00283DAE">
        <w:tc>
          <w:tcPr>
            <w:tcW w:w="86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3601E0" w:rsidRDefault="003601E0" w:rsidP="0070430A">
      <w:pPr>
        <w:jc w:val="both"/>
        <w:rPr>
          <w:b/>
          <w:color w:val="000000"/>
        </w:rPr>
      </w:pPr>
    </w:p>
    <w:p w:rsidR="003601E0" w:rsidRPr="0070430A" w:rsidRDefault="003601E0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3601E0" w:rsidRPr="0070430A" w:rsidRDefault="003601E0" w:rsidP="0070430A">
      <w:pPr>
        <w:suppressAutoHyphens w:val="0"/>
        <w:spacing w:after="0" w:line="240" w:lineRule="auto"/>
        <w:rPr>
          <w:b/>
        </w:rPr>
      </w:pP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49"/>
        <w:gridCol w:w="1567"/>
        <w:gridCol w:w="1229"/>
      </w:tblGrid>
      <w:tr w:rsidR="003601E0" w:rsidTr="00283DAE">
        <w:tc>
          <w:tcPr>
            <w:tcW w:w="681" w:type="dxa"/>
          </w:tcPr>
          <w:bookmarkEnd w:id="1"/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593" w:type="dxa"/>
          </w:tcPr>
          <w:p w:rsidR="003601E0" w:rsidRPr="00772254" w:rsidRDefault="003601E0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41" w:type="dxa"/>
          </w:tcPr>
          <w:p w:rsidR="003601E0" w:rsidRPr="00772254" w:rsidRDefault="003601E0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</w:t>
            </w:r>
          </w:p>
        </w:tc>
        <w:tc>
          <w:tcPr>
            <w:tcW w:w="1593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137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241,00</w:t>
            </w:r>
          </w:p>
        </w:tc>
        <w:tc>
          <w:tcPr>
            <w:tcW w:w="1241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137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841,00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653,00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231" w:type="dxa"/>
          </w:tcPr>
          <w:p w:rsidR="003601E0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  <w:p w:rsidR="003601E0" w:rsidRPr="00772254" w:rsidRDefault="00283D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3601E0">
              <w:rPr>
                <w:sz w:val="20"/>
                <w:szCs w:val="20"/>
              </w:rPr>
              <w:t>oc</w:t>
            </w:r>
            <w:proofErr w:type="spellEnd"/>
            <w:r w:rsidR="003601E0">
              <w:rPr>
                <w:sz w:val="20"/>
                <w:szCs w:val="20"/>
              </w:rPr>
              <w:t>. draudimo įmokos</w:t>
            </w:r>
          </w:p>
        </w:tc>
        <w:tc>
          <w:tcPr>
            <w:tcW w:w="1593" w:type="dxa"/>
          </w:tcPr>
          <w:p w:rsidR="003601E0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41" w:type="dxa"/>
          </w:tcPr>
          <w:p w:rsidR="003601E0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981,00</w:t>
            </w:r>
          </w:p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681,00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696,00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595,00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917ABE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593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19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341,00</w:t>
            </w:r>
          </w:p>
        </w:tc>
        <w:tc>
          <w:tcPr>
            <w:tcW w:w="1241" w:type="dxa"/>
          </w:tcPr>
          <w:p w:rsidR="003601E0" w:rsidRPr="00283DAE" w:rsidRDefault="003601E0" w:rsidP="002E18D6">
            <w:pPr>
              <w:jc w:val="center"/>
              <w:rPr>
                <w:sz w:val="20"/>
                <w:szCs w:val="20"/>
              </w:rPr>
            </w:pPr>
            <w:r w:rsidRPr="00283DAE">
              <w:rPr>
                <w:sz w:val="20"/>
                <w:szCs w:val="20"/>
              </w:rPr>
              <w:t>19</w:t>
            </w:r>
            <w:r w:rsidR="00917ABE">
              <w:rPr>
                <w:sz w:val="20"/>
                <w:szCs w:val="20"/>
              </w:rPr>
              <w:t xml:space="preserve"> </w:t>
            </w:r>
            <w:r w:rsidRPr="00283DAE">
              <w:rPr>
                <w:sz w:val="20"/>
                <w:szCs w:val="20"/>
              </w:rPr>
              <w:t>888,00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231" w:type="dxa"/>
          </w:tcPr>
          <w:p w:rsidR="003601E0" w:rsidRPr="00772254" w:rsidRDefault="003601E0" w:rsidP="00917AB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(bilietai, nuoma, renginių organizavimas)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447,00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890,00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890,00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</w:t>
            </w:r>
          </w:p>
        </w:tc>
      </w:tr>
      <w:tr w:rsidR="003601E0" w:rsidTr="00283DAE">
        <w:tc>
          <w:tcPr>
            <w:tcW w:w="681" w:type="dxa"/>
          </w:tcPr>
          <w:p w:rsidR="003601E0" w:rsidRPr="00772254" w:rsidRDefault="003601E0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6231" w:type="dxa"/>
          </w:tcPr>
          <w:p w:rsidR="003601E0" w:rsidRPr="00772254" w:rsidRDefault="003601E0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593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307,00</w:t>
            </w:r>
          </w:p>
        </w:tc>
        <w:tc>
          <w:tcPr>
            <w:tcW w:w="1241" w:type="dxa"/>
          </w:tcPr>
          <w:p w:rsidR="003601E0" w:rsidRPr="00772254" w:rsidRDefault="003601E0" w:rsidP="002E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17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307,00</w:t>
            </w:r>
          </w:p>
        </w:tc>
      </w:tr>
    </w:tbl>
    <w:p w:rsidR="003601E0" w:rsidRPr="00283DAE" w:rsidRDefault="003601E0" w:rsidP="00283DAE">
      <w:pPr>
        <w:pStyle w:val="Standard"/>
        <w:tabs>
          <w:tab w:val="left" w:pos="1338"/>
        </w:tabs>
        <w:rPr>
          <w:sz w:val="24"/>
          <w:szCs w:val="24"/>
        </w:rPr>
      </w:pPr>
    </w:p>
    <w:p w:rsidR="003601E0" w:rsidRDefault="00283DAE" w:rsidP="003309FF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3601E0">
        <w:rPr>
          <w:b/>
        </w:rPr>
        <w:t>V. VEIKLOS TOBULINIMO PERSPEKTYVOS</w:t>
      </w:r>
    </w:p>
    <w:p w:rsidR="003601E0" w:rsidRDefault="003601E0" w:rsidP="00283DAE">
      <w:pPr>
        <w:pStyle w:val="Betarp"/>
        <w:jc w:val="both"/>
      </w:pPr>
    </w:p>
    <w:p w:rsidR="003601E0" w:rsidRDefault="003601E0" w:rsidP="00367DDF">
      <w:pPr>
        <w:pStyle w:val="Betarp"/>
        <w:ind w:firstLine="851"/>
        <w:jc w:val="both"/>
        <w:rPr>
          <w:rFonts w:eastAsia="Times New Roman"/>
          <w:bCs/>
          <w:lang w:eastAsia="lt-LT"/>
        </w:rPr>
      </w:pPr>
      <w:r w:rsidRPr="003F03F3">
        <w:rPr>
          <w:rFonts w:eastAsia="Times New Roman"/>
          <w:bCs/>
          <w:lang w:eastAsia="lt-LT"/>
        </w:rPr>
        <w:t xml:space="preserve">2016 m. </w:t>
      </w:r>
      <w:r w:rsidR="00917ABE">
        <w:rPr>
          <w:rFonts w:eastAsia="Times New Roman"/>
          <w:bCs/>
          <w:lang w:eastAsia="lt-LT"/>
        </w:rPr>
        <w:t xml:space="preserve">atliktas </w:t>
      </w:r>
      <w:r w:rsidRPr="003F03F3">
        <w:rPr>
          <w:rFonts w:eastAsia="Times New Roman"/>
          <w:bCs/>
          <w:lang w:eastAsia="lt-LT"/>
        </w:rPr>
        <w:t>Panevėžio rajono savivaldybės 2015 m. biudžeto 03 programos ,,Aktyvaus bendruomenės gyvenimo skatinimo programa</w:t>
      </w:r>
      <w:r w:rsidR="00470681">
        <w:rPr>
          <w:rFonts w:eastAsia="Times New Roman"/>
          <w:bCs/>
          <w:lang w:eastAsia="lt-LT"/>
        </w:rPr>
        <w:t>“</w:t>
      </w:r>
      <w:r w:rsidRPr="003F03F3">
        <w:rPr>
          <w:rFonts w:eastAsia="Times New Roman"/>
          <w:bCs/>
          <w:lang w:eastAsia="lt-LT"/>
        </w:rPr>
        <w:t xml:space="preserve"> veiklos auditas.</w:t>
      </w:r>
    </w:p>
    <w:p w:rsidR="00367DDF" w:rsidRDefault="00367DDF" w:rsidP="00367DDF">
      <w:pPr>
        <w:pStyle w:val="Betarp"/>
        <w:ind w:firstLine="851"/>
        <w:jc w:val="both"/>
        <w:rPr>
          <w:rFonts w:eastAsia="Times New Roman"/>
          <w:bCs/>
          <w:lang w:eastAsia="lt-LT"/>
        </w:rPr>
      </w:pPr>
      <w:r>
        <w:rPr>
          <w:rFonts w:eastAsia="Times New Roman"/>
          <w:bCs/>
          <w:lang w:eastAsia="lt-LT"/>
        </w:rPr>
        <w:t>Perduotas Juozo Zikaro namas-muziejus.</w:t>
      </w:r>
    </w:p>
    <w:p w:rsidR="00367DDF" w:rsidRPr="00367DDF" w:rsidRDefault="00367DDF" w:rsidP="00367DDF">
      <w:pPr>
        <w:pStyle w:val="Betarp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Bernatonių padalinyje reikia atlikti elektros instaliacijos darbus, sudėti apsaugines lauko žaliuzes. Daukniūnų padalinyje reikia pakeisti pastato langus. Paįstrio kultūros centre reikia įsigyti pučiamųjų instrumentų orkestro dalyvių drabužius.</w:t>
      </w:r>
      <w:r w:rsidR="008A035F">
        <w:rPr>
          <w:rFonts w:eastAsia="Times New Roman"/>
          <w:lang w:eastAsia="lt-LT"/>
        </w:rPr>
        <w:t xml:space="preserve"> Reikia transporto</w:t>
      </w:r>
      <w:r w:rsidR="00C54386">
        <w:rPr>
          <w:rFonts w:eastAsia="Times New Roman"/>
          <w:lang w:eastAsia="lt-LT"/>
        </w:rPr>
        <w:t xml:space="preserve"> priemonės</w:t>
      </w:r>
      <w:r w:rsidR="008A035F">
        <w:rPr>
          <w:rFonts w:eastAsia="Times New Roman"/>
          <w:lang w:eastAsia="lt-LT"/>
        </w:rPr>
        <w:t>.</w:t>
      </w:r>
    </w:p>
    <w:p w:rsidR="00367DDF" w:rsidRDefault="00BA4524" w:rsidP="00283DAE">
      <w:pPr>
        <w:pStyle w:val="Betarp"/>
        <w:ind w:firstLine="851"/>
        <w:jc w:val="both"/>
      </w:pPr>
      <w:r>
        <w:t>Kuriama centro internetinė svetainė.</w:t>
      </w:r>
    </w:p>
    <w:p w:rsidR="007503C4" w:rsidRDefault="007503C4" w:rsidP="00283DAE">
      <w:pPr>
        <w:pStyle w:val="Betarp"/>
        <w:ind w:firstLine="851"/>
        <w:jc w:val="both"/>
      </w:pPr>
    </w:p>
    <w:p w:rsidR="003601E0" w:rsidRDefault="003601E0" w:rsidP="00283DAE">
      <w:pPr>
        <w:pStyle w:val="Betarp"/>
        <w:ind w:firstLine="851"/>
        <w:jc w:val="both"/>
      </w:pPr>
      <w:r>
        <w:t>Patvirtinu, kad pateikta informacija yra tiksli ir teisinga.</w:t>
      </w:r>
    </w:p>
    <w:p w:rsidR="00917ABE" w:rsidRDefault="00917ABE" w:rsidP="00283DAE">
      <w:pPr>
        <w:pStyle w:val="Betarp"/>
        <w:jc w:val="both"/>
      </w:pPr>
    </w:p>
    <w:p w:rsidR="00917ABE" w:rsidRDefault="00917ABE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3601E0" w:rsidRDefault="003601E0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283DAE">
        <w:rPr>
          <w:sz w:val="24"/>
        </w:rPr>
        <w:tab/>
      </w:r>
      <w:r w:rsidR="00283DAE">
        <w:rPr>
          <w:sz w:val="24"/>
        </w:rPr>
        <w:tab/>
      </w:r>
      <w:r w:rsidR="00283DAE">
        <w:rPr>
          <w:sz w:val="24"/>
        </w:rPr>
        <w:tab/>
      </w:r>
      <w:r w:rsidR="00283DAE">
        <w:rPr>
          <w:sz w:val="24"/>
        </w:rPr>
        <w:tab/>
      </w:r>
      <w:r>
        <w:rPr>
          <w:sz w:val="24"/>
        </w:rPr>
        <w:t xml:space="preserve">Daiva </w:t>
      </w:r>
      <w:proofErr w:type="spellStart"/>
      <w:r>
        <w:rPr>
          <w:sz w:val="24"/>
        </w:rPr>
        <w:t>Kiršgalvienė</w:t>
      </w:r>
      <w:proofErr w:type="spellEnd"/>
    </w:p>
    <w:p w:rsidR="00283DAE" w:rsidRDefault="00283DAE" w:rsidP="0015606C">
      <w:pPr>
        <w:pStyle w:val="Standard"/>
        <w:tabs>
          <w:tab w:val="left" w:pos="1338"/>
        </w:tabs>
        <w:rPr>
          <w:sz w:val="24"/>
        </w:rPr>
      </w:pPr>
    </w:p>
    <w:p w:rsidR="00844A41" w:rsidRDefault="00844A41" w:rsidP="0015606C">
      <w:pPr>
        <w:pStyle w:val="Standard"/>
        <w:tabs>
          <w:tab w:val="left" w:pos="1338"/>
        </w:tabs>
        <w:rPr>
          <w:sz w:val="24"/>
        </w:rPr>
      </w:pPr>
    </w:p>
    <w:p w:rsidR="00283DAE" w:rsidRDefault="00283DAE" w:rsidP="00283DAE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283DAE" w:rsidRDefault="00283DAE" w:rsidP="00283DAE">
      <w:pPr>
        <w:pStyle w:val="Standard"/>
        <w:rPr>
          <w:sz w:val="24"/>
          <w:szCs w:val="24"/>
        </w:rPr>
      </w:pPr>
    </w:p>
    <w:p w:rsidR="00283DAE" w:rsidRDefault="00283DAE" w:rsidP="00283DA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283DAE" w:rsidRPr="00844A41" w:rsidRDefault="00283DAE" w:rsidP="00844A4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283DAE" w:rsidRPr="00844A41" w:rsidSect="006554E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34" w:rsidRDefault="00B41134">
      <w:pPr>
        <w:spacing w:after="0" w:line="240" w:lineRule="auto"/>
      </w:pPr>
      <w:r>
        <w:separator/>
      </w:r>
    </w:p>
  </w:endnote>
  <w:endnote w:type="continuationSeparator" w:id="0">
    <w:p w:rsidR="00B41134" w:rsidRDefault="00B4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34" w:rsidRDefault="00B41134">
      <w:pPr>
        <w:spacing w:after="0" w:line="240" w:lineRule="auto"/>
      </w:pPr>
      <w:r>
        <w:separator/>
      </w:r>
    </w:p>
  </w:footnote>
  <w:footnote w:type="continuationSeparator" w:id="0">
    <w:p w:rsidR="00B41134" w:rsidRDefault="00B4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15" w:rsidRDefault="00C40B15" w:rsidP="00917F0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BD06B4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46C40FD2"/>
    <w:multiLevelType w:val="hybridMultilevel"/>
    <w:tmpl w:val="854AFA1C"/>
    <w:lvl w:ilvl="0" w:tplc="1B54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06A6"/>
    <w:rsid w:val="000248C5"/>
    <w:rsid w:val="00025789"/>
    <w:rsid w:val="00046B8D"/>
    <w:rsid w:val="00047C59"/>
    <w:rsid w:val="00056D10"/>
    <w:rsid w:val="00060DF0"/>
    <w:rsid w:val="00071644"/>
    <w:rsid w:val="00084E55"/>
    <w:rsid w:val="00087720"/>
    <w:rsid w:val="000A00AD"/>
    <w:rsid w:val="000B4EBF"/>
    <w:rsid w:val="000F7BBE"/>
    <w:rsid w:val="0010596D"/>
    <w:rsid w:val="0012153F"/>
    <w:rsid w:val="00147DB1"/>
    <w:rsid w:val="001526E3"/>
    <w:rsid w:val="0015606C"/>
    <w:rsid w:val="00191C31"/>
    <w:rsid w:val="001A4EBE"/>
    <w:rsid w:val="001A7078"/>
    <w:rsid w:val="001F3DEC"/>
    <w:rsid w:val="00203CA5"/>
    <w:rsid w:val="00204036"/>
    <w:rsid w:val="00225DEE"/>
    <w:rsid w:val="002307C8"/>
    <w:rsid w:val="00235359"/>
    <w:rsid w:val="00237511"/>
    <w:rsid w:val="0023759D"/>
    <w:rsid w:val="00240FEA"/>
    <w:rsid w:val="00274338"/>
    <w:rsid w:val="00283DAE"/>
    <w:rsid w:val="0028612E"/>
    <w:rsid w:val="0029032E"/>
    <w:rsid w:val="002D25C6"/>
    <w:rsid w:val="002E01B8"/>
    <w:rsid w:val="002E18D6"/>
    <w:rsid w:val="002E43FC"/>
    <w:rsid w:val="002F01C1"/>
    <w:rsid w:val="002F0F9B"/>
    <w:rsid w:val="003309FF"/>
    <w:rsid w:val="00337EFF"/>
    <w:rsid w:val="003458F0"/>
    <w:rsid w:val="003550BD"/>
    <w:rsid w:val="003601E0"/>
    <w:rsid w:val="00367DDF"/>
    <w:rsid w:val="003910D5"/>
    <w:rsid w:val="003A4925"/>
    <w:rsid w:val="003A5F42"/>
    <w:rsid w:val="003C1A0A"/>
    <w:rsid w:val="003E5150"/>
    <w:rsid w:val="003F03F3"/>
    <w:rsid w:val="003F17EC"/>
    <w:rsid w:val="00401EF7"/>
    <w:rsid w:val="004044F2"/>
    <w:rsid w:val="0040539F"/>
    <w:rsid w:val="00405F20"/>
    <w:rsid w:val="00407453"/>
    <w:rsid w:val="0042197F"/>
    <w:rsid w:val="004221CC"/>
    <w:rsid w:val="00436D65"/>
    <w:rsid w:val="00457A3D"/>
    <w:rsid w:val="004648ED"/>
    <w:rsid w:val="00465D4F"/>
    <w:rsid w:val="00470681"/>
    <w:rsid w:val="00480B86"/>
    <w:rsid w:val="00511C74"/>
    <w:rsid w:val="00511C9C"/>
    <w:rsid w:val="00512141"/>
    <w:rsid w:val="00514FAF"/>
    <w:rsid w:val="00515EBD"/>
    <w:rsid w:val="00534164"/>
    <w:rsid w:val="00551292"/>
    <w:rsid w:val="00555C4B"/>
    <w:rsid w:val="0055699B"/>
    <w:rsid w:val="005622AE"/>
    <w:rsid w:val="0058195B"/>
    <w:rsid w:val="005B5C52"/>
    <w:rsid w:val="005C3175"/>
    <w:rsid w:val="005D1C13"/>
    <w:rsid w:val="005D2259"/>
    <w:rsid w:val="005D7067"/>
    <w:rsid w:val="005E4B06"/>
    <w:rsid w:val="005F181B"/>
    <w:rsid w:val="0060700D"/>
    <w:rsid w:val="006104A5"/>
    <w:rsid w:val="00614B4A"/>
    <w:rsid w:val="00621D05"/>
    <w:rsid w:val="006367F4"/>
    <w:rsid w:val="006554E0"/>
    <w:rsid w:val="00673721"/>
    <w:rsid w:val="006759A8"/>
    <w:rsid w:val="00677694"/>
    <w:rsid w:val="00685E0E"/>
    <w:rsid w:val="0068718F"/>
    <w:rsid w:val="006B46F8"/>
    <w:rsid w:val="006C3043"/>
    <w:rsid w:val="0070373A"/>
    <w:rsid w:val="0070430A"/>
    <w:rsid w:val="007062FB"/>
    <w:rsid w:val="00726602"/>
    <w:rsid w:val="00731F3B"/>
    <w:rsid w:val="007361B5"/>
    <w:rsid w:val="00744219"/>
    <w:rsid w:val="00745F70"/>
    <w:rsid w:val="007503C4"/>
    <w:rsid w:val="00763AD8"/>
    <w:rsid w:val="0076654A"/>
    <w:rsid w:val="00770BF7"/>
    <w:rsid w:val="00772254"/>
    <w:rsid w:val="00775103"/>
    <w:rsid w:val="00787393"/>
    <w:rsid w:val="007902B7"/>
    <w:rsid w:val="007912CF"/>
    <w:rsid w:val="00796FEF"/>
    <w:rsid w:val="007B3F9E"/>
    <w:rsid w:val="007C5330"/>
    <w:rsid w:val="007C5D9D"/>
    <w:rsid w:val="007D42DE"/>
    <w:rsid w:val="007D538F"/>
    <w:rsid w:val="007E5C17"/>
    <w:rsid w:val="008027F1"/>
    <w:rsid w:val="00807812"/>
    <w:rsid w:val="00813AF9"/>
    <w:rsid w:val="00830F44"/>
    <w:rsid w:val="00831511"/>
    <w:rsid w:val="008362AD"/>
    <w:rsid w:val="008419BE"/>
    <w:rsid w:val="00844A41"/>
    <w:rsid w:val="008565B3"/>
    <w:rsid w:val="00867F60"/>
    <w:rsid w:val="0087054E"/>
    <w:rsid w:val="008726EA"/>
    <w:rsid w:val="00874F09"/>
    <w:rsid w:val="008A035F"/>
    <w:rsid w:val="008B3648"/>
    <w:rsid w:val="008D237F"/>
    <w:rsid w:val="009012F1"/>
    <w:rsid w:val="0091260E"/>
    <w:rsid w:val="0091439E"/>
    <w:rsid w:val="00917ABE"/>
    <w:rsid w:val="00917F0D"/>
    <w:rsid w:val="0092266A"/>
    <w:rsid w:val="009265EE"/>
    <w:rsid w:val="0094061F"/>
    <w:rsid w:val="009649A1"/>
    <w:rsid w:val="00985EE1"/>
    <w:rsid w:val="009A469F"/>
    <w:rsid w:val="009B0C50"/>
    <w:rsid w:val="009B703F"/>
    <w:rsid w:val="009D3300"/>
    <w:rsid w:val="009E598B"/>
    <w:rsid w:val="009F3977"/>
    <w:rsid w:val="00A0439E"/>
    <w:rsid w:val="00A1124E"/>
    <w:rsid w:val="00A256B9"/>
    <w:rsid w:val="00A26D68"/>
    <w:rsid w:val="00A41FA8"/>
    <w:rsid w:val="00A5370C"/>
    <w:rsid w:val="00A825A9"/>
    <w:rsid w:val="00A8332F"/>
    <w:rsid w:val="00A96F90"/>
    <w:rsid w:val="00AA6BF5"/>
    <w:rsid w:val="00AA7BE1"/>
    <w:rsid w:val="00AB6F9B"/>
    <w:rsid w:val="00AD45E8"/>
    <w:rsid w:val="00AD5319"/>
    <w:rsid w:val="00AF6F90"/>
    <w:rsid w:val="00B161B2"/>
    <w:rsid w:val="00B270A8"/>
    <w:rsid w:val="00B41134"/>
    <w:rsid w:val="00B41C4B"/>
    <w:rsid w:val="00B46548"/>
    <w:rsid w:val="00B64072"/>
    <w:rsid w:val="00BA4524"/>
    <w:rsid w:val="00BD06B4"/>
    <w:rsid w:val="00BD7E3D"/>
    <w:rsid w:val="00BE6700"/>
    <w:rsid w:val="00BF0DAA"/>
    <w:rsid w:val="00BF6899"/>
    <w:rsid w:val="00BF7886"/>
    <w:rsid w:val="00BF7BD1"/>
    <w:rsid w:val="00C1229B"/>
    <w:rsid w:val="00C1464F"/>
    <w:rsid w:val="00C231C2"/>
    <w:rsid w:val="00C3200A"/>
    <w:rsid w:val="00C40B15"/>
    <w:rsid w:val="00C43D14"/>
    <w:rsid w:val="00C54386"/>
    <w:rsid w:val="00C70709"/>
    <w:rsid w:val="00C85E00"/>
    <w:rsid w:val="00C915CB"/>
    <w:rsid w:val="00C966E4"/>
    <w:rsid w:val="00CB3A38"/>
    <w:rsid w:val="00CC5C76"/>
    <w:rsid w:val="00CE3C72"/>
    <w:rsid w:val="00D04BBC"/>
    <w:rsid w:val="00D16F0C"/>
    <w:rsid w:val="00D35A77"/>
    <w:rsid w:val="00D65F9A"/>
    <w:rsid w:val="00D66CD9"/>
    <w:rsid w:val="00D758BD"/>
    <w:rsid w:val="00D84BCF"/>
    <w:rsid w:val="00D852C1"/>
    <w:rsid w:val="00DA1868"/>
    <w:rsid w:val="00DE23DB"/>
    <w:rsid w:val="00DE311B"/>
    <w:rsid w:val="00DE6970"/>
    <w:rsid w:val="00DF19FC"/>
    <w:rsid w:val="00DF2C74"/>
    <w:rsid w:val="00DF3EBD"/>
    <w:rsid w:val="00DF5CCD"/>
    <w:rsid w:val="00E03E4A"/>
    <w:rsid w:val="00E065A5"/>
    <w:rsid w:val="00EE0B78"/>
    <w:rsid w:val="00EE649A"/>
    <w:rsid w:val="00F10625"/>
    <w:rsid w:val="00F43E22"/>
    <w:rsid w:val="00F600D6"/>
    <w:rsid w:val="00F774C0"/>
    <w:rsid w:val="00F80F0A"/>
    <w:rsid w:val="00FB0219"/>
    <w:rsid w:val="00FB0D52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1B003B-4EA8-4D59-A9CC-3C09F29F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4E0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6554E0"/>
  </w:style>
  <w:style w:type="character" w:styleId="Hipersaitas">
    <w:name w:val="Hyperlink"/>
    <w:uiPriority w:val="99"/>
    <w:rsid w:val="006554E0"/>
    <w:rPr>
      <w:rFonts w:cs="Times New Roman"/>
      <w:color w:val="0000FF"/>
      <w:u w:val="single"/>
    </w:rPr>
  </w:style>
  <w:style w:type="character" w:styleId="Puslapionumeris">
    <w:name w:val="page number"/>
    <w:uiPriority w:val="99"/>
    <w:rsid w:val="006554E0"/>
    <w:rPr>
      <w:rFonts w:cs="Times New Roman"/>
    </w:rPr>
  </w:style>
  <w:style w:type="character" w:styleId="Grietas">
    <w:name w:val="Strong"/>
    <w:uiPriority w:val="99"/>
    <w:qFormat/>
    <w:rsid w:val="006554E0"/>
    <w:rPr>
      <w:rFonts w:cs="Times New Roman"/>
      <w:b/>
    </w:rPr>
  </w:style>
  <w:style w:type="character" w:customStyle="1" w:styleId="WW-Internetosaitas">
    <w:name w:val="WW-Interneto saitas"/>
    <w:uiPriority w:val="99"/>
    <w:rsid w:val="006554E0"/>
    <w:rPr>
      <w:color w:val="0000FF"/>
      <w:u w:val="single"/>
    </w:rPr>
  </w:style>
  <w:style w:type="character" w:customStyle="1" w:styleId="DebesliotekstasDiagrama">
    <w:name w:val="Debesėlio tekstas Diagrama"/>
    <w:uiPriority w:val="99"/>
    <w:rsid w:val="006554E0"/>
    <w:rPr>
      <w:rFonts w:ascii="Tahoma" w:eastAsia="SimSun" w:hAnsi="Tahoma"/>
      <w:sz w:val="16"/>
      <w:lang w:val="lt-LT" w:eastAsia="zh-CN"/>
    </w:rPr>
  </w:style>
  <w:style w:type="character" w:customStyle="1" w:styleId="AntratsDiagrama">
    <w:name w:val="Antraštės Diagrama"/>
    <w:uiPriority w:val="99"/>
    <w:rsid w:val="006554E0"/>
    <w:rPr>
      <w:rFonts w:eastAsia="SimSun"/>
      <w:sz w:val="24"/>
      <w:lang w:eastAsia="zh-CN"/>
    </w:rPr>
  </w:style>
  <w:style w:type="character" w:customStyle="1" w:styleId="PoratDiagrama">
    <w:name w:val="Poraštė Diagrama"/>
    <w:uiPriority w:val="99"/>
    <w:rsid w:val="006554E0"/>
    <w:rPr>
      <w:rFonts w:eastAsia="SimSun"/>
      <w:sz w:val="24"/>
      <w:lang w:eastAsia="zh-CN"/>
    </w:rPr>
  </w:style>
  <w:style w:type="character" w:customStyle="1" w:styleId="ListLabel1">
    <w:name w:val="ListLabel 1"/>
    <w:uiPriority w:val="99"/>
    <w:rsid w:val="006554E0"/>
    <w:rPr>
      <w:sz w:val="20"/>
    </w:rPr>
  </w:style>
  <w:style w:type="character" w:customStyle="1" w:styleId="ListLabel2">
    <w:name w:val="ListLabel 2"/>
    <w:uiPriority w:val="99"/>
    <w:rsid w:val="006554E0"/>
    <w:rPr>
      <w:sz w:val="20"/>
    </w:rPr>
  </w:style>
  <w:style w:type="character" w:customStyle="1" w:styleId="ListLabel3">
    <w:name w:val="ListLabel 3"/>
    <w:uiPriority w:val="99"/>
    <w:rsid w:val="006554E0"/>
    <w:rPr>
      <w:sz w:val="20"/>
    </w:rPr>
  </w:style>
  <w:style w:type="character" w:customStyle="1" w:styleId="ListLabel4">
    <w:name w:val="ListLabel 4"/>
    <w:uiPriority w:val="99"/>
    <w:rsid w:val="006554E0"/>
    <w:rPr>
      <w:sz w:val="20"/>
    </w:rPr>
  </w:style>
  <w:style w:type="character" w:customStyle="1" w:styleId="ListLabel5">
    <w:name w:val="ListLabel 5"/>
    <w:uiPriority w:val="99"/>
    <w:rsid w:val="006554E0"/>
    <w:rPr>
      <w:sz w:val="20"/>
    </w:rPr>
  </w:style>
  <w:style w:type="character" w:customStyle="1" w:styleId="ListLabel6">
    <w:name w:val="ListLabel 6"/>
    <w:uiPriority w:val="99"/>
    <w:rsid w:val="006554E0"/>
    <w:rPr>
      <w:sz w:val="20"/>
    </w:rPr>
  </w:style>
  <w:style w:type="character" w:customStyle="1" w:styleId="ListLabel7">
    <w:name w:val="ListLabel 7"/>
    <w:uiPriority w:val="99"/>
    <w:rsid w:val="006554E0"/>
    <w:rPr>
      <w:sz w:val="20"/>
    </w:rPr>
  </w:style>
  <w:style w:type="character" w:customStyle="1" w:styleId="ListLabel8">
    <w:name w:val="ListLabel 8"/>
    <w:uiPriority w:val="99"/>
    <w:rsid w:val="006554E0"/>
    <w:rPr>
      <w:sz w:val="20"/>
    </w:rPr>
  </w:style>
  <w:style w:type="character" w:customStyle="1" w:styleId="ListLabel9">
    <w:name w:val="ListLabel 9"/>
    <w:uiPriority w:val="99"/>
    <w:rsid w:val="006554E0"/>
    <w:rPr>
      <w:sz w:val="20"/>
    </w:rPr>
  </w:style>
  <w:style w:type="character" w:customStyle="1" w:styleId="ListLabel10">
    <w:name w:val="ListLabel 10"/>
    <w:uiPriority w:val="99"/>
    <w:rsid w:val="006554E0"/>
    <w:rPr>
      <w:rFonts w:eastAsia="SimSun"/>
    </w:rPr>
  </w:style>
  <w:style w:type="character" w:customStyle="1" w:styleId="ListLabel11">
    <w:name w:val="ListLabel 11"/>
    <w:uiPriority w:val="99"/>
    <w:rsid w:val="006554E0"/>
  </w:style>
  <w:style w:type="character" w:customStyle="1" w:styleId="ListLabel12">
    <w:name w:val="ListLabel 12"/>
    <w:uiPriority w:val="99"/>
    <w:rsid w:val="006554E0"/>
  </w:style>
  <w:style w:type="character" w:customStyle="1" w:styleId="ListLabel13">
    <w:name w:val="ListLabel 13"/>
    <w:uiPriority w:val="99"/>
    <w:rsid w:val="006554E0"/>
  </w:style>
  <w:style w:type="character" w:customStyle="1" w:styleId="Komentaronuoroda1">
    <w:name w:val="Komentaro nuoroda1"/>
    <w:uiPriority w:val="99"/>
    <w:rsid w:val="006554E0"/>
    <w:rPr>
      <w:sz w:val="16"/>
    </w:rPr>
  </w:style>
  <w:style w:type="character" w:customStyle="1" w:styleId="KomentarotekstasDiagrama">
    <w:name w:val="Komentaro tekstas Diagrama"/>
    <w:uiPriority w:val="99"/>
    <w:rsid w:val="006554E0"/>
    <w:rPr>
      <w:lang w:eastAsia="zh-CN"/>
    </w:rPr>
  </w:style>
  <w:style w:type="character" w:customStyle="1" w:styleId="KomentarotemaDiagrama">
    <w:name w:val="Komentaro tema Diagrama"/>
    <w:uiPriority w:val="99"/>
    <w:rsid w:val="006554E0"/>
    <w:rPr>
      <w:b/>
      <w:lang w:eastAsia="zh-CN"/>
    </w:rPr>
  </w:style>
  <w:style w:type="paragraph" w:customStyle="1" w:styleId="Antrat1">
    <w:name w:val="Antraštė1"/>
    <w:basedOn w:val="prastasis"/>
    <w:next w:val="Pagrindinistekstas"/>
    <w:uiPriority w:val="99"/>
    <w:rsid w:val="006554E0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6554E0"/>
    <w:pPr>
      <w:spacing w:after="140" w:line="288" w:lineRule="auto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E6970"/>
    <w:rPr>
      <w:rFonts w:eastAsia="SimSun" w:cs="Times New Roman"/>
      <w:sz w:val="24"/>
      <w:szCs w:val="24"/>
      <w:lang w:eastAsia="zh-CN"/>
    </w:rPr>
  </w:style>
  <w:style w:type="paragraph" w:styleId="Sraas">
    <w:name w:val="List"/>
    <w:basedOn w:val="Pagrindinistekstas"/>
    <w:uiPriority w:val="99"/>
    <w:rsid w:val="006554E0"/>
    <w:rPr>
      <w:rFonts w:cs="Arial"/>
    </w:rPr>
  </w:style>
  <w:style w:type="paragraph" w:styleId="Antrat">
    <w:name w:val="caption"/>
    <w:basedOn w:val="prastasis"/>
    <w:uiPriority w:val="99"/>
    <w:qFormat/>
    <w:rsid w:val="006554E0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uiPriority w:val="99"/>
    <w:rsid w:val="006554E0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1"/>
    <w:uiPriority w:val="99"/>
    <w:rsid w:val="006554E0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link w:val="Debesliotekstas"/>
    <w:uiPriority w:val="99"/>
    <w:semiHidden/>
    <w:locked/>
    <w:rsid w:val="00DE6970"/>
    <w:rPr>
      <w:rFonts w:eastAsia="SimSun" w:cs="Times New Roman"/>
      <w:sz w:val="2"/>
      <w:lang w:eastAsia="zh-CN"/>
    </w:rPr>
  </w:style>
  <w:style w:type="paragraph" w:styleId="Porat">
    <w:name w:val="footer"/>
    <w:basedOn w:val="prastasis"/>
    <w:link w:val="PoratDiagrama1"/>
    <w:uiPriority w:val="99"/>
    <w:rsid w:val="006554E0"/>
  </w:style>
  <w:style w:type="character" w:customStyle="1" w:styleId="PoratDiagrama1">
    <w:name w:val="Poraštė Diagrama1"/>
    <w:link w:val="Porat"/>
    <w:uiPriority w:val="99"/>
    <w:semiHidden/>
    <w:locked/>
    <w:rsid w:val="00DE6970"/>
    <w:rPr>
      <w:rFonts w:eastAsia="SimSun" w:cs="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1"/>
    <w:uiPriority w:val="99"/>
    <w:rsid w:val="006554E0"/>
  </w:style>
  <w:style w:type="character" w:customStyle="1" w:styleId="AntratsDiagrama1">
    <w:name w:val="Antraštės Diagrama1"/>
    <w:link w:val="Antrats"/>
    <w:uiPriority w:val="99"/>
    <w:semiHidden/>
    <w:locked/>
    <w:rsid w:val="00DE6970"/>
    <w:rPr>
      <w:rFonts w:eastAsia="SimSu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semiHidden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CharChar3">
    <w:name w:val="Char Char3"/>
    <w:basedOn w:val="prastasis"/>
    <w:uiPriority w:val="99"/>
    <w:rsid w:val="006554E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6554E0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uiPriority w:val="99"/>
    <w:rsid w:val="006554E0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uiPriority w:val="99"/>
    <w:rsid w:val="006554E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uiPriority w:val="99"/>
    <w:rsid w:val="006554E0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uiPriority w:val="99"/>
    <w:rsid w:val="006554E0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5C3175"/>
    <w:rPr>
      <w:sz w:val="20"/>
      <w:szCs w:val="20"/>
    </w:rPr>
  </w:style>
  <w:style w:type="character" w:customStyle="1" w:styleId="KomentarotekstasDiagrama1">
    <w:name w:val="Komentaro tekstas Diagrama1"/>
    <w:link w:val="Komentarotekstas"/>
    <w:uiPriority w:val="99"/>
    <w:semiHidden/>
    <w:locked/>
    <w:rsid w:val="00DE6970"/>
    <w:rPr>
      <w:rFonts w:eastAsia="SimSun" w:cs="Times New Roman"/>
      <w:sz w:val="20"/>
      <w:szCs w:val="20"/>
      <w:lang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6554E0"/>
    <w:rPr>
      <w:b/>
      <w:bCs/>
    </w:rPr>
  </w:style>
  <w:style w:type="character" w:customStyle="1" w:styleId="KomentarotemaDiagrama1">
    <w:name w:val="Komentaro tema Diagrama1"/>
    <w:link w:val="Komentarotema"/>
    <w:uiPriority w:val="99"/>
    <w:semiHidden/>
    <w:locked/>
    <w:rsid w:val="00DE6970"/>
    <w:rPr>
      <w:rFonts w:eastAsia="SimSun" w:cs="Times New Roman"/>
      <w:b/>
      <w:bCs/>
      <w:sz w:val="20"/>
      <w:szCs w:val="20"/>
      <w:lang w:eastAsia="zh-CN"/>
    </w:rPr>
  </w:style>
  <w:style w:type="paragraph" w:customStyle="1" w:styleId="Lentelsturinys">
    <w:name w:val="Lentelės turinys"/>
    <w:basedOn w:val="prastasis"/>
    <w:uiPriority w:val="99"/>
    <w:rsid w:val="006554E0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6554E0"/>
    <w:pPr>
      <w:jc w:val="center"/>
    </w:pPr>
    <w:rPr>
      <w:b/>
      <w:bCs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customStyle="1" w:styleId="pratas">
    <w:name w:val="įpratas"/>
    <w:basedOn w:val="prastasis"/>
    <w:uiPriority w:val="99"/>
    <w:rsid w:val="0091260E"/>
    <w:pPr>
      <w:ind w:firstLine="1296"/>
      <w:jc w:val="both"/>
    </w:pPr>
    <w:rPr>
      <w:sz w:val="20"/>
      <w:szCs w:val="20"/>
    </w:rPr>
  </w:style>
  <w:style w:type="character" w:customStyle="1" w:styleId="m-7413622673652179915gmail-msofootnotereference">
    <w:name w:val="m_-7413622673652179915gmail-msofootnotereference"/>
    <w:uiPriority w:val="99"/>
    <w:rsid w:val="003F03F3"/>
    <w:rPr>
      <w:rFonts w:cs="Times New Roman"/>
    </w:rPr>
  </w:style>
  <w:style w:type="paragraph" w:customStyle="1" w:styleId="m-7413622673652179915gmail-msofootnotetext">
    <w:name w:val="m_-7413622673652179915gmail-msofootnotetext"/>
    <w:basedOn w:val="prastasis"/>
    <w:uiPriority w:val="99"/>
    <w:rsid w:val="003F03F3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4680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PRITARTA</vt:lpstr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dc:description/>
  <cp:lastModifiedBy>Diana Zukauskiene</cp:lastModifiedBy>
  <cp:revision>15</cp:revision>
  <cp:lastPrinted>2017-05-29T14:07:00Z</cp:lastPrinted>
  <dcterms:created xsi:type="dcterms:W3CDTF">2017-06-05T06:53:00Z</dcterms:created>
  <dcterms:modified xsi:type="dcterms:W3CDTF">2017-06-22T05:34:00Z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