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DF5" w:rsidRPr="00F62DF5" w:rsidRDefault="00F62DF5" w:rsidP="00F62DF5">
      <w:pPr>
        <w:jc w:val="center"/>
        <w:rPr>
          <w:b/>
          <w:sz w:val="24"/>
          <w:szCs w:val="24"/>
        </w:rPr>
      </w:pPr>
      <w:r w:rsidRPr="00F62DF5">
        <w:rPr>
          <w:b/>
          <w:sz w:val="24"/>
          <w:szCs w:val="24"/>
        </w:rPr>
        <w:t xml:space="preserve">DĖL VIEŠOSIOS ĮSTAIGOS PANEVĖŽIO RAJONO SAVIVALDYBĖS POLIKLINIKOS </w:t>
      </w:r>
    </w:p>
    <w:p w:rsidR="003626EC" w:rsidRPr="00F62DF5" w:rsidRDefault="00F62DF5" w:rsidP="00F62DF5">
      <w:pPr>
        <w:jc w:val="center"/>
        <w:rPr>
          <w:b/>
          <w:sz w:val="24"/>
          <w:szCs w:val="24"/>
        </w:rPr>
      </w:pPr>
      <w:r w:rsidRPr="00F62DF5">
        <w:rPr>
          <w:b/>
          <w:sz w:val="24"/>
          <w:szCs w:val="24"/>
        </w:rPr>
        <w:t>2017 METŲ VEIKLOS UŽDUOČIŲ PATVIRTINIMO</w:t>
      </w:r>
    </w:p>
    <w:p w:rsidR="003626EC" w:rsidRDefault="003626EC">
      <w:pPr>
        <w:rPr>
          <w:sz w:val="24"/>
          <w:szCs w:val="24"/>
        </w:rPr>
      </w:pPr>
    </w:p>
    <w:p w:rsidR="00F226DD" w:rsidRDefault="00260BF7" w:rsidP="00F226DD">
      <w:pPr>
        <w:suppressAutoHyphens w:val="0"/>
        <w:jc w:val="center"/>
        <w:rPr>
          <w:sz w:val="24"/>
          <w:szCs w:val="24"/>
        </w:rPr>
      </w:pPr>
      <w:r>
        <w:rPr>
          <w:sz w:val="24"/>
          <w:szCs w:val="24"/>
        </w:rPr>
        <w:t>2017 m. kovo 29 d. Nr. T</w:t>
      </w:r>
      <w:r w:rsidR="00F226DD">
        <w:rPr>
          <w:sz w:val="24"/>
          <w:szCs w:val="24"/>
        </w:rPr>
        <w:t>-</w:t>
      </w:r>
      <w:r>
        <w:rPr>
          <w:sz w:val="24"/>
          <w:szCs w:val="24"/>
        </w:rPr>
        <w:t>62</w:t>
      </w:r>
    </w:p>
    <w:p w:rsidR="00F226DD" w:rsidRPr="00D60B7D" w:rsidRDefault="00F226DD" w:rsidP="00F226DD">
      <w:pPr>
        <w:suppressAutoHyphens w:val="0"/>
        <w:jc w:val="center"/>
        <w:rPr>
          <w:sz w:val="24"/>
          <w:szCs w:val="24"/>
        </w:rPr>
      </w:pPr>
      <w:r>
        <w:rPr>
          <w:sz w:val="24"/>
          <w:szCs w:val="24"/>
        </w:rPr>
        <w:t>Panevėžys</w:t>
      </w:r>
    </w:p>
    <w:p w:rsidR="00F226DD" w:rsidRPr="007C2128" w:rsidRDefault="00F226DD" w:rsidP="00F226DD">
      <w:pPr>
        <w:suppressAutoHyphens w:val="0"/>
        <w:jc w:val="both"/>
        <w:rPr>
          <w:sz w:val="24"/>
          <w:szCs w:val="24"/>
        </w:rPr>
      </w:pPr>
    </w:p>
    <w:p w:rsidR="00F226DD" w:rsidRDefault="00F226DD" w:rsidP="00F226DD">
      <w:pPr>
        <w:jc w:val="both"/>
        <w:rPr>
          <w:sz w:val="24"/>
          <w:szCs w:val="24"/>
        </w:rPr>
      </w:pPr>
    </w:p>
    <w:p w:rsidR="00F226DD" w:rsidRDefault="00F226DD" w:rsidP="00F226DD">
      <w:pPr>
        <w:jc w:val="both"/>
        <w:rPr>
          <w:sz w:val="24"/>
          <w:szCs w:val="24"/>
        </w:rPr>
      </w:pPr>
      <w:r>
        <w:rPr>
          <w:sz w:val="24"/>
          <w:szCs w:val="24"/>
        </w:rPr>
        <w:tab/>
        <w:t>Vadovaudamasi Lietuvos nacionalinės sveikatos sistemos viešųjų įstaigų veiklos finansinių rezultatų vertinimo kiekybinių ir kokybinių rodiklių ir vadovaujančių darbuotojų mėnesinės algos kintamosios dalies nustatymo tvarkos aprašu, pa</w:t>
      </w:r>
      <w:bookmarkStart w:id="0" w:name="_GoBack"/>
      <w:bookmarkEnd w:id="0"/>
      <w:r>
        <w:rPr>
          <w:sz w:val="24"/>
          <w:szCs w:val="24"/>
        </w:rPr>
        <w:t>tvirtintu Lietuvos Respublikos sveikatos apsaugos ministro 2011 m. gruodžio 1 d. įsakymu Nr. V-1019 „Dėl Lietuvos Respublikos sveikatos apsaugos sistemos viešųjų įstaigų veiklos finansinių rezultatų vertinimo kiekybinių ir kokybinių rodiklių ir vadovaujančių darbuotojų mėnesinės algos kintamosios dalies nustatymo tvarkos aprašo patvirtinimo“, Savivaldybės taryba  n u s p r e n d ž i a:</w:t>
      </w:r>
    </w:p>
    <w:p w:rsidR="00F226DD" w:rsidRDefault="00F226DD" w:rsidP="00F226DD">
      <w:pPr>
        <w:jc w:val="both"/>
        <w:rPr>
          <w:sz w:val="24"/>
          <w:szCs w:val="24"/>
        </w:rPr>
      </w:pPr>
      <w:r>
        <w:rPr>
          <w:sz w:val="24"/>
          <w:szCs w:val="24"/>
        </w:rPr>
        <w:tab/>
        <w:t>Patvirtinti viešosios įstaigos Panevėžio rajono savivaldy</w:t>
      </w:r>
      <w:r w:rsidR="00325489">
        <w:rPr>
          <w:sz w:val="24"/>
          <w:szCs w:val="24"/>
        </w:rPr>
        <w:t xml:space="preserve">bės poliklinikos 2017 </w:t>
      </w:r>
      <w:r>
        <w:rPr>
          <w:sz w:val="24"/>
          <w:szCs w:val="24"/>
        </w:rPr>
        <w:t>metų veiklos užduotis (pridedama).</w:t>
      </w:r>
    </w:p>
    <w:p w:rsidR="003626EC" w:rsidRDefault="003626EC">
      <w:pPr>
        <w:rPr>
          <w:sz w:val="24"/>
          <w:szCs w:val="24"/>
        </w:rPr>
      </w:pPr>
    </w:p>
    <w:p w:rsidR="003626EC" w:rsidRDefault="003626EC">
      <w:pPr>
        <w:rPr>
          <w:sz w:val="24"/>
          <w:szCs w:val="24"/>
        </w:rPr>
      </w:pPr>
    </w:p>
    <w:p w:rsidR="00260BF7" w:rsidRDefault="00260BF7">
      <w:pPr>
        <w:rPr>
          <w:sz w:val="24"/>
          <w:szCs w:val="24"/>
        </w:rPr>
      </w:pPr>
      <w:r>
        <w:rPr>
          <w:sz w:val="24"/>
          <w:szCs w:val="24"/>
        </w:rPr>
        <w:t xml:space="preserve">Savivaldybės meras                                                                                                       Povilas </w:t>
      </w:r>
      <w:proofErr w:type="spellStart"/>
      <w:r>
        <w:rPr>
          <w:sz w:val="24"/>
          <w:szCs w:val="24"/>
        </w:rPr>
        <w:t>Žagunis</w:t>
      </w:r>
      <w:proofErr w:type="spellEnd"/>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rPr>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sectPr w:rsidR="003626EC">
          <w:headerReference w:type="default" r:id="rId8"/>
          <w:pgSz w:w="11906" w:h="16838"/>
          <w:pgMar w:top="1190" w:right="567" w:bottom="1365" w:left="1701" w:header="1134" w:footer="1134" w:gutter="0"/>
          <w:cols w:space="1296"/>
          <w:docGrid w:linePitch="600" w:charSpace="40960"/>
        </w:sectPr>
      </w:pPr>
    </w:p>
    <w:p w:rsidR="003A2A31" w:rsidRPr="003A2A31" w:rsidRDefault="003A2A31" w:rsidP="00784147">
      <w:pPr>
        <w:jc w:val="center"/>
        <w:rPr>
          <w:sz w:val="24"/>
          <w:szCs w:val="24"/>
        </w:rPr>
      </w:pPr>
      <w:r>
        <w:rPr>
          <w:sz w:val="24"/>
          <w:szCs w:val="24"/>
        </w:rPr>
        <w:lastRenderedPageBreak/>
        <w:t xml:space="preserve">                                                                                                                 </w:t>
      </w:r>
      <w:r w:rsidR="00260BF7">
        <w:rPr>
          <w:sz w:val="24"/>
          <w:szCs w:val="24"/>
        </w:rPr>
        <w:t xml:space="preserve">                             </w:t>
      </w:r>
      <w:r w:rsidRPr="003A2A31">
        <w:rPr>
          <w:sz w:val="24"/>
          <w:szCs w:val="24"/>
        </w:rPr>
        <w:t>PATVIRTINTA</w:t>
      </w:r>
    </w:p>
    <w:p w:rsidR="003A2A31" w:rsidRPr="003A2A31" w:rsidRDefault="003A2A31" w:rsidP="00784147">
      <w:pPr>
        <w:jc w:val="center"/>
        <w:rPr>
          <w:sz w:val="24"/>
          <w:szCs w:val="24"/>
        </w:rPr>
      </w:pPr>
      <w:r>
        <w:rPr>
          <w:sz w:val="24"/>
          <w:szCs w:val="24"/>
        </w:rPr>
        <w:t xml:space="preserve">                                                                                                                                                                     </w:t>
      </w:r>
      <w:r w:rsidR="00260BF7">
        <w:rPr>
          <w:sz w:val="24"/>
          <w:szCs w:val="24"/>
        </w:rPr>
        <w:t xml:space="preserve">            </w:t>
      </w:r>
      <w:r w:rsidRPr="003A2A31">
        <w:rPr>
          <w:sz w:val="24"/>
          <w:szCs w:val="24"/>
        </w:rPr>
        <w:t>Panevėžio rajono savivaldybės tarybos</w:t>
      </w:r>
    </w:p>
    <w:p w:rsidR="003A2A31" w:rsidRPr="003A2A31" w:rsidRDefault="003A2A31" w:rsidP="00784147">
      <w:pPr>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260BF7">
        <w:rPr>
          <w:sz w:val="24"/>
          <w:szCs w:val="24"/>
        </w:rPr>
        <w:t xml:space="preserve"> </w:t>
      </w:r>
      <w:r>
        <w:rPr>
          <w:sz w:val="24"/>
          <w:szCs w:val="24"/>
        </w:rPr>
        <w:t xml:space="preserve">     2017 m. kovo 29 d. sprendimu Nr. T-</w:t>
      </w:r>
      <w:r w:rsidR="00260BF7">
        <w:rPr>
          <w:sz w:val="24"/>
          <w:szCs w:val="24"/>
        </w:rPr>
        <w:t>62</w:t>
      </w:r>
    </w:p>
    <w:p w:rsidR="003A2A31" w:rsidRDefault="003A2A31" w:rsidP="00784147">
      <w:pPr>
        <w:jc w:val="center"/>
        <w:rPr>
          <w:b/>
          <w:sz w:val="24"/>
          <w:szCs w:val="24"/>
        </w:rPr>
      </w:pPr>
    </w:p>
    <w:p w:rsidR="00784147" w:rsidRPr="00784147" w:rsidRDefault="00784147" w:rsidP="00784147">
      <w:pPr>
        <w:jc w:val="center"/>
        <w:rPr>
          <w:b/>
          <w:sz w:val="24"/>
          <w:szCs w:val="24"/>
        </w:rPr>
      </w:pPr>
      <w:r w:rsidRPr="00784147">
        <w:rPr>
          <w:b/>
          <w:sz w:val="24"/>
          <w:szCs w:val="24"/>
        </w:rPr>
        <w:t>VIEŠOSIOS ĮSTAIGOS PANEVĖŽIO RAJONO SAVIVALDYBĖS POLIKLINIKOS 2017 M. VEIKLOS UŽDUOTYS</w:t>
      </w:r>
    </w:p>
    <w:p w:rsidR="00784147" w:rsidRPr="00784147" w:rsidRDefault="00784147" w:rsidP="00784147">
      <w:pPr>
        <w:jc w:val="center"/>
        <w:rPr>
          <w:b/>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36"/>
        <w:gridCol w:w="2835"/>
        <w:gridCol w:w="3544"/>
        <w:gridCol w:w="5386"/>
      </w:tblGrid>
      <w:tr w:rsidR="00784147" w:rsidRPr="00784147" w:rsidTr="007D7670">
        <w:trPr>
          <w:trHeight w:val="281"/>
        </w:trPr>
        <w:tc>
          <w:tcPr>
            <w:tcW w:w="703" w:type="dxa"/>
            <w:vMerge w:val="restart"/>
            <w:shd w:val="clear" w:color="auto" w:fill="auto"/>
          </w:tcPr>
          <w:p w:rsidR="00784147" w:rsidRPr="00784147" w:rsidRDefault="00784147" w:rsidP="007D7670">
            <w:pPr>
              <w:jc w:val="center"/>
              <w:rPr>
                <w:b/>
                <w:sz w:val="24"/>
                <w:szCs w:val="24"/>
              </w:rPr>
            </w:pPr>
            <w:r w:rsidRPr="00784147">
              <w:rPr>
                <w:b/>
                <w:sz w:val="24"/>
                <w:szCs w:val="24"/>
              </w:rPr>
              <w:t>Eil. Nr.</w:t>
            </w:r>
          </w:p>
        </w:tc>
        <w:tc>
          <w:tcPr>
            <w:tcW w:w="2836" w:type="dxa"/>
            <w:vMerge w:val="restart"/>
            <w:shd w:val="clear" w:color="auto" w:fill="auto"/>
          </w:tcPr>
          <w:p w:rsidR="00784147" w:rsidRPr="00784147" w:rsidRDefault="00784147" w:rsidP="007D7670">
            <w:pPr>
              <w:jc w:val="center"/>
              <w:rPr>
                <w:b/>
                <w:sz w:val="24"/>
                <w:szCs w:val="24"/>
              </w:rPr>
            </w:pPr>
            <w:r w:rsidRPr="00784147">
              <w:rPr>
                <w:b/>
                <w:sz w:val="24"/>
                <w:szCs w:val="24"/>
              </w:rPr>
              <w:t>Veiklos užduotys</w:t>
            </w:r>
          </w:p>
        </w:tc>
        <w:tc>
          <w:tcPr>
            <w:tcW w:w="2835" w:type="dxa"/>
            <w:vMerge w:val="restart"/>
            <w:shd w:val="clear" w:color="auto" w:fill="auto"/>
          </w:tcPr>
          <w:p w:rsidR="00784147" w:rsidRPr="00784147" w:rsidRDefault="00784147" w:rsidP="007D7670">
            <w:pPr>
              <w:jc w:val="center"/>
              <w:rPr>
                <w:b/>
                <w:sz w:val="24"/>
                <w:szCs w:val="24"/>
              </w:rPr>
            </w:pPr>
            <w:r w:rsidRPr="00784147">
              <w:rPr>
                <w:b/>
                <w:sz w:val="24"/>
                <w:szCs w:val="24"/>
              </w:rPr>
              <w:t>Veiklos užduočių vertinimo rodikliai</w:t>
            </w:r>
          </w:p>
        </w:tc>
        <w:tc>
          <w:tcPr>
            <w:tcW w:w="3544" w:type="dxa"/>
            <w:vMerge w:val="restart"/>
            <w:shd w:val="clear" w:color="auto" w:fill="auto"/>
          </w:tcPr>
          <w:p w:rsidR="00784147" w:rsidRPr="00784147" w:rsidRDefault="00784147" w:rsidP="007D7670">
            <w:pPr>
              <w:jc w:val="center"/>
              <w:rPr>
                <w:b/>
                <w:sz w:val="24"/>
                <w:szCs w:val="24"/>
              </w:rPr>
            </w:pPr>
            <w:r w:rsidRPr="00784147">
              <w:rPr>
                <w:b/>
                <w:sz w:val="24"/>
                <w:szCs w:val="24"/>
              </w:rPr>
              <w:t>Rodiklio įvykdymo vertinimo kriterijai</w:t>
            </w:r>
          </w:p>
        </w:tc>
        <w:tc>
          <w:tcPr>
            <w:tcW w:w="5386" w:type="dxa"/>
            <w:vMerge w:val="restart"/>
            <w:shd w:val="clear" w:color="auto" w:fill="auto"/>
          </w:tcPr>
          <w:p w:rsidR="00784147" w:rsidRPr="00784147" w:rsidRDefault="00784147" w:rsidP="007D7670">
            <w:pPr>
              <w:jc w:val="center"/>
              <w:rPr>
                <w:b/>
                <w:sz w:val="24"/>
                <w:szCs w:val="24"/>
              </w:rPr>
            </w:pPr>
            <w:r w:rsidRPr="00784147">
              <w:rPr>
                <w:b/>
                <w:sz w:val="24"/>
                <w:szCs w:val="24"/>
              </w:rPr>
              <w:t>Vertė balais</w:t>
            </w:r>
          </w:p>
        </w:tc>
      </w:tr>
      <w:tr w:rsidR="00784147" w:rsidRPr="00784147" w:rsidTr="007D7670">
        <w:trPr>
          <w:trHeight w:val="276"/>
        </w:trPr>
        <w:tc>
          <w:tcPr>
            <w:tcW w:w="703" w:type="dxa"/>
            <w:vMerge/>
            <w:shd w:val="clear" w:color="auto" w:fill="auto"/>
          </w:tcPr>
          <w:p w:rsidR="00784147" w:rsidRPr="00784147" w:rsidRDefault="00784147" w:rsidP="007D7670">
            <w:pPr>
              <w:jc w:val="center"/>
              <w:rPr>
                <w:b/>
                <w:sz w:val="24"/>
                <w:szCs w:val="24"/>
              </w:rPr>
            </w:pPr>
          </w:p>
        </w:tc>
        <w:tc>
          <w:tcPr>
            <w:tcW w:w="2836" w:type="dxa"/>
            <w:vMerge/>
            <w:shd w:val="clear" w:color="auto" w:fill="auto"/>
          </w:tcPr>
          <w:p w:rsidR="00784147" w:rsidRPr="00784147" w:rsidRDefault="00784147" w:rsidP="007D7670">
            <w:pPr>
              <w:jc w:val="center"/>
              <w:rPr>
                <w:sz w:val="24"/>
                <w:szCs w:val="24"/>
              </w:rPr>
            </w:pPr>
          </w:p>
        </w:tc>
        <w:tc>
          <w:tcPr>
            <w:tcW w:w="2835" w:type="dxa"/>
            <w:vMerge/>
            <w:shd w:val="clear" w:color="auto" w:fill="auto"/>
          </w:tcPr>
          <w:p w:rsidR="00784147" w:rsidRPr="00784147" w:rsidRDefault="00784147" w:rsidP="007D7670">
            <w:pPr>
              <w:jc w:val="center"/>
              <w:rPr>
                <w:sz w:val="24"/>
                <w:szCs w:val="24"/>
              </w:rPr>
            </w:pPr>
          </w:p>
        </w:tc>
        <w:tc>
          <w:tcPr>
            <w:tcW w:w="3544" w:type="dxa"/>
            <w:vMerge/>
            <w:shd w:val="clear" w:color="auto" w:fill="auto"/>
          </w:tcPr>
          <w:p w:rsidR="00784147" w:rsidRPr="00784147" w:rsidRDefault="00784147" w:rsidP="007D7670">
            <w:pPr>
              <w:jc w:val="center"/>
              <w:rPr>
                <w:sz w:val="24"/>
                <w:szCs w:val="24"/>
              </w:rPr>
            </w:pPr>
          </w:p>
        </w:tc>
        <w:tc>
          <w:tcPr>
            <w:tcW w:w="5386" w:type="dxa"/>
            <w:vMerge/>
            <w:shd w:val="clear" w:color="auto" w:fill="auto"/>
          </w:tcPr>
          <w:p w:rsidR="00784147" w:rsidRPr="00784147" w:rsidRDefault="00784147" w:rsidP="007D7670">
            <w:pPr>
              <w:jc w:val="center"/>
              <w:rPr>
                <w:sz w:val="24"/>
                <w:szCs w:val="24"/>
              </w:rPr>
            </w:pPr>
          </w:p>
        </w:tc>
      </w:tr>
      <w:tr w:rsidR="00784147" w:rsidRPr="00784147" w:rsidTr="007D7670">
        <w:tc>
          <w:tcPr>
            <w:tcW w:w="703" w:type="dxa"/>
            <w:shd w:val="clear" w:color="auto" w:fill="auto"/>
          </w:tcPr>
          <w:p w:rsidR="00784147" w:rsidRPr="00784147" w:rsidRDefault="00784147" w:rsidP="007D7670">
            <w:pPr>
              <w:jc w:val="center"/>
              <w:rPr>
                <w:b/>
                <w:sz w:val="24"/>
                <w:szCs w:val="24"/>
              </w:rPr>
            </w:pPr>
            <w:r w:rsidRPr="00784147">
              <w:rPr>
                <w:b/>
                <w:sz w:val="24"/>
                <w:szCs w:val="24"/>
              </w:rPr>
              <w:t>1</w:t>
            </w:r>
          </w:p>
        </w:tc>
        <w:tc>
          <w:tcPr>
            <w:tcW w:w="2836" w:type="dxa"/>
            <w:shd w:val="clear" w:color="auto" w:fill="auto"/>
          </w:tcPr>
          <w:p w:rsidR="00784147" w:rsidRPr="00784147" w:rsidRDefault="00784147" w:rsidP="007D7670">
            <w:pPr>
              <w:jc w:val="center"/>
              <w:rPr>
                <w:b/>
                <w:sz w:val="24"/>
                <w:szCs w:val="24"/>
              </w:rPr>
            </w:pPr>
            <w:r w:rsidRPr="00784147">
              <w:rPr>
                <w:b/>
                <w:sz w:val="24"/>
                <w:szCs w:val="24"/>
              </w:rPr>
              <w:t>2</w:t>
            </w:r>
          </w:p>
        </w:tc>
        <w:tc>
          <w:tcPr>
            <w:tcW w:w="2835" w:type="dxa"/>
            <w:shd w:val="clear" w:color="auto" w:fill="auto"/>
          </w:tcPr>
          <w:p w:rsidR="00784147" w:rsidRPr="00784147" w:rsidRDefault="00784147" w:rsidP="007D7670">
            <w:pPr>
              <w:jc w:val="center"/>
              <w:rPr>
                <w:b/>
                <w:sz w:val="24"/>
                <w:szCs w:val="24"/>
              </w:rPr>
            </w:pPr>
            <w:r w:rsidRPr="00784147">
              <w:rPr>
                <w:b/>
                <w:sz w:val="24"/>
                <w:szCs w:val="24"/>
              </w:rPr>
              <w:t>3</w:t>
            </w:r>
          </w:p>
        </w:tc>
        <w:tc>
          <w:tcPr>
            <w:tcW w:w="3544" w:type="dxa"/>
            <w:shd w:val="clear" w:color="auto" w:fill="auto"/>
          </w:tcPr>
          <w:p w:rsidR="00784147" w:rsidRPr="00784147" w:rsidRDefault="00784147" w:rsidP="007D7670">
            <w:pPr>
              <w:jc w:val="center"/>
              <w:rPr>
                <w:b/>
                <w:sz w:val="24"/>
                <w:szCs w:val="24"/>
              </w:rPr>
            </w:pPr>
            <w:r w:rsidRPr="00784147">
              <w:rPr>
                <w:b/>
                <w:sz w:val="24"/>
                <w:szCs w:val="24"/>
              </w:rPr>
              <w:t>4</w:t>
            </w:r>
          </w:p>
        </w:tc>
        <w:tc>
          <w:tcPr>
            <w:tcW w:w="5386" w:type="dxa"/>
            <w:shd w:val="clear" w:color="auto" w:fill="auto"/>
          </w:tcPr>
          <w:p w:rsidR="00784147" w:rsidRPr="00784147" w:rsidRDefault="00784147" w:rsidP="007D7670">
            <w:pPr>
              <w:jc w:val="center"/>
              <w:rPr>
                <w:b/>
                <w:sz w:val="24"/>
                <w:szCs w:val="24"/>
              </w:rPr>
            </w:pPr>
            <w:r w:rsidRPr="00784147">
              <w:rPr>
                <w:b/>
                <w:sz w:val="24"/>
                <w:szCs w:val="24"/>
              </w:rPr>
              <w:t>5</w:t>
            </w:r>
          </w:p>
        </w:tc>
      </w:tr>
      <w:tr w:rsidR="00784147" w:rsidRPr="00784147" w:rsidTr="007D7670">
        <w:tc>
          <w:tcPr>
            <w:tcW w:w="15304" w:type="dxa"/>
            <w:gridSpan w:val="5"/>
            <w:shd w:val="clear" w:color="auto" w:fill="auto"/>
          </w:tcPr>
          <w:p w:rsidR="00784147" w:rsidRPr="00784147" w:rsidRDefault="00784147" w:rsidP="007D7670">
            <w:pPr>
              <w:jc w:val="center"/>
              <w:rPr>
                <w:b/>
                <w:sz w:val="24"/>
                <w:szCs w:val="24"/>
              </w:rPr>
            </w:pPr>
            <w:r w:rsidRPr="00784147">
              <w:rPr>
                <w:b/>
                <w:sz w:val="24"/>
                <w:szCs w:val="24"/>
              </w:rPr>
              <w:t>1. Kiekybiniai veiklos vertinimo rodikliai</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1.1.</w:t>
            </w:r>
          </w:p>
        </w:tc>
        <w:tc>
          <w:tcPr>
            <w:tcW w:w="2836" w:type="dxa"/>
            <w:shd w:val="clear" w:color="auto" w:fill="auto"/>
          </w:tcPr>
          <w:p w:rsidR="00784147" w:rsidRPr="00784147" w:rsidRDefault="00784147" w:rsidP="007D7670">
            <w:pPr>
              <w:rPr>
                <w:sz w:val="24"/>
                <w:szCs w:val="24"/>
              </w:rPr>
            </w:pPr>
            <w:r w:rsidRPr="00784147">
              <w:rPr>
                <w:sz w:val="24"/>
                <w:szCs w:val="24"/>
              </w:rPr>
              <w:t>Siekti teigiamo poliklinikos veiklos rezultato</w:t>
            </w:r>
          </w:p>
        </w:tc>
        <w:tc>
          <w:tcPr>
            <w:tcW w:w="2835" w:type="dxa"/>
            <w:shd w:val="clear" w:color="auto" w:fill="auto"/>
          </w:tcPr>
          <w:p w:rsidR="00784147" w:rsidRPr="00784147" w:rsidRDefault="00784147" w:rsidP="007D7670">
            <w:pPr>
              <w:rPr>
                <w:sz w:val="24"/>
                <w:szCs w:val="24"/>
              </w:rPr>
            </w:pPr>
            <w:r w:rsidRPr="00784147">
              <w:rPr>
                <w:sz w:val="24"/>
                <w:szCs w:val="24"/>
              </w:rPr>
              <w:t>Finansinis poliklinikos veiklos rezultatas</w:t>
            </w:r>
          </w:p>
        </w:tc>
        <w:tc>
          <w:tcPr>
            <w:tcW w:w="3544" w:type="dxa"/>
            <w:shd w:val="clear" w:color="auto" w:fill="auto"/>
          </w:tcPr>
          <w:p w:rsidR="00784147" w:rsidRPr="00784147" w:rsidRDefault="00784147" w:rsidP="007D7670">
            <w:pPr>
              <w:rPr>
                <w:sz w:val="24"/>
                <w:szCs w:val="24"/>
              </w:rPr>
            </w:pPr>
            <w:r w:rsidRPr="00784147">
              <w:rPr>
                <w:sz w:val="24"/>
                <w:szCs w:val="24"/>
              </w:rPr>
              <w:t>Teigiamas</w:t>
            </w:r>
          </w:p>
        </w:tc>
        <w:tc>
          <w:tcPr>
            <w:tcW w:w="5386" w:type="dxa"/>
            <w:shd w:val="clear" w:color="auto" w:fill="auto"/>
          </w:tcPr>
          <w:p w:rsidR="00784147" w:rsidRPr="00784147" w:rsidRDefault="00784147" w:rsidP="007D7670">
            <w:pPr>
              <w:rPr>
                <w:sz w:val="24"/>
                <w:szCs w:val="24"/>
              </w:rPr>
            </w:pPr>
            <w:r w:rsidRPr="00784147">
              <w:rPr>
                <w:sz w:val="24"/>
                <w:szCs w:val="24"/>
              </w:rPr>
              <w:t>Maksimali vertė – 10 balų.</w:t>
            </w:r>
          </w:p>
          <w:p w:rsidR="00784147" w:rsidRPr="00784147" w:rsidRDefault="00784147" w:rsidP="007D7670">
            <w:pPr>
              <w:rPr>
                <w:sz w:val="24"/>
                <w:szCs w:val="24"/>
              </w:rPr>
            </w:pPr>
            <w:r w:rsidRPr="00784147">
              <w:rPr>
                <w:sz w:val="24"/>
                <w:szCs w:val="24"/>
              </w:rPr>
              <w:t>Neigiamas – nevertinamas.</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1.2.</w:t>
            </w:r>
          </w:p>
        </w:tc>
        <w:tc>
          <w:tcPr>
            <w:tcW w:w="2836" w:type="dxa"/>
            <w:shd w:val="clear" w:color="auto" w:fill="auto"/>
          </w:tcPr>
          <w:p w:rsidR="00784147" w:rsidRPr="00784147" w:rsidRDefault="00784147" w:rsidP="007D7670">
            <w:pPr>
              <w:rPr>
                <w:sz w:val="24"/>
                <w:szCs w:val="24"/>
              </w:rPr>
            </w:pPr>
            <w:r w:rsidRPr="00784147">
              <w:rPr>
                <w:sz w:val="24"/>
                <w:szCs w:val="24"/>
              </w:rPr>
              <w:t>Neviršyti patvirtinto poliklinikai sąnaudų darbo užmokesčiui normatyvo</w:t>
            </w:r>
          </w:p>
        </w:tc>
        <w:tc>
          <w:tcPr>
            <w:tcW w:w="2835" w:type="dxa"/>
            <w:shd w:val="clear" w:color="auto" w:fill="auto"/>
          </w:tcPr>
          <w:p w:rsidR="00784147" w:rsidRPr="00784147" w:rsidRDefault="00784147" w:rsidP="007D7670">
            <w:pPr>
              <w:rPr>
                <w:sz w:val="24"/>
                <w:szCs w:val="24"/>
                <w:vertAlign w:val="superscript"/>
              </w:rPr>
            </w:pPr>
            <w:r w:rsidRPr="00784147">
              <w:rPr>
                <w:sz w:val="24"/>
                <w:szCs w:val="24"/>
              </w:rPr>
              <w:t>Poliklinikos sąnaudų darbo užmokesčiui dalis¹</w:t>
            </w:r>
          </w:p>
        </w:tc>
        <w:tc>
          <w:tcPr>
            <w:tcW w:w="3544" w:type="dxa"/>
            <w:shd w:val="clear" w:color="auto" w:fill="auto"/>
          </w:tcPr>
          <w:p w:rsidR="00784147" w:rsidRPr="00784147" w:rsidRDefault="00784147" w:rsidP="007D7670">
            <w:pPr>
              <w:rPr>
                <w:sz w:val="24"/>
                <w:szCs w:val="24"/>
              </w:rPr>
            </w:pPr>
            <w:r w:rsidRPr="00784147">
              <w:rPr>
                <w:sz w:val="24"/>
                <w:szCs w:val="24"/>
              </w:rPr>
              <w:t>Sąnaudos darbo užmokesčiui neviršija patvirtinto normatyvo (iki 85 proc.)</w:t>
            </w:r>
          </w:p>
        </w:tc>
        <w:tc>
          <w:tcPr>
            <w:tcW w:w="5386" w:type="dxa"/>
            <w:shd w:val="clear" w:color="auto" w:fill="auto"/>
          </w:tcPr>
          <w:p w:rsidR="00784147" w:rsidRPr="00784147" w:rsidRDefault="00784147" w:rsidP="007D7670">
            <w:pPr>
              <w:rPr>
                <w:sz w:val="24"/>
                <w:szCs w:val="24"/>
              </w:rPr>
            </w:pPr>
            <w:r w:rsidRPr="00784147">
              <w:rPr>
                <w:sz w:val="24"/>
                <w:szCs w:val="24"/>
              </w:rPr>
              <w:t>Maksimali vertė – 10 balų.</w:t>
            </w:r>
          </w:p>
          <w:p w:rsidR="00784147" w:rsidRPr="00784147" w:rsidRDefault="00784147" w:rsidP="007D7670">
            <w:pPr>
              <w:rPr>
                <w:sz w:val="24"/>
                <w:szCs w:val="24"/>
              </w:rPr>
            </w:pPr>
            <w:r w:rsidRPr="00784147">
              <w:rPr>
                <w:sz w:val="24"/>
                <w:szCs w:val="24"/>
              </w:rPr>
              <w:t>Viršijus – nevertinama.</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1.3.</w:t>
            </w:r>
          </w:p>
        </w:tc>
        <w:tc>
          <w:tcPr>
            <w:tcW w:w="2836" w:type="dxa"/>
            <w:shd w:val="clear" w:color="auto" w:fill="auto"/>
          </w:tcPr>
          <w:p w:rsidR="00784147" w:rsidRPr="00784147" w:rsidRDefault="00784147" w:rsidP="007D7670">
            <w:pPr>
              <w:rPr>
                <w:sz w:val="24"/>
                <w:szCs w:val="24"/>
              </w:rPr>
            </w:pPr>
            <w:r w:rsidRPr="00784147">
              <w:rPr>
                <w:sz w:val="24"/>
                <w:szCs w:val="24"/>
              </w:rPr>
              <w:t>Neviršyti sąnaudų valdymo išlaidoms normatyvo</w:t>
            </w:r>
          </w:p>
        </w:tc>
        <w:tc>
          <w:tcPr>
            <w:tcW w:w="2835" w:type="dxa"/>
            <w:shd w:val="clear" w:color="auto" w:fill="auto"/>
          </w:tcPr>
          <w:p w:rsidR="00784147" w:rsidRPr="00784147" w:rsidRDefault="00784147" w:rsidP="007D7670">
            <w:pPr>
              <w:rPr>
                <w:sz w:val="24"/>
                <w:szCs w:val="24"/>
              </w:rPr>
            </w:pPr>
            <w:r w:rsidRPr="00784147">
              <w:rPr>
                <w:sz w:val="24"/>
                <w:szCs w:val="24"/>
              </w:rPr>
              <w:t>Poliklinikos sąnaudų valdymo išlaidoms dalis²</w:t>
            </w:r>
          </w:p>
        </w:tc>
        <w:tc>
          <w:tcPr>
            <w:tcW w:w="3544" w:type="dxa"/>
            <w:shd w:val="clear" w:color="auto" w:fill="auto"/>
          </w:tcPr>
          <w:p w:rsidR="00784147" w:rsidRPr="00784147" w:rsidRDefault="00784147" w:rsidP="007D7670">
            <w:pPr>
              <w:rPr>
                <w:sz w:val="24"/>
                <w:szCs w:val="24"/>
              </w:rPr>
            </w:pPr>
            <w:r w:rsidRPr="00784147">
              <w:rPr>
                <w:sz w:val="24"/>
                <w:szCs w:val="24"/>
              </w:rPr>
              <w:t>Valdymo išlaidos neviršija nustatyto normatyvo (iki 10 proc.)</w:t>
            </w:r>
          </w:p>
        </w:tc>
        <w:tc>
          <w:tcPr>
            <w:tcW w:w="5386" w:type="dxa"/>
            <w:shd w:val="clear" w:color="auto" w:fill="auto"/>
          </w:tcPr>
          <w:p w:rsidR="00784147" w:rsidRPr="00784147" w:rsidRDefault="00784147" w:rsidP="007D7670">
            <w:pPr>
              <w:rPr>
                <w:sz w:val="24"/>
                <w:szCs w:val="24"/>
              </w:rPr>
            </w:pPr>
            <w:r w:rsidRPr="00784147">
              <w:rPr>
                <w:sz w:val="24"/>
                <w:szCs w:val="24"/>
              </w:rPr>
              <w:t>Maksimali vertė – 10 balų.</w:t>
            </w:r>
          </w:p>
          <w:p w:rsidR="00784147" w:rsidRPr="00784147" w:rsidRDefault="00784147" w:rsidP="007D7670">
            <w:pPr>
              <w:rPr>
                <w:sz w:val="24"/>
                <w:szCs w:val="24"/>
              </w:rPr>
            </w:pPr>
            <w:r w:rsidRPr="00784147">
              <w:rPr>
                <w:sz w:val="24"/>
                <w:szCs w:val="24"/>
              </w:rPr>
              <w:t>Viršijus – nevertinama.</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1.4.</w:t>
            </w:r>
          </w:p>
        </w:tc>
        <w:tc>
          <w:tcPr>
            <w:tcW w:w="2836" w:type="dxa"/>
            <w:shd w:val="clear" w:color="auto" w:fill="auto"/>
          </w:tcPr>
          <w:p w:rsidR="00784147" w:rsidRPr="00784147" w:rsidRDefault="00784147" w:rsidP="007D7670">
            <w:pPr>
              <w:rPr>
                <w:sz w:val="24"/>
                <w:szCs w:val="24"/>
              </w:rPr>
            </w:pPr>
            <w:r w:rsidRPr="00784147">
              <w:rPr>
                <w:sz w:val="24"/>
                <w:szCs w:val="24"/>
              </w:rPr>
              <w:t>Siekti pritraukti papildomų finansavimo šaltinių</w:t>
            </w:r>
          </w:p>
        </w:tc>
        <w:tc>
          <w:tcPr>
            <w:tcW w:w="2835" w:type="dxa"/>
            <w:shd w:val="clear" w:color="auto" w:fill="auto"/>
          </w:tcPr>
          <w:p w:rsidR="00784147" w:rsidRPr="00784147" w:rsidRDefault="00784147" w:rsidP="007D7670">
            <w:pPr>
              <w:rPr>
                <w:sz w:val="24"/>
                <w:szCs w:val="24"/>
              </w:rPr>
            </w:pPr>
            <w:r w:rsidRPr="00784147">
              <w:rPr>
                <w:sz w:val="24"/>
                <w:szCs w:val="24"/>
              </w:rPr>
              <w:t>Papildomų finansavimo šaltinių pritraukimas</w:t>
            </w:r>
          </w:p>
        </w:tc>
        <w:tc>
          <w:tcPr>
            <w:tcW w:w="3544" w:type="dxa"/>
            <w:shd w:val="clear" w:color="auto" w:fill="auto"/>
          </w:tcPr>
          <w:p w:rsidR="00784147" w:rsidRPr="00784147" w:rsidRDefault="00784147" w:rsidP="007D7670">
            <w:pPr>
              <w:rPr>
                <w:sz w:val="24"/>
                <w:szCs w:val="24"/>
              </w:rPr>
            </w:pPr>
            <w:r w:rsidRPr="00784147">
              <w:rPr>
                <w:sz w:val="24"/>
                <w:szCs w:val="24"/>
              </w:rPr>
              <w:t>Dalyvavimas naujuose ir tęstiniuose projektuose, programose, mokamų paslaugų teikimas³, rėmėjų paieška ir kt.</w:t>
            </w:r>
          </w:p>
        </w:tc>
        <w:tc>
          <w:tcPr>
            <w:tcW w:w="5386" w:type="dxa"/>
            <w:shd w:val="clear" w:color="auto" w:fill="auto"/>
          </w:tcPr>
          <w:p w:rsidR="00784147" w:rsidRPr="00784147" w:rsidRDefault="00784147" w:rsidP="007D7670">
            <w:pPr>
              <w:rPr>
                <w:sz w:val="24"/>
                <w:szCs w:val="24"/>
              </w:rPr>
            </w:pPr>
            <w:r w:rsidRPr="00784147">
              <w:rPr>
                <w:sz w:val="24"/>
                <w:szCs w:val="24"/>
              </w:rPr>
              <w:t>Maksimali vertė – 10 balų, iš jų: už lėšas iš valstybės biudžeto ir kitų šaltinių – 5, už programas ar priemones – 2, už rėmėjų lėšas – 2, už mokamų paslaugų padidėjimą, palyginti su praėjusiais metais – 1.</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1.5.</w:t>
            </w:r>
          </w:p>
        </w:tc>
        <w:tc>
          <w:tcPr>
            <w:tcW w:w="2836" w:type="dxa"/>
            <w:shd w:val="clear" w:color="auto" w:fill="auto"/>
          </w:tcPr>
          <w:p w:rsidR="00784147" w:rsidRPr="00784147" w:rsidRDefault="00784147" w:rsidP="007D7670">
            <w:pPr>
              <w:rPr>
                <w:sz w:val="24"/>
                <w:szCs w:val="24"/>
              </w:rPr>
            </w:pPr>
            <w:r w:rsidRPr="00784147">
              <w:rPr>
                <w:sz w:val="24"/>
                <w:szCs w:val="24"/>
              </w:rPr>
              <w:t>Užtikrinti poliklinikos mokumą</w:t>
            </w:r>
          </w:p>
        </w:tc>
        <w:tc>
          <w:tcPr>
            <w:tcW w:w="2835" w:type="dxa"/>
            <w:shd w:val="clear" w:color="auto" w:fill="auto"/>
          </w:tcPr>
          <w:p w:rsidR="00784147" w:rsidRPr="00784147" w:rsidRDefault="00784147" w:rsidP="007D7670">
            <w:pPr>
              <w:rPr>
                <w:sz w:val="24"/>
                <w:szCs w:val="24"/>
                <w:vertAlign w:val="superscript"/>
              </w:rPr>
            </w:pPr>
            <w:r w:rsidRPr="00784147">
              <w:rPr>
                <w:sz w:val="24"/>
                <w:szCs w:val="24"/>
              </w:rPr>
              <w:t>Poliklinikos skolos koeficientas</w:t>
            </w:r>
            <w:r w:rsidRPr="00784147">
              <w:rPr>
                <w:sz w:val="24"/>
                <w:szCs w:val="24"/>
                <w:vertAlign w:val="superscript"/>
              </w:rPr>
              <w:t>4</w:t>
            </w:r>
          </w:p>
        </w:tc>
        <w:tc>
          <w:tcPr>
            <w:tcW w:w="3544" w:type="dxa"/>
            <w:shd w:val="clear" w:color="auto" w:fill="auto"/>
          </w:tcPr>
          <w:p w:rsidR="00784147" w:rsidRPr="00784147" w:rsidRDefault="00784147" w:rsidP="007D7670">
            <w:pPr>
              <w:rPr>
                <w:sz w:val="24"/>
                <w:szCs w:val="24"/>
              </w:rPr>
            </w:pPr>
            <w:r w:rsidRPr="00784147">
              <w:rPr>
                <w:sz w:val="24"/>
                <w:szCs w:val="24"/>
              </w:rPr>
              <w:t>Skolos koeficientas (ne daugiau kaip 0,5)</w:t>
            </w:r>
          </w:p>
        </w:tc>
        <w:tc>
          <w:tcPr>
            <w:tcW w:w="5386" w:type="dxa"/>
            <w:shd w:val="clear" w:color="auto" w:fill="auto"/>
          </w:tcPr>
          <w:p w:rsidR="00784147" w:rsidRPr="00784147" w:rsidRDefault="00784147" w:rsidP="007D7670">
            <w:pPr>
              <w:rPr>
                <w:sz w:val="24"/>
                <w:szCs w:val="24"/>
              </w:rPr>
            </w:pPr>
            <w:r w:rsidRPr="00784147">
              <w:rPr>
                <w:sz w:val="24"/>
                <w:szCs w:val="24"/>
              </w:rPr>
              <w:t>Maksimali vertė – 10 balų. Viršijus – nevertinama.</w:t>
            </w:r>
          </w:p>
        </w:tc>
      </w:tr>
      <w:tr w:rsidR="00784147" w:rsidRPr="00784147" w:rsidTr="007D7670">
        <w:trPr>
          <w:trHeight w:val="47"/>
        </w:trPr>
        <w:tc>
          <w:tcPr>
            <w:tcW w:w="15304" w:type="dxa"/>
            <w:gridSpan w:val="5"/>
            <w:shd w:val="clear" w:color="auto" w:fill="auto"/>
          </w:tcPr>
          <w:p w:rsidR="00784147" w:rsidRPr="00784147" w:rsidRDefault="00784147" w:rsidP="007D7670">
            <w:pPr>
              <w:jc w:val="center"/>
              <w:rPr>
                <w:b/>
                <w:sz w:val="24"/>
                <w:szCs w:val="24"/>
              </w:rPr>
            </w:pPr>
            <w:r w:rsidRPr="00784147">
              <w:rPr>
                <w:b/>
                <w:sz w:val="24"/>
                <w:szCs w:val="24"/>
              </w:rPr>
              <w:t>2. Kokybiniai veiklos vertinimo rodikliai</w:t>
            </w:r>
          </w:p>
        </w:tc>
      </w:tr>
      <w:tr w:rsidR="00784147" w:rsidRPr="00784147" w:rsidTr="007D7670">
        <w:tc>
          <w:tcPr>
            <w:tcW w:w="703" w:type="dxa"/>
            <w:vMerge w:val="restart"/>
            <w:shd w:val="clear" w:color="auto" w:fill="auto"/>
          </w:tcPr>
          <w:p w:rsidR="00784147" w:rsidRPr="00784147" w:rsidRDefault="00784147" w:rsidP="007D7670">
            <w:pPr>
              <w:jc w:val="center"/>
              <w:rPr>
                <w:sz w:val="24"/>
                <w:szCs w:val="24"/>
              </w:rPr>
            </w:pPr>
            <w:r w:rsidRPr="00784147">
              <w:rPr>
                <w:sz w:val="24"/>
                <w:szCs w:val="24"/>
              </w:rPr>
              <w:t>2.1.</w:t>
            </w:r>
          </w:p>
        </w:tc>
        <w:tc>
          <w:tcPr>
            <w:tcW w:w="2836" w:type="dxa"/>
            <w:vMerge w:val="restart"/>
            <w:shd w:val="clear" w:color="auto" w:fill="auto"/>
          </w:tcPr>
          <w:p w:rsidR="00784147" w:rsidRPr="00784147" w:rsidRDefault="00784147" w:rsidP="007D7670">
            <w:pPr>
              <w:rPr>
                <w:sz w:val="24"/>
                <w:szCs w:val="24"/>
              </w:rPr>
            </w:pPr>
            <w:r w:rsidRPr="00784147">
              <w:rPr>
                <w:sz w:val="24"/>
                <w:szCs w:val="24"/>
              </w:rPr>
              <w:t>Pacientų pasitenkinimo poliklinikos teikiamomis paslaugomis lygis bei pacientų skundų tendencijos</w:t>
            </w:r>
          </w:p>
        </w:tc>
        <w:tc>
          <w:tcPr>
            <w:tcW w:w="2835" w:type="dxa"/>
            <w:shd w:val="clear" w:color="auto" w:fill="auto"/>
          </w:tcPr>
          <w:p w:rsidR="00784147" w:rsidRPr="00784147" w:rsidRDefault="00784147" w:rsidP="007D7670">
            <w:pPr>
              <w:rPr>
                <w:sz w:val="24"/>
                <w:szCs w:val="24"/>
              </w:rPr>
            </w:pPr>
            <w:r w:rsidRPr="00784147">
              <w:rPr>
                <w:sz w:val="24"/>
                <w:szCs w:val="24"/>
              </w:rPr>
              <w:t xml:space="preserve">Pacientų pasitenkinimas poliklinikos teikiamomis paslaugomis didėtų, o pagrįstų skundų skaičius mažėtų </w:t>
            </w:r>
          </w:p>
        </w:tc>
        <w:tc>
          <w:tcPr>
            <w:tcW w:w="3544" w:type="dxa"/>
            <w:shd w:val="clear" w:color="auto" w:fill="auto"/>
          </w:tcPr>
          <w:p w:rsidR="00784147" w:rsidRPr="00784147" w:rsidRDefault="00784147" w:rsidP="007D7670">
            <w:pPr>
              <w:rPr>
                <w:sz w:val="24"/>
                <w:szCs w:val="24"/>
              </w:rPr>
            </w:pPr>
            <w:r w:rsidRPr="00784147">
              <w:rPr>
                <w:sz w:val="24"/>
                <w:szCs w:val="24"/>
              </w:rPr>
              <w:t>Atlikti 2 apklausas dėl pasitenkinimo stacionarinėmis paslaugomis ir 2 apklausas dėl pasitenkinimo ambulatorinėmis paslaugomis</w:t>
            </w:r>
          </w:p>
        </w:tc>
        <w:tc>
          <w:tcPr>
            <w:tcW w:w="5386" w:type="dxa"/>
            <w:shd w:val="clear" w:color="auto" w:fill="auto"/>
          </w:tcPr>
          <w:p w:rsidR="00784147" w:rsidRPr="00784147" w:rsidRDefault="00784147" w:rsidP="007D7670">
            <w:pPr>
              <w:rPr>
                <w:sz w:val="24"/>
                <w:szCs w:val="24"/>
              </w:rPr>
            </w:pPr>
            <w:r w:rsidRPr="00784147">
              <w:rPr>
                <w:sz w:val="24"/>
                <w:szCs w:val="24"/>
              </w:rPr>
              <w:t>Maksimali vertė – 5 balai. Kai stacionarių paslaugų anketų, įvertintų teigiamai</w:t>
            </w:r>
            <w:r w:rsidRPr="00784147">
              <w:rPr>
                <w:sz w:val="24"/>
                <w:szCs w:val="24"/>
                <w:vertAlign w:val="superscript"/>
              </w:rPr>
              <w:t>5</w:t>
            </w:r>
            <w:r w:rsidRPr="00784147">
              <w:rPr>
                <w:sz w:val="24"/>
                <w:szCs w:val="24"/>
              </w:rPr>
              <w:t>, yra 80 proc. ir daugiau – 2,5 balo, mažiau – nevertinama. Kai ambulatorinių paslaugų anketų, įvertintų teigiamai</w:t>
            </w:r>
            <w:r w:rsidRPr="00784147">
              <w:rPr>
                <w:sz w:val="24"/>
                <w:szCs w:val="24"/>
                <w:vertAlign w:val="superscript"/>
              </w:rPr>
              <w:t>6</w:t>
            </w:r>
            <w:r w:rsidRPr="00784147">
              <w:rPr>
                <w:sz w:val="24"/>
                <w:szCs w:val="24"/>
              </w:rPr>
              <w:t xml:space="preserve">, yra 80 proc. ir daugiau – 2,5 balo, nuo 79 proc. iki 60 proc. – </w:t>
            </w:r>
            <w:r w:rsidR="007009C5">
              <w:rPr>
                <w:sz w:val="24"/>
                <w:szCs w:val="24"/>
              </w:rPr>
              <w:t xml:space="preserve">       </w:t>
            </w:r>
            <w:r w:rsidRPr="00784147">
              <w:rPr>
                <w:sz w:val="24"/>
                <w:szCs w:val="24"/>
              </w:rPr>
              <w:t>1,25 balo, mažiau – nevertinama.</w:t>
            </w:r>
          </w:p>
        </w:tc>
      </w:tr>
    </w:tbl>
    <w:p w:rsidR="003626EC" w:rsidRPr="00784147" w:rsidRDefault="003626EC">
      <w:pPr>
        <w:jc w:val="center"/>
        <w:rPr>
          <w:b/>
          <w:sz w:val="24"/>
          <w:szCs w:val="24"/>
        </w:rPr>
        <w:sectPr w:rsidR="003626EC" w:rsidRPr="00784147">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1134" w:left="1134" w:header="567" w:footer="567" w:gutter="0"/>
          <w:cols w:space="1296"/>
        </w:sect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36"/>
        <w:gridCol w:w="2835"/>
        <w:gridCol w:w="3544"/>
        <w:gridCol w:w="5386"/>
      </w:tblGrid>
      <w:tr w:rsidR="00784147" w:rsidRPr="00784147" w:rsidTr="007D7670">
        <w:tc>
          <w:tcPr>
            <w:tcW w:w="703" w:type="dxa"/>
            <w:shd w:val="clear" w:color="auto" w:fill="auto"/>
          </w:tcPr>
          <w:p w:rsidR="00784147" w:rsidRPr="00784147" w:rsidRDefault="00784147" w:rsidP="007D7670">
            <w:pPr>
              <w:jc w:val="center"/>
              <w:rPr>
                <w:sz w:val="24"/>
                <w:szCs w:val="24"/>
              </w:rPr>
            </w:pPr>
          </w:p>
        </w:tc>
        <w:tc>
          <w:tcPr>
            <w:tcW w:w="2836" w:type="dxa"/>
            <w:shd w:val="clear" w:color="auto" w:fill="auto"/>
          </w:tcPr>
          <w:p w:rsidR="00784147" w:rsidRPr="00784147" w:rsidRDefault="00784147" w:rsidP="007D7670">
            <w:pPr>
              <w:jc w:val="center"/>
              <w:rPr>
                <w:sz w:val="24"/>
                <w:szCs w:val="24"/>
              </w:rPr>
            </w:pPr>
          </w:p>
        </w:tc>
        <w:tc>
          <w:tcPr>
            <w:tcW w:w="2835" w:type="dxa"/>
            <w:shd w:val="clear" w:color="auto" w:fill="auto"/>
          </w:tcPr>
          <w:p w:rsidR="00784147" w:rsidRPr="00784147" w:rsidRDefault="00784147" w:rsidP="007D7670">
            <w:pPr>
              <w:rPr>
                <w:sz w:val="24"/>
                <w:szCs w:val="24"/>
              </w:rPr>
            </w:pPr>
            <w:r w:rsidRPr="00784147">
              <w:rPr>
                <w:sz w:val="24"/>
                <w:szCs w:val="24"/>
              </w:rPr>
              <w:t>Pacientų skundų tendencijos</w:t>
            </w:r>
          </w:p>
        </w:tc>
        <w:tc>
          <w:tcPr>
            <w:tcW w:w="3544" w:type="dxa"/>
            <w:shd w:val="clear" w:color="auto" w:fill="auto"/>
          </w:tcPr>
          <w:p w:rsidR="00784147" w:rsidRPr="00784147" w:rsidRDefault="00784147" w:rsidP="007D7670">
            <w:pPr>
              <w:rPr>
                <w:sz w:val="24"/>
                <w:szCs w:val="24"/>
              </w:rPr>
            </w:pPr>
            <w:r w:rsidRPr="00784147">
              <w:rPr>
                <w:sz w:val="24"/>
                <w:szCs w:val="24"/>
              </w:rPr>
              <w:t>Gauti pagrįsti pacientų skundai</w:t>
            </w:r>
          </w:p>
        </w:tc>
        <w:tc>
          <w:tcPr>
            <w:tcW w:w="5386" w:type="dxa"/>
            <w:shd w:val="clear" w:color="auto" w:fill="auto"/>
          </w:tcPr>
          <w:p w:rsidR="00784147" w:rsidRPr="00784147" w:rsidRDefault="00784147" w:rsidP="007D7670">
            <w:pPr>
              <w:rPr>
                <w:sz w:val="24"/>
                <w:szCs w:val="24"/>
              </w:rPr>
            </w:pPr>
            <w:r w:rsidRPr="00784147">
              <w:rPr>
                <w:sz w:val="24"/>
                <w:szCs w:val="24"/>
              </w:rPr>
              <w:t>Maksimali vertė – 5 balai. Už kiekvieną pacientų pagrįstą skundą, tenkantį 5000 pacientų, palyginti su praėjusiais metais, skaičiaus padidėjimą atimamas 1 balas. Jei tenka daugiau kaip 5000 pacientų – nemažinama.</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2.2.</w:t>
            </w:r>
          </w:p>
        </w:tc>
        <w:tc>
          <w:tcPr>
            <w:tcW w:w="2836" w:type="dxa"/>
            <w:shd w:val="clear" w:color="auto" w:fill="auto"/>
          </w:tcPr>
          <w:p w:rsidR="00784147" w:rsidRPr="00784147" w:rsidRDefault="00784147" w:rsidP="007D7670">
            <w:pPr>
              <w:rPr>
                <w:sz w:val="24"/>
                <w:szCs w:val="24"/>
              </w:rPr>
            </w:pPr>
            <w:r w:rsidRPr="00784147">
              <w:rPr>
                <w:sz w:val="24"/>
                <w:szCs w:val="24"/>
              </w:rPr>
              <w:t>Kokybės vadybos sistemos diegimo ir vystymo laipsnis</w:t>
            </w:r>
          </w:p>
        </w:tc>
        <w:tc>
          <w:tcPr>
            <w:tcW w:w="2835" w:type="dxa"/>
            <w:shd w:val="clear" w:color="auto" w:fill="auto"/>
          </w:tcPr>
          <w:p w:rsidR="00784147" w:rsidRPr="00784147" w:rsidRDefault="00784147" w:rsidP="007D7670">
            <w:pPr>
              <w:rPr>
                <w:sz w:val="24"/>
                <w:szCs w:val="24"/>
              </w:rPr>
            </w:pPr>
            <w:r w:rsidRPr="00784147">
              <w:rPr>
                <w:sz w:val="24"/>
                <w:szCs w:val="24"/>
              </w:rPr>
              <w:t>Nuolat tobulinti kokybės vadybos sistemą ir šalinti jos trūkumus</w:t>
            </w:r>
          </w:p>
        </w:tc>
        <w:tc>
          <w:tcPr>
            <w:tcW w:w="3544" w:type="dxa"/>
            <w:shd w:val="clear" w:color="auto" w:fill="auto"/>
          </w:tcPr>
          <w:p w:rsidR="00784147" w:rsidRPr="00784147" w:rsidRDefault="00784147" w:rsidP="007D7670">
            <w:pPr>
              <w:rPr>
                <w:sz w:val="24"/>
                <w:szCs w:val="24"/>
              </w:rPr>
            </w:pPr>
            <w:r w:rsidRPr="00784147">
              <w:rPr>
                <w:sz w:val="24"/>
                <w:szCs w:val="24"/>
              </w:rPr>
              <w:t>Vykdyti kokybės vadybos sistemos priežiūrą ir plėtrą – parengti ir atnaujinti ne mažiau kaip 15 vidaus tvarkų</w:t>
            </w:r>
          </w:p>
        </w:tc>
        <w:tc>
          <w:tcPr>
            <w:tcW w:w="5386" w:type="dxa"/>
            <w:shd w:val="clear" w:color="auto" w:fill="auto"/>
          </w:tcPr>
          <w:p w:rsidR="00784147" w:rsidRPr="00784147" w:rsidRDefault="00784147" w:rsidP="007D7670">
            <w:pPr>
              <w:rPr>
                <w:sz w:val="24"/>
                <w:szCs w:val="24"/>
              </w:rPr>
            </w:pPr>
            <w:r w:rsidRPr="00784147">
              <w:rPr>
                <w:sz w:val="24"/>
                <w:szCs w:val="24"/>
              </w:rPr>
              <w:t>Maksimali vertė – 10 balų. Parengus ir atnaujinus mažiau – nevertinama.</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2.3.</w:t>
            </w:r>
          </w:p>
        </w:tc>
        <w:tc>
          <w:tcPr>
            <w:tcW w:w="2836" w:type="dxa"/>
            <w:shd w:val="clear" w:color="auto" w:fill="auto"/>
          </w:tcPr>
          <w:p w:rsidR="00784147" w:rsidRPr="00784147" w:rsidRDefault="00784147" w:rsidP="007D7670">
            <w:pPr>
              <w:rPr>
                <w:sz w:val="24"/>
                <w:szCs w:val="24"/>
              </w:rPr>
            </w:pPr>
            <w:r w:rsidRPr="00784147">
              <w:rPr>
                <w:sz w:val="24"/>
                <w:szCs w:val="24"/>
              </w:rPr>
              <w:t>Darbuotojų kaitos poliklinikoje rodiklis</w:t>
            </w:r>
          </w:p>
        </w:tc>
        <w:tc>
          <w:tcPr>
            <w:tcW w:w="2835" w:type="dxa"/>
            <w:shd w:val="clear" w:color="auto" w:fill="auto"/>
          </w:tcPr>
          <w:p w:rsidR="00784147" w:rsidRPr="00784147" w:rsidRDefault="00784147" w:rsidP="007D7670">
            <w:pPr>
              <w:rPr>
                <w:sz w:val="24"/>
                <w:szCs w:val="24"/>
              </w:rPr>
            </w:pPr>
            <w:r w:rsidRPr="00784147">
              <w:rPr>
                <w:sz w:val="24"/>
                <w:szCs w:val="24"/>
              </w:rPr>
              <w:t>Siekti, kad darbuotojų kaita nepablogintų poliklinikos veiklos ir darbo organizavimo rezultatų</w:t>
            </w:r>
          </w:p>
        </w:tc>
        <w:tc>
          <w:tcPr>
            <w:tcW w:w="3544" w:type="dxa"/>
            <w:shd w:val="clear" w:color="auto" w:fill="auto"/>
          </w:tcPr>
          <w:p w:rsidR="00784147" w:rsidRPr="00784147" w:rsidRDefault="00784147" w:rsidP="007D7670">
            <w:pPr>
              <w:rPr>
                <w:sz w:val="24"/>
                <w:szCs w:val="24"/>
              </w:rPr>
            </w:pPr>
            <w:r w:rsidRPr="00784147">
              <w:rPr>
                <w:sz w:val="24"/>
                <w:szCs w:val="24"/>
              </w:rPr>
              <w:t>Darbuotojų kaitos rodiklis</w:t>
            </w:r>
            <w:r w:rsidRPr="00784147">
              <w:rPr>
                <w:sz w:val="24"/>
                <w:szCs w:val="24"/>
                <w:vertAlign w:val="superscript"/>
              </w:rPr>
              <w:t>7</w:t>
            </w:r>
            <w:r w:rsidRPr="00784147">
              <w:rPr>
                <w:sz w:val="24"/>
                <w:szCs w:val="24"/>
              </w:rPr>
              <w:t xml:space="preserve"> proc. (ne daugiau kaip 15 proc.)</w:t>
            </w:r>
          </w:p>
        </w:tc>
        <w:tc>
          <w:tcPr>
            <w:tcW w:w="5386" w:type="dxa"/>
            <w:shd w:val="clear" w:color="auto" w:fill="auto"/>
          </w:tcPr>
          <w:p w:rsidR="00784147" w:rsidRPr="00784147" w:rsidRDefault="00784147" w:rsidP="007D7670">
            <w:pPr>
              <w:rPr>
                <w:sz w:val="24"/>
                <w:szCs w:val="24"/>
              </w:rPr>
            </w:pPr>
            <w:r w:rsidRPr="00784147">
              <w:rPr>
                <w:sz w:val="24"/>
                <w:szCs w:val="24"/>
              </w:rPr>
              <w:t>Maksimali vertė – 10 balų. Kaita iki 15 proc. – skiriama 10 balų, nuo 16 iki 25 proc. – 5, daugiau kaip 25 proc. – nevertinama.</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2.4.</w:t>
            </w:r>
          </w:p>
        </w:tc>
        <w:tc>
          <w:tcPr>
            <w:tcW w:w="2836" w:type="dxa"/>
            <w:shd w:val="clear" w:color="auto" w:fill="auto"/>
          </w:tcPr>
          <w:p w:rsidR="00784147" w:rsidRPr="00784147" w:rsidRDefault="00784147" w:rsidP="007D7670">
            <w:pPr>
              <w:rPr>
                <w:sz w:val="24"/>
                <w:szCs w:val="24"/>
              </w:rPr>
            </w:pPr>
            <w:r w:rsidRPr="00784147">
              <w:rPr>
                <w:sz w:val="24"/>
                <w:szCs w:val="24"/>
              </w:rPr>
              <w:t>Prioritetinių paslaugų teikimo dinamika</w:t>
            </w:r>
          </w:p>
        </w:tc>
        <w:tc>
          <w:tcPr>
            <w:tcW w:w="2835" w:type="dxa"/>
            <w:shd w:val="clear" w:color="auto" w:fill="auto"/>
          </w:tcPr>
          <w:p w:rsidR="00784147" w:rsidRPr="00784147" w:rsidRDefault="00784147" w:rsidP="007D7670">
            <w:pPr>
              <w:rPr>
                <w:sz w:val="24"/>
                <w:szCs w:val="24"/>
              </w:rPr>
            </w:pPr>
            <w:r w:rsidRPr="00784147">
              <w:rPr>
                <w:sz w:val="24"/>
                <w:szCs w:val="24"/>
              </w:rPr>
              <w:t>Siekti, kad didėtų prioritetinių paslaugų dalis teikiamų paslaugų struktūroje</w:t>
            </w:r>
          </w:p>
        </w:tc>
        <w:tc>
          <w:tcPr>
            <w:tcW w:w="3544" w:type="dxa"/>
            <w:shd w:val="clear" w:color="auto" w:fill="auto"/>
          </w:tcPr>
          <w:p w:rsidR="00784147" w:rsidRPr="00784147" w:rsidRDefault="00784147" w:rsidP="007D7670">
            <w:pPr>
              <w:rPr>
                <w:sz w:val="24"/>
                <w:szCs w:val="24"/>
              </w:rPr>
            </w:pPr>
            <w:r w:rsidRPr="00784147">
              <w:rPr>
                <w:sz w:val="24"/>
                <w:szCs w:val="24"/>
              </w:rPr>
              <w:t>Prioritetinių paslaugų dalis</w:t>
            </w:r>
            <w:r w:rsidRPr="00784147">
              <w:rPr>
                <w:sz w:val="24"/>
                <w:szCs w:val="24"/>
                <w:vertAlign w:val="superscript"/>
              </w:rPr>
              <w:t>8</w:t>
            </w:r>
            <w:r w:rsidRPr="00784147">
              <w:rPr>
                <w:sz w:val="24"/>
                <w:szCs w:val="24"/>
              </w:rPr>
              <w:t xml:space="preserve"> proc. (ne mažiau kaip 15 proc.)</w:t>
            </w:r>
          </w:p>
        </w:tc>
        <w:tc>
          <w:tcPr>
            <w:tcW w:w="5386" w:type="dxa"/>
            <w:shd w:val="clear" w:color="auto" w:fill="auto"/>
          </w:tcPr>
          <w:p w:rsidR="00784147" w:rsidRPr="00784147" w:rsidRDefault="00784147" w:rsidP="007D7670">
            <w:pPr>
              <w:rPr>
                <w:sz w:val="24"/>
                <w:szCs w:val="24"/>
              </w:rPr>
            </w:pPr>
            <w:r w:rsidRPr="00784147">
              <w:rPr>
                <w:sz w:val="24"/>
                <w:szCs w:val="24"/>
              </w:rPr>
              <w:t>Maksimali vertė – 10 balų. Jei prioritetinių paslaugų dalis proc. padidėjo palyginti su praėjusiais metais – 10 balų, jei lygi – 7 balai, jei sumažėjo iki 10 proc. – 5 balai, jei sumažėjo daugiau kaip 10 proc. – nevertinama.</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2.5.</w:t>
            </w:r>
          </w:p>
        </w:tc>
        <w:tc>
          <w:tcPr>
            <w:tcW w:w="2836" w:type="dxa"/>
            <w:shd w:val="clear" w:color="auto" w:fill="auto"/>
          </w:tcPr>
          <w:p w:rsidR="00784147" w:rsidRPr="00784147" w:rsidRDefault="00784147" w:rsidP="007D7670">
            <w:pPr>
              <w:rPr>
                <w:sz w:val="24"/>
                <w:szCs w:val="24"/>
              </w:rPr>
            </w:pPr>
            <w:r w:rsidRPr="00784147">
              <w:rPr>
                <w:sz w:val="24"/>
                <w:szCs w:val="24"/>
              </w:rPr>
              <w:t>Teikiamų slaugos ir palaikomojo gydymo paslaugų kokybė</w:t>
            </w:r>
          </w:p>
        </w:tc>
        <w:tc>
          <w:tcPr>
            <w:tcW w:w="2835" w:type="dxa"/>
            <w:shd w:val="clear" w:color="auto" w:fill="auto"/>
          </w:tcPr>
          <w:p w:rsidR="00784147" w:rsidRPr="00784147" w:rsidRDefault="00784147" w:rsidP="007D7670">
            <w:pPr>
              <w:rPr>
                <w:sz w:val="24"/>
                <w:szCs w:val="24"/>
              </w:rPr>
            </w:pPr>
            <w:r w:rsidRPr="00784147">
              <w:rPr>
                <w:sz w:val="24"/>
                <w:szCs w:val="24"/>
              </w:rPr>
              <w:t>Siekti, kad mažėtų pragulų atsiradimo dažnis</w:t>
            </w:r>
          </w:p>
        </w:tc>
        <w:tc>
          <w:tcPr>
            <w:tcW w:w="3544" w:type="dxa"/>
            <w:shd w:val="clear" w:color="auto" w:fill="auto"/>
          </w:tcPr>
          <w:p w:rsidR="00784147" w:rsidRPr="00784147" w:rsidRDefault="00784147" w:rsidP="007D7670">
            <w:pPr>
              <w:rPr>
                <w:sz w:val="24"/>
                <w:szCs w:val="24"/>
              </w:rPr>
            </w:pPr>
            <w:r w:rsidRPr="00784147">
              <w:rPr>
                <w:sz w:val="24"/>
                <w:szCs w:val="24"/>
              </w:rPr>
              <w:t>Pragulų atsiradimo dažnis</w:t>
            </w:r>
            <w:r w:rsidRPr="00784147">
              <w:rPr>
                <w:sz w:val="24"/>
                <w:szCs w:val="24"/>
                <w:vertAlign w:val="superscript"/>
              </w:rPr>
              <w:t>9</w:t>
            </w:r>
            <w:r w:rsidRPr="00784147">
              <w:rPr>
                <w:sz w:val="24"/>
                <w:szCs w:val="24"/>
              </w:rPr>
              <w:t xml:space="preserve"> proc. (ne daugiau kaip 5 proc.)</w:t>
            </w:r>
          </w:p>
        </w:tc>
        <w:tc>
          <w:tcPr>
            <w:tcW w:w="5386" w:type="dxa"/>
            <w:shd w:val="clear" w:color="auto" w:fill="auto"/>
          </w:tcPr>
          <w:p w:rsidR="00784147" w:rsidRPr="00784147" w:rsidRDefault="00784147" w:rsidP="007D7670">
            <w:pPr>
              <w:rPr>
                <w:sz w:val="24"/>
                <w:szCs w:val="24"/>
              </w:rPr>
            </w:pPr>
            <w:r w:rsidRPr="00784147">
              <w:rPr>
                <w:sz w:val="24"/>
                <w:szCs w:val="24"/>
              </w:rPr>
              <w:t xml:space="preserve">Maksimali vertė – 10 balų. Iki 5 proc. – skiriama </w:t>
            </w:r>
            <w:r w:rsidR="007009C5">
              <w:rPr>
                <w:sz w:val="24"/>
                <w:szCs w:val="24"/>
              </w:rPr>
              <w:t xml:space="preserve">         </w:t>
            </w:r>
            <w:r w:rsidRPr="00784147">
              <w:rPr>
                <w:sz w:val="24"/>
                <w:szCs w:val="24"/>
              </w:rPr>
              <w:t>10 balų, nuo 6 iki 10 proc. – skiriama 5 balai, 11 ir daugiau proc. – nevertinama.</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2.6.</w:t>
            </w:r>
          </w:p>
        </w:tc>
        <w:tc>
          <w:tcPr>
            <w:tcW w:w="2836" w:type="dxa"/>
            <w:shd w:val="clear" w:color="auto" w:fill="auto"/>
          </w:tcPr>
          <w:p w:rsidR="00784147" w:rsidRPr="00784147" w:rsidRDefault="00784147" w:rsidP="007D7670">
            <w:pPr>
              <w:rPr>
                <w:sz w:val="24"/>
                <w:szCs w:val="24"/>
              </w:rPr>
            </w:pPr>
            <w:r w:rsidRPr="00784147">
              <w:rPr>
                <w:sz w:val="24"/>
                <w:szCs w:val="24"/>
              </w:rPr>
              <w:t>Informacinių technologijų diegimo ir plėtros lygis</w:t>
            </w:r>
          </w:p>
        </w:tc>
        <w:tc>
          <w:tcPr>
            <w:tcW w:w="2835" w:type="dxa"/>
            <w:shd w:val="clear" w:color="auto" w:fill="auto"/>
          </w:tcPr>
          <w:p w:rsidR="00784147" w:rsidRPr="00784147" w:rsidRDefault="00784147" w:rsidP="007D7670">
            <w:pPr>
              <w:rPr>
                <w:sz w:val="24"/>
                <w:szCs w:val="24"/>
              </w:rPr>
            </w:pPr>
            <w:r w:rsidRPr="00784147">
              <w:rPr>
                <w:sz w:val="24"/>
                <w:szCs w:val="24"/>
              </w:rPr>
              <w:t>Siekti, kad būtų diegiamos ir atnaujinamos pažangios informacinės technologijos</w:t>
            </w:r>
          </w:p>
        </w:tc>
        <w:tc>
          <w:tcPr>
            <w:tcW w:w="3544" w:type="dxa"/>
            <w:shd w:val="clear" w:color="auto" w:fill="auto"/>
          </w:tcPr>
          <w:p w:rsidR="00784147" w:rsidRPr="00784147" w:rsidRDefault="00784147" w:rsidP="007D7670">
            <w:pPr>
              <w:rPr>
                <w:sz w:val="24"/>
                <w:szCs w:val="24"/>
              </w:rPr>
            </w:pPr>
            <w:r w:rsidRPr="00784147">
              <w:rPr>
                <w:sz w:val="24"/>
                <w:szCs w:val="24"/>
              </w:rPr>
              <w:t>Pasiekti, kad medicininė pažyma F Nr. 070/a-LK (Pažyma medicininės reabilitacijos paslaugai gauti) būtų pildoma ir pateikiama per elektroninę sveikatos informacinę sistemą</w:t>
            </w:r>
          </w:p>
        </w:tc>
        <w:tc>
          <w:tcPr>
            <w:tcW w:w="5386" w:type="dxa"/>
            <w:shd w:val="clear" w:color="auto" w:fill="auto"/>
          </w:tcPr>
          <w:p w:rsidR="00784147" w:rsidRPr="00784147" w:rsidRDefault="00784147" w:rsidP="007D7670">
            <w:pPr>
              <w:rPr>
                <w:sz w:val="24"/>
                <w:szCs w:val="24"/>
              </w:rPr>
            </w:pPr>
            <w:r w:rsidRPr="00784147">
              <w:rPr>
                <w:sz w:val="24"/>
                <w:szCs w:val="24"/>
              </w:rPr>
              <w:t xml:space="preserve">Maksimali vertė – 10 balų. Pasiekus 100 proc. skiriama 10 balų, 95 proc. – 8 balai, 90 proc. – </w:t>
            </w:r>
            <w:r w:rsidR="007009C5">
              <w:rPr>
                <w:sz w:val="24"/>
                <w:szCs w:val="24"/>
              </w:rPr>
              <w:t xml:space="preserve">                 </w:t>
            </w:r>
            <w:r w:rsidRPr="00784147">
              <w:rPr>
                <w:sz w:val="24"/>
                <w:szCs w:val="24"/>
              </w:rPr>
              <w:t>5 balai, mažiau 90 proc. – nevertinama.</w:t>
            </w:r>
          </w:p>
        </w:tc>
      </w:tr>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t>2.7.</w:t>
            </w:r>
          </w:p>
        </w:tc>
        <w:tc>
          <w:tcPr>
            <w:tcW w:w="2836" w:type="dxa"/>
            <w:shd w:val="clear" w:color="auto" w:fill="auto"/>
          </w:tcPr>
          <w:p w:rsidR="00784147" w:rsidRPr="00784147" w:rsidRDefault="00784147" w:rsidP="007D7670">
            <w:pPr>
              <w:rPr>
                <w:sz w:val="24"/>
                <w:szCs w:val="24"/>
              </w:rPr>
            </w:pPr>
            <w:r w:rsidRPr="00784147">
              <w:rPr>
                <w:sz w:val="24"/>
                <w:szCs w:val="24"/>
              </w:rPr>
              <w:t>Poliklinikoje taikomų kovos su korupcija priemonių vykdymas</w:t>
            </w:r>
          </w:p>
        </w:tc>
        <w:tc>
          <w:tcPr>
            <w:tcW w:w="2835" w:type="dxa"/>
            <w:shd w:val="clear" w:color="auto" w:fill="auto"/>
          </w:tcPr>
          <w:p w:rsidR="00784147" w:rsidRPr="00784147" w:rsidRDefault="00784147" w:rsidP="007D7670">
            <w:pPr>
              <w:rPr>
                <w:sz w:val="24"/>
                <w:szCs w:val="24"/>
              </w:rPr>
            </w:pPr>
            <w:r w:rsidRPr="00784147">
              <w:rPr>
                <w:sz w:val="24"/>
                <w:szCs w:val="24"/>
              </w:rPr>
              <w:t>Siekti, kad didėtų korupcijos indekso reikšmė (ne mažiau kaip 100)</w:t>
            </w:r>
          </w:p>
        </w:tc>
        <w:tc>
          <w:tcPr>
            <w:tcW w:w="3544" w:type="dxa"/>
            <w:shd w:val="clear" w:color="auto" w:fill="auto"/>
          </w:tcPr>
          <w:p w:rsidR="00784147" w:rsidRPr="00784147" w:rsidRDefault="00784147" w:rsidP="007D7670">
            <w:pPr>
              <w:rPr>
                <w:sz w:val="24"/>
                <w:szCs w:val="24"/>
                <w:vertAlign w:val="superscript"/>
              </w:rPr>
            </w:pPr>
            <w:r w:rsidRPr="00784147">
              <w:rPr>
                <w:sz w:val="24"/>
                <w:szCs w:val="24"/>
              </w:rPr>
              <w:t>Korupcijos indekso reikšmės pokytis</w:t>
            </w:r>
            <w:r w:rsidRPr="00784147">
              <w:rPr>
                <w:sz w:val="24"/>
                <w:szCs w:val="24"/>
                <w:vertAlign w:val="superscript"/>
              </w:rPr>
              <w:t>10</w:t>
            </w:r>
          </w:p>
        </w:tc>
        <w:tc>
          <w:tcPr>
            <w:tcW w:w="5386" w:type="dxa"/>
            <w:shd w:val="clear" w:color="auto" w:fill="auto"/>
          </w:tcPr>
          <w:p w:rsidR="00784147" w:rsidRPr="00784147" w:rsidRDefault="00784147" w:rsidP="007D7670">
            <w:pPr>
              <w:rPr>
                <w:sz w:val="24"/>
                <w:szCs w:val="24"/>
              </w:rPr>
            </w:pPr>
            <w:r w:rsidRPr="00784147">
              <w:rPr>
                <w:sz w:val="24"/>
                <w:szCs w:val="24"/>
              </w:rPr>
              <w:t>Maksimali vertė – 10 balų. Jei indeksas padidėjo palyginti su praėjusiais metais, skiriama 10 balų, jei išliko toks pat – 5 balai, sumažėjo – nevertinama.</w:t>
            </w:r>
          </w:p>
        </w:tc>
      </w:tr>
    </w:tbl>
    <w:p w:rsidR="003626EC" w:rsidRDefault="003626EC">
      <w:pPr>
        <w:jc w:val="center"/>
        <w:rPr>
          <w:b/>
          <w:sz w:val="24"/>
          <w:szCs w:val="24"/>
        </w:rPr>
        <w:sectPr w:rsidR="003626EC" w:rsidSect="00260BF7">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134" w:bottom="1134" w:left="1134" w:header="567" w:footer="567" w:gutter="0"/>
          <w:pgNumType w:start="2"/>
          <w:cols w:space="1296"/>
        </w:sect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36"/>
        <w:gridCol w:w="2835"/>
        <w:gridCol w:w="3544"/>
        <w:gridCol w:w="5386"/>
      </w:tblGrid>
      <w:tr w:rsidR="00784147" w:rsidRPr="00784147" w:rsidTr="007D7670">
        <w:tc>
          <w:tcPr>
            <w:tcW w:w="703" w:type="dxa"/>
            <w:shd w:val="clear" w:color="auto" w:fill="auto"/>
          </w:tcPr>
          <w:p w:rsidR="00784147" w:rsidRPr="00784147" w:rsidRDefault="00784147" w:rsidP="007D7670">
            <w:pPr>
              <w:jc w:val="center"/>
              <w:rPr>
                <w:sz w:val="24"/>
                <w:szCs w:val="24"/>
              </w:rPr>
            </w:pPr>
            <w:r w:rsidRPr="00784147">
              <w:rPr>
                <w:sz w:val="24"/>
                <w:szCs w:val="24"/>
              </w:rPr>
              <w:lastRenderedPageBreak/>
              <w:t>2.8.</w:t>
            </w:r>
          </w:p>
        </w:tc>
        <w:tc>
          <w:tcPr>
            <w:tcW w:w="2836" w:type="dxa"/>
            <w:shd w:val="clear" w:color="auto" w:fill="auto"/>
          </w:tcPr>
          <w:p w:rsidR="00784147" w:rsidRPr="00784147" w:rsidRDefault="00784147" w:rsidP="007D7670">
            <w:pPr>
              <w:rPr>
                <w:sz w:val="24"/>
                <w:szCs w:val="24"/>
              </w:rPr>
            </w:pPr>
            <w:r w:rsidRPr="00784147">
              <w:rPr>
                <w:sz w:val="24"/>
                <w:szCs w:val="24"/>
              </w:rPr>
              <w:t>Dalyvavimas įgyvendinant prevencines priemones, atrankinės patikros ir ankstyvosios diagnostikos programas</w:t>
            </w:r>
          </w:p>
        </w:tc>
        <w:tc>
          <w:tcPr>
            <w:tcW w:w="2835" w:type="dxa"/>
            <w:shd w:val="clear" w:color="auto" w:fill="auto"/>
          </w:tcPr>
          <w:p w:rsidR="00784147" w:rsidRPr="00784147" w:rsidRDefault="00784147" w:rsidP="007D7670">
            <w:pPr>
              <w:rPr>
                <w:sz w:val="24"/>
                <w:szCs w:val="24"/>
              </w:rPr>
            </w:pPr>
            <w:r w:rsidRPr="00784147">
              <w:rPr>
                <w:sz w:val="24"/>
                <w:szCs w:val="24"/>
              </w:rPr>
              <w:t>Siekti, kad didėtų pagal prevencines programas poliklinikoje suteiktų paslaugų skaičius</w:t>
            </w:r>
          </w:p>
        </w:tc>
        <w:tc>
          <w:tcPr>
            <w:tcW w:w="3544" w:type="dxa"/>
            <w:shd w:val="clear" w:color="auto" w:fill="auto"/>
          </w:tcPr>
          <w:p w:rsidR="00784147" w:rsidRPr="00784147" w:rsidRDefault="00784147" w:rsidP="007D7670">
            <w:pPr>
              <w:rPr>
                <w:sz w:val="24"/>
                <w:szCs w:val="24"/>
              </w:rPr>
            </w:pPr>
            <w:r w:rsidRPr="00784147">
              <w:rPr>
                <w:sz w:val="24"/>
                <w:szCs w:val="24"/>
              </w:rPr>
              <w:t>Suteiktų paslaugų pokytis</w:t>
            </w:r>
            <w:r w:rsidRPr="00784147">
              <w:rPr>
                <w:sz w:val="24"/>
                <w:szCs w:val="24"/>
                <w:vertAlign w:val="superscript"/>
              </w:rPr>
              <w:t>11</w:t>
            </w:r>
          </w:p>
        </w:tc>
        <w:tc>
          <w:tcPr>
            <w:tcW w:w="5386" w:type="dxa"/>
            <w:shd w:val="clear" w:color="auto" w:fill="auto"/>
          </w:tcPr>
          <w:p w:rsidR="00784147" w:rsidRPr="00784147" w:rsidRDefault="00784147" w:rsidP="007D7670">
            <w:pPr>
              <w:rPr>
                <w:sz w:val="24"/>
                <w:szCs w:val="24"/>
              </w:rPr>
            </w:pPr>
            <w:r w:rsidRPr="00784147">
              <w:rPr>
                <w:sz w:val="24"/>
                <w:szCs w:val="24"/>
              </w:rPr>
              <w:t xml:space="preserve">Maksimali vertė – 10 balų. Jei prevencinėje programoje dalyvavusių tos prevencinės programos tikslinei populiacijai priklausančių asmenų dalis (proc.) yra lygi toje prevencinėje programoje dalyvavusių asmenų daliai metų, buvusių prieš vertinamuosius metus, šalies vidurkiui, šis rodiklis vertinamas 5 balais. Jei viršijamas šalies vidurkis nuo 1 iki 10 proc., rodiklis vertinamas 6 balais, jei nuo </w:t>
            </w:r>
            <w:r w:rsidR="007009C5">
              <w:rPr>
                <w:sz w:val="24"/>
                <w:szCs w:val="24"/>
              </w:rPr>
              <w:t xml:space="preserve"> </w:t>
            </w:r>
            <w:r w:rsidRPr="00784147">
              <w:rPr>
                <w:sz w:val="24"/>
                <w:szCs w:val="24"/>
              </w:rPr>
              <w:t xml:space="preserve">11 iki 20 proc. – 7 balais, jei nuo 21 iki 35 proc. – 8 balais, jei nuo36 iki 49 proc. – 9 balais, jei 50 proc. ir daugiau – 10 balų. Jei asmenų dalis (proc.) yra mažesnė nei šalies vidurkis, šis rodiklis vertinamas </w:t>
            </w:r>
            <w:r w:rsidR="007009C5">
              <w:rPr>
                <w:sz w:val="24"/>
                <w:szCs w:val="24"/>
              </w:rPr>
              <w:t xml:space="preserve">  </w:t>
            </w:r>
            <w:r w:rsidRPr="00784147">
              <w:rPr>
                <w:sz w:val="24"/>
                <w:szCs w:val="24"/>
              </w:rPr>
              <w:t>0 balų.</w:t>
            </w:r>
          </w:p>
        </w:tc>
      </w:tr>
    </w:tbl>
    <w:p w:rsidR="00784147" w:rsidRDefault="00784147" w:rsidP="00784147">
      <w:pPr>
        <w:jc w:val="both"/>
      </w:pPr>
    </w:p>
    <w:p w:rsidR="00784147" w:rsidRPr="00784147" w:rsidRDefault="00784147" w:rsidP="00784147">
      <w:pPr>
        <w:jc w:val="both"/>
        <w:rPr>
          <w:sz w:val="24"/>
          <w:szCs w:val="24"/>
        </w:rPr>
      </w:pPr>
      <w:r w:rsidRPr="00784147">
        <w:rPr>
          <w:sz w:val="24"/>
          <w:szCs w:val="24"/>
        </w:rPr>
        <w:t xml:space="preserve">              ¹ Sąnaudų darbo užmokesčiui normatyvas apskaičiuojamas taip: sąnaudas darbo užmokesčiui ir priskaitymams Sodrai dalijant iš visų pajamų.</w:t>
      </w:r>
    </w:p>
    <w:p w:rsidR="00784147" w:rsidRPr="00784147" w:rsidRDefault="00784147" w:rsidP="00784147">
      <w:pPr>
        <w:jc w:val="both"/>
        <w:rPr>
          <w:sz w:val="24"/>
          <w:szCs w:val="24"/>
        </w:rPr>
      </w:pPr>
      <w:r w:rsidRPr="00784147">
        <w:rPr>
          <w:sz w:val="24"/>
          <w:szCs w:val="24"/>
        </w:rPr>
        <w:t xml:space="preserve">              ² Valdymo išlaidų rodiklis apskaičiuojamas kaip santykis tarp valdymo išlaidų ir visų poliklinikos sąnaudų.</w:t>
      </w:r>
    </w:p>
    <w:p w:rsidR="00784147" w:rsidRPr="00784147" w:rsidRDefault="00784147" w:rsidP="00784147">
      <w:pPr>
        <w:jc w:val="both"/>
        <w:rPr>
          <w:sz w:val="24"/>
          <w:szCs w:val="24"/>
        </w:rPr>
      </w:pPr>
      <w:r w:rsidRPr="00784147">
        <w:rPr>
          <w:sz w:val="24"/>
          <w:szCs w:val="24"/>
        </w:rPr>
        <w:t xml:space="preserve">              ³ Mokamų paslaugų apimtis apskaičiuojama atsižvelgiant į suteiktų mokamų paslaugų apimtį ir prisirašiusių prie poliklinikos gyventojų skaičių einamųjų metų gruodžio 31 d. bei palyginama su praėjusių metų mokamų paslaugų apimtimi ir prisirašiusių prie poliklinikos gyventojų skaičiumi gruodžio 31 d.</w:t>
      </w:r>
    </w:p>
    <w:p w:rsidR="00784147" w:rsidRPr="00784147" w:rsidRDefault="00784147" w:rsidP="00784147">
      <w:pPr>
        <w:jc w:val="both"/>
        <w:rPr>
          <w:sz w:val="24"/>
          <w:szCs w:val="24"/>
        </w:rPr>
      </w:pPr>
      <w:r w:rsidRPr="00784147">
        <w:rPr>
          <w:sz w:val="24"/>
          <w:szCs w:val="24"/>
        </w:rPr>
        <w:t xml:space="preserve">              </w:t>
      </w:r>
      <w:r w:rsidRPr="00784147">
        <w:rPr>
          <w:sz w:val="24"/>
          <w:szCs w:val="24"/>
          <w:vertAlign w:val="superscript"/>
        </w:rPr>
        <w:t>4</w:t>
      </w:r>
      <w:r w:rsidRPr="00784147">
        <w:rPr>
          <w:sz w:val="24"/>
          <w:szCs w:val="24"/>
        </w:rPr>
        <w:t xml:space="preserve"> Skolos koeficientas apskaičiuojamas kaip santykis tarp visų poliklinikos skolų (įsipareigojimų) ir viso turto.</w:t>
      </w:r>
    </w:p>
    <w:p w:rsidR="00784147" w:rsidRPr="00784147" w:rsidRDefault="00784147" w:rsidP="00784147">
      <w:pPr>
        <w:jc w:val="both"/>
        <w:rPr>
          <w:sz w:val="24"/>
          <w:szCs w:val="24"/>
        </w:rPr>
      </w:pPr>
      <w:r w:rsidRPr="00784147">
        <w:rPr>
          <w:sz w:val="24"/>
          <w:szCs w:val="24"/>
        </w:rPr>
        <w:t xml:space="preserve">              </w:t>
      </w:r>
      <w:r w:rsidRPr="00784147">
        <w:rPr>
          <w:sz w:val="24"/>
          <w:szCs w:val="24"/>
          <w:vertAlign w:val="superscript"/>
        </w:rPr>
        <w:t>5</w:t>
      </w:r>
      <w:r w:rsidR="007009C5">
        <w:rPr>
          <w:sz w:val="24"/>
          <w:szCs w:val="24"/>
        </w:rPr>
        <w:t xml:space="preserve"> Teigiamu vertinimu laikomas 20 – </w:t>
      </w:r>
      <w:r w:rsidRPr="00784147">
        <w:rPr>
          <w:sz w:val="24"/>
          <w:szCs w:val="24"/>
        </w:rPr>
        <w:t xml:space="preserve">15 balais įvertintos stacionarinių palaikomojo gydymo ir slaugos ligoninių pacientų apklausų anketos. Apklausų anketų rezultatai vertinami balais vadovaujantis Lietuvos Respublikos sveikatos apsaugos ministro 2012 m. lapkričio 29 d. įsakymu </w:t>
      </w:r>
      <w:r w:rsidR="007009C5">
        <w:rPr>
          <w:sz w:val="24"/>
          <w:szCs w:val="24"/>
        </w:rPr>
        <w:t xml:space="preserve">             </w:t>
      </w:r>
      <w:r w:rsidRPr="00784147">
        <w:rPr>
          <w:sz w:val="24"/>
          <w:szCs w:val="24"/>
        </w:rPr>
        <w:t>Nr. V-1073 „Dėl asmens sveikatos priežiūros įstaigų, teikiančių stacionarines asmens sveikatos priežiūros paslaugas, vertinimo rodiklių sąrašų patvirtinimo“ (Lietuvos Respublikos sveikatos apsaugos ministro 2015 m. rugpjūčio 10 d. įsakymo Nr. V-929 redakcija).</w:t>
      </w:r>
    </w:p>
    <w:p w:rsidR="00784147" w:rsidRPr="00784147" w:rsidRDefault="00784147" w:rsidP="00784147">
      <w:pPr>
        <w:jc w:val="both"/>
        <w:rPr>
          <w:sz w:val="24"/>
          <w:szCs w:val="24"/>
        </w:rPr>
      </w:pPr>
      <w:r w:rsidRPr="00784147">
        <w:rPr>
          <w:sz w:val="24"/>
          <w:szCs w:val="24"/>
        </w:rPr>
        <w:t xml:space="preserve">              </w:t>
      </w:r>
      <w:r w:rsidRPr="00784147">
        <w:rPr>
          <w:sz w:val="24"/>
          <w:szCs w:val="24"/>
          <w:vertAlign w:val="superscript"/>
        </w:rPr>
        <w:t>6</w:t>
      </w:r>
      <w:r w:rsidRPr="00784147">
        <w:rPr>
          <w:sz w:val="24"/>
          <w:szCs w:val="24"/>
        </w:rPr>
        <w:t xml:space="preserve"> Ambulatorinių paslaugų pacientų apklausos anketos vertinamos vadovaujantis viešosios įstaigos Panevėžio rajono savivaldybės poliklinikos direktoriaus 2012 m. lapkričio 6 d. įsakymu Nr. V-262 „Dėl Kokybės rodiklių stebėsenos tvarkos, vertinimo metodikų, siektinų rezultatų bei duomenų ir analizės formų patvirtinimo ir viešosios įstaigos Panevėžio rajono savivaldybės poliklinikos vyriausiojo gydytojo 2009 m. sausio 5 d. įsakymo </w:t>
      </w:r>
      <w:r w:rsidR="007009C5">
        <w:rPr>
          <w:sz w:val="24"/>
          <w:szCs w:val="24"/>
        </w:rPr>
        <w:t xml:space="preserve">          </w:t>
      </w:r>
      <w:r w:rsidRPr="00784147">
        <w:rPr>
          <w:sz w:val="24"/>
          <w:szCs w:val="24"/>
        </w:rPr>
        <w:t>Nr.</w:t>
      </w:r>
      <w:r w:rsidR="007009C5">
        <w:rPr>
          <w:sz w:val="24"/>
          <w:szCs w:val="24"/>
        </w:rPr>
        <w:t xml:space="preserve"> </w:t>
      </w:r>
      <w:r w:rsidRPr="00784147">
        <w:rPr>
          <w:sz w:val="24"/>
          <w:szCs w:val="24"/>
        </w:rPr>
        <w:t xml:space="preserve">1 3-5 punktų bei vyriausiojo gydytojo 2008 m. gruodžio 4 d. įsakymo Nr. 120 pripažinimo netekusiais galios“ (su 2015 m. birželio 22 d. įsakymo Nr. VTA-37, 2016 m. vasario 18 d. įsakymo Nr. VTA-8, 2016 m. gegužės 30 d. įsakymo Nr. VTA-29 ir 2016 m. rugsėjo 27 d. įsakymo Nr. VTA-43 pakeitimais). </w:t>
      </w:r>
    </w:p>
    <w:p w:rsidR="00784147" w:rsidRPr="00784147" w:rsidRDefault="00784147" w:rsidP="00784147">
      <w:pPr>
        <w:jc w:val="both"/>
        <w:rPr>
          <w:sz w:val="24"/>
          <w:szCs w:val="24"/>
        </w:rPr>
      </w:pPr>
      <w:r w:rsidRPr="00784147">
        <w:rPr>
          <w:sz w:val="24"/>
          <w:szCs w:val="24"/>
        </w:rPr>
        <w:t xml:space="preserve">              </w:t>
      </w:r>
      <w:r w:rsidRPr="00784147">
        <w:rPr>
          <w:sz w:val="24"/>
          <w:szCs w:val="24"/>
          <w:vertAlign w:val="superscript"/>
        </w:rPr>
        <w:t xml:space="preserve">7 </w:t>
      </w:r>
      <w:r w:rsidRPr="00784147">
        <w:rPr>
          <w:sz w:val="24"/>
          <w:szCs w:val="24"/>
        </w:rPr>
        <w:t>Darbuotojų kaitos rodiklis apskaičiuojamas taip: per ataskaitinius metus iš poliklinikos atleistų darbuotojų skaičius dalijamas iš einamųjų metų sausio 1 d. nurodyto bendro darbuotojų skaičiaus ir dauginamas iš 100. Neįskaitomi darbuotojai, kurie buvo priimti pavaduoti kitą darbuotoją ir su kuriais buvo sudarytos terminuotos darbo sutartys.</w:t>
      </w:r>
    </w:p>
    <w:p w:rsidR="00784147" w:rsidRPr="00784147" w:rsidRDefault="00784147" w:rsidP="00784147">
      <w:pPr>
        <w:jc w:val="both"/>
        <w:rPr>
          <w:sz w:val="24"/>
          <w:szCs w:val="24"/>
        </w:rPr>
      </w:pPr>
      <w:r w:rsidRPr="00784147">
        <w:rPr>
          <w:sz w:val="24"/>
          <w:szCs w:val="24"/>
        </w:rPr>
        <w:lastRenderedPageBreak/>
        <w:t xml:space="preserve">              </w:t>
      </w:r>
      <w:r w:rsidRPr="00784147">
        <w:rPr>
          <w:sz w:val="24"/>
          <w:szCs w:val="24"/>
          <w:vertAlign w:val="superscript"/>
        </w:rPr>
        <w:t>8</w:t>
      </w:r>
      <w:r w:rsidRPr="00784147">
        <w:rPr>
          <w:sz w:val="24"/>
          <w:szCs w:val="24"/>
        </w:rPr>
        <w:t xml:space="preserve"> Prioritetinėms paslaugoms priskirtos skatinamosios, prevencinių programų, </w:t>
      </w:r>
      <w:proofErr w:type="spellStart"/>
      <w:r w:rsidRPr="00784147">
        <w:rPr>
          <w:sz w:val="24"/>
          <w:szCs w:val="24"/>
        </w:rPr>
        <w:t>paliatyviosios</w:t>
      </w:r>
      <w:proofErr w:type="spellEnd"/>
      <w:r w:rsidRPr="00784147">
        <w:rPr>
          <w:sz w:val="24"/>
          <w:szCs w:val="24"/>
        </w:rPr>
        <w:t xml:space="preserve"> slaugos ir slaugos paslaugos ligoninėse bei namuose. Prioritetinių paslaugų dalis apskaičiuojama taip: poliklinikoje suteiktas prioritetines paslaugas dalijant iš visų suteiktų paslaugų, finansuojamų Privalomojo sveikatos draudimo fondo biudžeto lėšomis, eurais ir dauginant iš 100. Prioritetinių paslaugų dinamika nustatoma dalijant prioritetinių paslaugų dalį einamųjų metų gruodžio 31 d. iš praėjusių metų suteiktų prioritetinių paslaugų dalies gruodžio 31 d. ir dauginant iš 100. </w:t>
      </w:r>
    </w:p>
    <w:p w:rsidR="00784147" w:rsidRPr="00784147" w:rsidRDefault="00784147" w:rsidP="00784147">
      <w:pPr>
        <w:jc w:val="both"/>
        <w:rPr>
          <w:sz w:val="24"/>
          <w:szCs w:val="24"/>
          <w:vertAlign w:val="superscript"/>
        </w:rPr>
      </w:pPr>
      <w:r w:rsidRPr="00784147">
        <w:rPr>
          <w:sz w:val="24"/>
          <w:szCs w:val="24"/>
        </w:rPr>
        <w:t xml:space="preserve">              </w:t>
      </w:r>
      <w:r w:rsidRPr="00784147">
        <w:rPr>
          <w:sz w:val="24"/>
          <w:szCs w:val="24"/>
          <w:vertAlign w:val="superscript"/>
        </w:rPr>
        <w:t xml:space="preserve">9 </w:t>
      </w:r>
      <w:r w:rsidRPr="00784147">
        <w:rPr>
          <w:sz w:val="24"/>
          <w:szCs w:val="24"/>
        </w:rPr>
        <w:t>Pragulų atsiradimo dažnis apskaičiuojamas taip: pacientų skaičių, kuriems ataskaitiniais metais atsirado pragulos dalijant iš pacientų, gavusių paslaugas slaugos ir palaikomojo gydymo įstaigose skaičiaus ir dauginant iš 100.</w:t>
      </w:r>
      <w:r w:rsidRPr="00784147">
        <w:rPr>
          <w:sz w:val="24"/>
          <w:szCs w:val="24"/>
          <w:vertAlign w:val="superscript"/>
        </w:rPr>
        <w:t xml:space="preserve"> </w:t>
      </w:r>
    </w:p>
    <w:p w:rsidR="00784147" w:rsidRPr="00784147" w:rsidRDefault="00784147" w:rsidP="00784147">
      <w:pPr>
        <w:jc w:val="both"/>
        <w:rPr>
          <w:sz w:val="24"/>
          <w:szCs w:val="24"/>
        </w:rPr>
      </w:pPr>
      <w:r w:rsidRPr="00784147">
        <w:rPr>
          <w:sz w:val="24"/>
          <w:szCs w:val="24"/>
        </w:rPr>
        <w:t xml:space="preserve">              </w:t>
      </w:r>
      <w:r w:rsidRPr="00784147">
        <w:rPr>
          <w:sz w:val="24"/>
          <w:szCs w:val="24"/>
          <w:vertAlign w:val="superscript"/>
        </w:rPr>
        <w:t>10</w:t>
      </w:r>
      <w:r w:rsidRPr="00784147">
        <w:rPr>
          <w:sz w:val="24"/>
          <w:szCs w:val="24"/>
        </w:rPr>
        <w:t xml:space="preserve"> Korupcijos indekso reikšmė apskaičiuojama vadovaujantis Lietuvos Respublikos sveikatos apsaugos ministro 2015 m. sausio 26 d. įsakymu Nr. V-65 „Dėl Skaidrios asmens sveikatos priežiūros įstaigos vardo suteikimo tvarkos aprašo patvirtinimo“.</w:t>
      </w:r>
    </w:p>
    <w:p w:rsidR="00784147" w:rsidRPr="00784147" w:rsidRDefault="00784147" w:rsidP="00784147">
      <w:pPr>
        <w:jc w:val="both"/>
        <w:rPr>
          <w:sz w:val="24"/>
          <w:szCs w:val="24"/>
        </w:rPr>
      </w:pPr>
      <w:r w:rsidRPr="00784147">
        <w:rPr>
          <w:sz w:val="24"/>
          <w:szCs w:val="24"/>
        </w:rPr>
        <w:t xml:space="preserve">              </w:t>
      </w:r>
      <w:r w:rsidRPr="00784147">
        <w:rPr>
          <w:sz w:val="24"/>
          <w:szCs w:val="24"/>
          <w:vertAlign w:val="superscript"/>
        </w:rPr>
        <w:t xml:space="preserve">11 </w:t>
      </w:r>
      <w:r w:rsidRPr="00784147">
        <w:rPr>
          <w:sz w:val="24"/>
          <w:szCs w:val="24"/>
        </w:rPr>
        <w:t xml:space="preserve">Suteiktų paslaugų pokytis nustatomas vadovaujantis Lietuvos Respublikos sveikatos apsaugos ministro 2011 m. gruodžio 1 d. įsakymu </w:t>
      </w:r>
      <w:r w:rsidR="007009C5">
        <w:rPr>
          <w:sz w:val="24"/>
          <w:szCs w:val="24"/>
        </w:rPr>
        <w:t xml:space="preserve">         </w:t>
      </w:r>
      <w:r w:rsidRPr="00784147">
        <w:rPr>
          <w:sz w:val="24"/>
          <w:szCs w:val="24"/>
        </w:rPr>
        <w:t>Nr. V-1019 „Dėl Lietuvos nacionalinės sveikatos sistemos viešųjų įstaigų veiklos finansinių rezultatų vertinimo kiekybinių ir kokybinių rodiklių ir vadovaujančių darbuotojų mėnesinės algos kintamosios dalies nustatymo tvarkos aprašo patvirtinimo“.</w:t>
      </w:r>
    </w:p>
    <w:p w:rsidR="00784147" w:rsidRPr="00784147" w:rsidRDefault="00784147" w:rsidP="00784147">
      <w:pPr>
        <w:jc w:val="both"/>
        <w:rPr>
          <w:sz w:val="24"/>
          <w:szCs w:val="24"/>
        </w:rPr>
      </w:pPr>
    </w:p>
    <w:p w:rsidR="00784147" w:rsidRPr="00784147" w:rsidRDefault="00784147" w:rsidP="00784147">
      <w:pPr>
        <w:jc w:val="center"/>
        <w:rPr>
          <w:sz w:val="24"/>
          <w:szCs w:val="24"/>
        </w:rPr>
      </w:pPr>
      <w:r w:rsidRPr="00784147">
        <w:rPr>
          <w:sz w:val="24"/>
          <w:szCs w:val="24"/>
        </w:rPr>
        <w:t>_____________________________</w:t>
      </w:r>
    </w:p>
    <w:p w:rsidR="00784147" w:rsidRPr="00784147" w:rsidRDefault="00784147" w:rsidP="00784147">
      <w:pPr>
        <w:jc w:val="center"/>
        <w:rPr>
          <w:sz w:val="24"/>
          <w:szCs w:val="24"/>
        </w:rPr>
      </w:pPr>
    </w:p>
    <w:p w:rsidR="003626EC" w:rsidRDefault="003626EC">
      <w:pPr>
        <w:jc w:val="center"/>
        <w:rPr>
          <w:b/>
          <w:sz w:val="24"/>
          <w:szCs w:val="24"/>
        </w:rPr>
      </w:pPr>
    </w:p>
    <w:p w:rsidR="003626EC" w:rsidRDefault="003626EC"/>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b/>
          <w:sz w:val="24"/>
          <w:szCs w:val="24"/>
        </w:rPr>
      </w:pPr>
    </w:p>
    <w:p w:rsidR="003626EC" w:rsidRDefault="003626EC">
      <w:pPr>
        <w:jc w:val="center"/>
        <w:rPr>
          <w:sz w:val="24"/>
          <w:szCs w:val="24"/>
        </w:rPr>
      </w:pPr>
    </w:p>
    <w:p w:rsidR="003626EC" w:rsidRDefault="003626EC">
      <w:pPr>
        <w:jc w:val="center"/>
        <w:rPr>
          <w:sz w:val="24"/>
          <w:szCs w:val="24"/>
        </w:rPr>
      </w:pPr>
    </w:p>
    <w:p w:rsidR="003626EC" w:rsidRDefault="003626EC">
      <w:pPr>
        <w:jc w:val="center"/>
        <w:rPr>
          <w:sz w:val="24"/>
          <w:szCs w:val="24"/>
        </w:rPr>
      </w:pPr>
    </w:p>
    <w:p w:rsidR="003626EC" w:rsidRDefault="003626EC">
      <w:pPr>
        <w:suppressAutoHyphens w:val="0"/>
        <w:autoSpaceDE w:val="0"/>
        <w:ind w:firstLine="720"/>
        <w:jc w:val="both"/>
      </w:pPr>
    </w:p>
    <w:sectPr w:rsidR="003626EC" w:rsidSect="00260BF7">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1134" w:bottom="567" w:left="1134" w:header="567"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7F" w:rsidRDefault="00716A7F">
      <w:r>
        <w:separator/>
      </w:r>
    </w:p>
  </w:endnote>
  <w:endnote w:type="continuationSeparator" w:id="0">
    <w:p w:rsidR="00716A7F" w:rsidRDefault="0071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7F" w:rsidRDefault="00716A7F">
      <w:r>
        <w:separator/>
      </w:r>
    </w:p>
  </w:footnote>
  <w:footnote w:type="continuationSeparator" w:id="0">
    <w:p w:rsidR="00716A7F" w:rsidRDefault="00716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716A7F">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3626EC" w:rsidRDefault="003626EC">
    <w:pPr>
      <w:pStyle w:val="Antrats"/>
      <w:jc w:val="center"/>
      <w:rPr>
        <w:b/>
        <w:sz w:val="28"/>
      </w:rPr>
    </w:pPr>
    <w:r>
      <w:tab/>
      <w:t xml:space="preserve">                                                                                                                                                  </w:t>
    </w:r>
  </w:p>
  <w:p w:rsidR="003626EC" w:rsidRDefault="003626EC">
    <w:pPr>
      <w:pStyle w:val="Antrats"/>
      <w:jc w:val="center"/>
      <w:rPr>
        <w:b/>
        <w:sz w:val="28"/>
      </w:rPr>
    </w:pPr>
    <w:r>
      <w:rPr>
        <w:b/>
        <w:sz w:val="28"/>
      </w:rPr>
      <w:t>PANEVĖŽIO RAJONO SAVIVALDYBĖS TARYBA</w:t>
    </w:r>
  </w:p>
  <w:p w:rsidR="003626EC" w:rsidRDefault="003626EC">
    <w:pPr>
      <w:pStyle w:val="Antrats"/>
      <w:jc w:val="center"/>
      <w:rPr>
        <w:b/>
        <w:sz w:val="28"/>
      </w:rPr>
    </w:pPr>
  </w:p>
  <w:p w:rsidR="003626EC" w:rsidRDefault="003626EC">
    <w:pPr>
      <w:pStyle w:val="Antrats"/>
      <w:jc w:val="center"/>
    </w:pPr>
    <w:r>
      <w:rPr>
        <w:b/>
        <w:sz w:val="28"/>
      </w:rPr>
      <w:t>SPRENDIMAS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BF7" w:rsidRDefault="00260BF7">
    <w:pPr>
      <w:pStyle w:val="Antrats"/>
      <w:jc w:val="center"/>
    </w:pPr>
    <w:r>
      <w:fldChar w:fldCharType="begin"/>
    </w:r>
    <w:r>
      <w:instrText>PAGE   \* MERGEFORMAT</w:instrText>
    </w:r>
    <w:r>
      <w:fldChar w:fldCharType="separate"/>
    </w:r>
    <w:r w:rsidR="00325489">
      <w:rPr>
        <w:noProof/>
      </w:rPr>
      <w:t>2</w:t>
    </w:r>
    <w:r>
      <w:fldChar w:fldCharType="end"/>
    </w:r>
  </w:p>
  <w:p w:rsidR="003626EC" w:rsidRDefault="003626E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3626E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EC" w:rsidRDefault="00260BF7" w:rsidP="00260BF7">
    <w:pPr>
      <w:pStyle w:val="Antrats"/>
      <w:jc w:val="center"/>
    </w:pPr>
    <w:r>
      <w:fldChar w:fldCharType="begin"/>
    </w:r>
    <w:r>
      <w:instrText>PAGE   \* MERGEFORMAT</w:instrText>
    </w:r>
    <w:r>
      <w:fldChar w:fldCharType="separate"/>
    </w:r>
    <w:r w:rsidR="00325489">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87"/>
    <w:rsid w:val="00055085"/>
    <w:rsid w:val="00260BF7"/>
    <w:rsid w:val="00325489"/>
    <w:rsid w:val="003626EC"/>
    <w:rsid w:val="003A2A31"/>
    <w:rsid w:val="005A4217"/>
    <w:rsid w:val="00665334"/>
    <w:rsid w:val="006D38FA"/>
    <w:rsid w:val="007009C5"/>
    <w:rsid w:val="00716A7F"/>
    <w:rsid w:val="00784147"/>
    <w:rsid w:val="007D7670"/>
    <w:rsid w:val="009E7B86"/>
    <w:rsid w:val="00AE4987"/>
    <w:rsid w:val="00B34BA3"/>
    <w:rsid w:val="00F226DD"/>
    <w:rsid w:val="00F62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39B8A5B-03A7-4E40-9836-C9E6D90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3">
    <w:name w:val="heading 3"/>
    <w:basedOn w:val="prastasis"/>
    <w:next w:val="prastasis"/>
    <w:qFormat/>
    <w:pPr>
      <w:keepNext/>
      <w:numPr>
        <w:ilvl w:val="2"/>
        <w:numId w:val="1"/>
      </w:numPr>
      <w:suppressAutoHyphens w:val="0"/>
      <w:spacing w:before="240" w:after="60"/>
      <w:outlineLvl w:val="2"/>
    </w:pPr>
    <w:rPr>
      <w:rFonts w:ascii="Cambria" w:hAnsi="Cambria" w:cs="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cs="Times New Roman" w:hint="default"/>
      <w:color w:val="000000"/>
    </w:rPr>
  </w:style>
  <w:style w:type="character" w:customStyle="1" w:styleId="WW8Num5z1">
    <w:name w:val="WW8Num5z1"/>
    <w:rPr>
      <w:rFonts w:cs="Times New Roman"/>
    </w:rPr>
  </w:style>
  <w:style w:type="character" w:customStyle="1" w:styleId="WW8Num6z0">
    <w:name w:val="WW8Num6z0"/>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hint="default"/>
    </w:rPr>
  </w:style>
  <w:style w:type="character" w:customStyle="1" w:styleId="WW8Num8z1">
    <w:name w:val="WW8Num8z1"/>
    <w:rPr>
      <w:rFonts w:cs="Times New Roman"/>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Numatytasispastraiposriftas1">
    <w:name w:val="Numatytasis pastraipos šriftas1"/>
  </w:style>
  <w:style w:type="character" w:customStyle="1" w:styleId="PagrindinistekstasDiagrama">
    <w:name w:val="Pagrindinis tekstas Diagrama"/>
    <w:rPr>
      <w:rFonts w:cs="Times New Roman"/>
      <w:sz w:val="20"/>
      <w:lang w:eastAsia="ar-SA" w:bidi="ar-SA"/>
    </w:rPr>
  </w:style>
  <w:style w:type="character" w:customStyle="1" w:styleId="AntratsDiagrama">
    <w:name w:val="Antraštės Diagrama"/>
    <w:uiPriority w:val="99"/>
    <w:rPr>
      <w:rFonts w:cs="Times New Roman"/>
      <w:sz w:val="20"/>
      <w:lang w:eastAsia="ar-SA" w:bidi="ar-SA"/>
    </w:rPr>
  </w:style>
  <w:style w:type="character" w:customStyle="1" w:styleId="PoratDiagrama">
    <w:name w:val="Poraštė Diagrama"/>
    <w:rPr>
      <w:rFonts w:cs="Times New Roman"/>
      <w:sz w:val="20"/>
      <w:lang w:eastAsia="ar-SA" w:bidi="ar-SA"/>
    </w:rPr>
  </w:style>
  <w:style w:type="character" w:customStyle="1" w:styleId="DebesliotekstasDiagrama">
    <w:name w:val="Debesėlio tekstas Diagrama"/>
    <w:rPr>
      <w:rFonts w:cs="Times New Roman"/>
      <w:sz w:val="2"/>
      <w:lang w:eastAsia="ar-SA" w:bidi="ar-SA"/>
    </w:rPr>
  </w:style>
  <w:style w:type="character" w:customStyle="1" w:styleId="Pagrindiniotekstotrauka3Diagrama">
    <w:name w:val="Pagrindinio teksto įtrauka 3 Diagrama"/>
    <w:rPr>
      <w:rFonts w:cs="Times New Roman"/>
      <w:sz w:val="16"/>
      <w:lang w:eastAsia="ar-SA" w:bidi="ar-SA"/>
    </w:rPr>
  </w:style>
  <w:style w:type="character" w:styleId="Hipersaitas">
    <w:name w:val="Hyperlink"/>
    <w:rPr>
      <w:rFonts w:cs="Times New Roman"/>
      <w:color w:val="0000FF"/>
      <w:u w:val="single"/>
    </w:rPr>
  </w:style>
  <w:style w:type="character" w:customStyle="1" w:styleId="Antrat3Diagrama">
    <w:name w:val="Antraštė 3 Diagrama"/>
    <w:rPr>
      <w:rFonts w:ascii="Cambria" w:hAnsi="Cambria" w:cs="Cambria"/>
      <w:b/>
      <w:bCs/>
      <w:sz w:val="26"/>
      <w:szCs w:val="26"/>
    </w:rPr>
  </w:style>
  <w:style w:type="character" w:customStyle="1" w:styleId="PagrindiniotekstotraukaDiagrama">
    <w:name w:val="Pagrindinio teksto įtrauka Diagrama"/>
    <w:basedOn w:val="Numatytasispastraiposriftas1"/>
  </w:style>
  <w:style w:type="character" w:customStyle="1" w:styleId="Pagrindinistekstas2Diagrama">
    <w:name w:val="Pagrindinis tekstas 2 Diagrama"/>
    <w:rPr>
      <w:sz w:val="24"/>
      <w:szCs w:val="24"/>
    </w:rPr>
  </w:style>
  <w:style w:type="character" w:customStyle="1" w:styleId="Numeravimoenklai">
    <w:name w:val="Numeravimo ženklai"/>
  </w:style>
  <w:style w:type="paragraph" w:customStyle="1" w:styleId="Antrat1">
    <w:name w:val="Antraštė1"/>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1">
    <w:name w:val="Pavadinimas1"/>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styleId="Antrats">
    <w:name w:val="header"/>
    <w:basedOn w:val="prastasis"/>
    <w:uiPriority w:val="99"/>
  </w:style>
  <w:style w:type="paragraph" w:customStyle="1" w:styleId="Default">
    <w:name w:val="Default"/>
    <w:pPr>
      <w:suppressAutoHyphens/>
      <w:autoSpaceDE w:val="0"/>
    </w:pPr>
    <w:rPr>
      <w:color w:val="000000"/>
      <w:sz w:val="24"/>
      <w:szCs w:val="24"/>
      <w:lang w:eastAsia="ar-SA"/>
    </w:rPr>
  </w:style>
  <w:style w:type="paragraph" w:styleId="Porat">
    <w:name w:val="footer"/>
    <w:basedOn w:val="prastasis"/>
  </w:style>
  <w:style w:type="paragraph" w:customStyle="1" w:styleId="Normal1">
    <w:name w:val="Normal+1"/>
    <w:basedOn w:val="Default"/>
    <w:next w:val="Default"/>
    <w:rPr>
      <w:color w:val="auto"/>
    </w:rPr>
  </w:style>
  <w:style w:type="paragraph" w:customStyle="1" w:styleId="Hyperlink1">
    <w:name w:val="Hyperlink1"/>
    <w:basedOn w:val="Default"/>
    <w:next w:val="Default"/>
    <w:rPr>
      <w:color w:val="auto"/>
    </w:rPr>
  </w:style>
  <w:style w:type="paragraph" w:customStyle="1" w:styleId="CharCharDiagramaDiagrama">
    <w:name w:val="Char Char Diagrama Diagrama"/>
    <w:basedOn w:val="prastasis"/>
    <w:pPr>
      <w:suppressAutoHyphens w:val="0"/>
      <w:spacing w:after="160" w:line="240" w:lineRule="exact"/>
    </w:pPr>
    <w:rPr>
      <w:rFonts w:ascii="Tahoma" w:hAnsi="Tahoma" w:cs="Tahoma"/>
      <w:lang w:val="en-US"/>
    </w:rPr>
  </w:style>
  <w:style w:type="paragraph" w:styleId="Debesliotekstas">
    <w:name w:val="Balloon Text"/>
    <w:basedOn w:val="prastasis"/>
    <w:rPr>
      <w:sz w:val="2"/>
    </w:rPr>
  </w:style>
  <w:style w:type="paragraph" w:customStyle="1" w:styleId="Pagrindiniotekstotrauka31">
    <w:name w:val="Pagrindinio teksto įtrauka 31"/>
    <w:basedOn w:val="prastasis"/>
    <w:pPr>
      <w:spacing w:after="120"/>
      <w:ind w:left="283"/>
    </w:pPr>
    <w:rPr>
      <w:sz w:val="16"/>
    </w:rPr>
  </w:style>
  <w:style w:type="paragraph" w:customStyle="1" w:styleId="TableContents">
    <w:name w:val="Table Contents"/>
    <w:basedOn w:val="prastasis"/>
    <w:pPr>
      <w:widowControl w:val="0"/>
      <w:suppressLineNumbers/>
    </w:pPr>
    <w:rPr>
      <w:kern w:val="1"/>
      <w:sz w:val="24"/>
      <w:szCs w:val="24"/>
    </w:rPr>
  </w:style>
  <w:style w:type="paragraph" w:styleId="Sraopastraipa">
    <w:name w:val="List Paragraph"/>
    <w:basedOn w:val="prastasis"/>
    <w:qFormat/>
    <w:pPr>
      <w:suppressAutoHyphens w:val="0"/>
      <w:spacing w:after="200" w:line="276" w:lineRule="auto"/>
      <w:ind w:left="720"/>
    </w:pPr>
    <w:rPr>
      <w:rFonts w:ascii="Calibri" w:hAnsi="Calibri" w:cs="Calibri"/>
      <w:sz w:val="22"/>
      <w:szCs w:val="22"/>
    </w:rPr>
  </w:style>
  <w:style w:type="paragraph" w:styleId="Pagrindiniotekstotrauka">
    <w:name w:val="Body Text Indent"/>
    <w:basedOn w:val="prastasis"/>
    <w:pPr>
      <w:suppressAutoHyphens w:val="0"/>
      <w:spacing w:after="120"/>
      <w:ind w:left="283"/>
    </w:pPr>
  </w:style>
  <w:style w:type="paragraph" w:customStyle="1" w:styleId="Pagrindinistekstas31">
    <w:name w:val="Pagrindinis tekstas 31"/>
    <w:basedOn w:val="prastasis"/>
    <w:pPr>
      <w:ind w:right="-1234"/>
    </w:pPr>
    <w:rPr>
      <w:sz w:val="24"/>
    </w:rPr>
  </w:style>
  <w:style w:type="paragraph" w:customStyle="1" w:styleId="Pagrindinistekstas21">
    <w:name w:val="Pagrindinis tekstas 21"/>
    <w:basedOn w:val="prastasis"/>
    <w:pPr>
      <w:suppressAutoHyphens w:val="0"/>
      <w:spacing w:after="120" w:line="48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870758">
      <w:bodyDiv w:val="1"/>
      <w:marLeft w:val="0"/>
      <w:marRight w:val="0"/>
      <w:marTop w:val="0"/>
      <w:marBottom w:val="0"/>
      <w:divBdr>
        <w:top w:val="none" w:sz="0" w:space="0" w:color="auto"/>
        <w:left w:val="none" w:sz="0" w:space="0" w:color="auto"/>
        <w:bottom w:val="none" w:sz="0" w:space="0" w:color="auto"/>
        <w:right w:val="none" w:sz="0" w:space="0" w:color="auto"/>
      </w:divBdr>
    </w:div>
    <w:div w:id="12005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EBDF-C8B5-41F0-8CAA-C7185FAD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6906</Words>
  <Characters>3937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
  <LinksUpToDate>false</LinksUpToDate>
  <CharactersWithSpaces>10822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Renata Valantiniene</cp:lastModifiedBy>
  <cp:revision>4</cp:revision>
  <cp:lastPrinted>2017-03-17T05:41:00Z</cp:lastPrinted>
  <dcterms:created xsi:type="dcterms:W3CDTF">2017-03-29T11:40:00Z</dcterms:created>
  <dcterms:modified xsi:type="dcterms:W3CDTF">2017-03-29T11:47:00Z</dcterms:modified>
</cp:coreProperties>
</file>