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253825">
      <w:pPr>
        <w:pStyle w:val="Betarp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DĖL SAVIVALDYBĖS TARYBOS 2016 M. KOVO 30 D. SPRENDIMO NR. T-50 „DĖL </w:t>
      </w:r>
      <w:r>
        <w:rPr>
          <w:rFonts w:cs="font336"/>
          <w:b/>
          <w:sz w:val="24"/>
          <w:szCs w:val="24"/>
        </w:rPr>
        <w:t>VAIKŲ IR MOKINIŲ MAITINIMO KAŠTŲ</w:t>
      </w:r>
      <w:r>
        <w:rPr>
          <w:b/>
          <w:sz w:val="24"/>
          <w:szCs w:val="24"/>
        </w:rPr>
        <w:t xml:space="preserve"> KOMPENSAVIMO TVARKOS APRAŠO PATVIRTINIMO“ PAKEITIMO</w:t>
      </w:r>
    </w:p>
    <w:p w:rsidR="00000000" w:rsidRDefault="00253825">
      <w:pPr>
        <w:spacing w:line="200" w:lineRule="atLeast"/>
        <w:jc w:val="center"/>
        <w:rPr>
          <w:bCs/>
          <w:sz w:val="24"/>
          <w:szCs w:val="24"/>
        </w:rPr>
      </w:pPr>
    </w:p>
    <w:p w:rsidR="00000000" w:rsidRDefault="00253825">
      <w:pPr>
        <w:jc w:val="center"/>
        <w:rPr>
          <w:sz w:val="24"/>
        </w:rPr>
      </w:pPr>
      <w:r>
        <w:rPr>
          <w:sz w:val="24"/>
        </w:rPr>
        <w:t>2016 m. birželio 28 d. Nr. T- 129</w:t>
      </w:r>
    </w:p>
    <w:p w:rsidR="00000000" w:rsidRDefault="00253825">
      <w:pPr>
        <w:jc w:val="center"/>
        <w:rPr>
          <w:sz w:val="24"/>
        </w:rPr>
      </w:pPr>
      <w:r>
        <w:rPr>
          <w:sz w:val="24"/>
        </w:rPr>
        <w:t>Panevėžys</w:t>
      </w:r>
    </w:p>
    <w:p w:rsidR="00000000" w:rsidRDefault="00253825">
      <w:pPr>
        <w:jc w:val="both"/>
        <w:rPr>
          <w:sz w:val="24"/>
        </w:rPr>
      </w:pPr>
    </w:p>
    <w:p w:rsidR="00000000" w:rsidRDefault="00253825">
      <w:pPr>
        <w:pStyle w:val="NormalWeb"/>
        <w:tabs>
          <w:tab w:val="left" w:pos="704"/>
        </w:tabs>
        <w:spacing w:before="0" w:after="0" w:line="200" w:lineRule="atLeast"/>
        <w:jc w:val="both"/>
      </w:pPr>
      <w:r>
        <w:tab/>
        <w:t>Vadovaudamasi Lietuvos Respublikos vietos savivaldos įst</w:t>
      </w:r>
      <w:r>
        <w:t xml:space="preserve">atymo 16 straipsnio 2 dalies </w:t>
      </w:r>
      <w:r>
        <w:br/>
        <w:t xml:space="preserve">38 punktu ir atsižvelgdama į Lietuvos Respublikos švietimo ir mokslo ministerijos 2016-05-27   raštą Nr. SR-2479 „Dėl mokslininkų pateiktų pasiūlymų“, Savivaldybės taryba </w:t>
      </w:r>
      <w:r>
        <w:rPr>
          <w:spacing w:val="60"/>
        </w:rPr>
        <w:t>nusprendžia:</w:t>
      </w:r>
    </w:p>
    <w:p w:rsidR="00000000" w:rsidRDefault="00253825">
      <w:pPr>
        <w:tabs>
          <w:tab w:val="left" w:pos="738"/>
        </w:tabs>
        <w:spacing w:line="200" w:lineRule="atLeast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ab/>
        <w:t>P</w:t>
      </w:r>
      <w:r>
        <w:rPr>
          <w:kern w:val="1"/>
          <w:sz w:val="24"/>
          <w:szCs w:val="24"/>
        </w:rPr>
        <w:t xml:space="preserve">apildyti </w:t>
      </w:r>
      <w:r>
        <w:rPr>
          <w:rFonts w:cs="font336"/>
          <w:kern w:val="1"/>
          <w:sz w:val="24"/>
          <w:szCs w:val="24"/>
        </w:rPr>
        <w:t>Vaikų ir mokinių maitinimo kašt</w:t>
      </w:r>
      <w:r>
        <w:rPr>
          <w:rFonts w:cs="font336"/>
          <w:kern w:val="1"/>
          <w:sz w:val="24"/>
          <w:szCs w:val="24"/>
        </w:rPr>
        <w:t>ų</w:t>
      </w:r>
      <w:r>
        <w:rPr>
          <w:kern w:val="1"/>
          <w:sz w:val="24"/>
          <w:szCs w:val="24"/>
        </w:rPr>
        <w:t xml:space="preserve">  kompensavimo  tvarkos aprašą,  patvirtintą 2016 m. kovo 30 d. sprendimu Nr. T-50 „Dėl V</w:t>
      </w:r>
      <w:r>
        <w:rPr>
          <w:rFonts w:cs="font336"/>
          <w:kern w:val="1"/>
          <w:sz w:val="24"/>
          <w:szCs w:val="24"/>
        </w:rPr>
        <w:t>aikų ir mokinių maitinimo kaštų</w:t>
      </w:r>
      <w:r>
        <w:rPr>
          <w:kern w:val="1"/>
          <w:sz w:val="24"/>
          <w:szCs w:val="24"/>
        </w:rPr>
        <w:t xml:space="preserve"> kompensavimo tvarkos aprašo patvirtinimo“, 4.5 punktu:</w:t>
      </w:r>
    </w:p>
    <w:p w:rsidR="00000000" w:rsidRDefault="00253825">
      <w:pPr>
        <w:tabs>
          <w:tab w:val="left" w:pos="738"/>
        </w:tabs>
        <w:spacing w:line="200" w:lineRule="atLeast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ab/>
        <w:t>„4.5. kai maitinimo paslaugos teikėjas atsiskaitymui naudoja automatizuotą ele</w:t>
      </w:r>
      <w:r>
        <w:rPr>
          <w:kern w:val="1"/>
          <w:sz w:val="24"/>
          <w:szCs w:val="24"/>
        </w:rPr>
        <w:t>ktroninių pinigų sistemą ar a</w:t>
      </w:r>
      <w:r>
        <w:rPr>
          <w:rFonts w:ascii="serif" w:hAnsi="serif" w:cs="serif"/>
          <w:kern w:val="1"/>
          <w:sz w:val="24"/>
          <w:szCs w:val="24"/>
        </w:rPr>
        <w:t xml:space="preserve">lternatyvias elektronines atsiskaitymo priemones, atitinkančias </w:t>
      </w:r>
      <w:r>
        <w:rPr>
          <w:sz w:val="24"/>
          <w:szCs w:val="24"/>
        </w:rPr>
        <w:t>galiojančius kasos aparatų ir grynųjų pinigų priėmimo dokumentų registravimą reglamentuojančius teisės aktus. Elektroninio atsiskaitymo sistema turi būti užprogram</w:t>
      </w:r>
      <w:r>
        <w:rPr>
          <w:sz w:val="24"/>
          <w:szCs w:val="24"/>
        </w:rPr>
        <w:t>uota taip, kad atskirame skyriuje būtų kaupiami duomenys apie pritaikytas nuolaidas, rodoma patiekalo kaina, pritaikyta nuolaida proc., kompensavimo dydis eurais ir pirkėjo mokama kaina.“</w:t>
      </w:r>
    </w:p>
    <w:p w:rsidR="00000000" w:rsidRDefault="00253825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253825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000000" w:rsidRDefault="00253825">
      <w:pPr>
        <w:tabs>
          <w:tab w:val="left" w:pos="715"/>
        </w:tabs>
        <w:spacing w:line="200" w:lineRule="atLeast"/>
        <w:jc w:val="both"/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000000" w:rsidRDefault="00253825">
      <w:pPr>
        <w:pStyle w:val="HTMLPreformatted"/>
        <w:jc w:val="center"/>
      </w:pPr>
    </w:p>
    <w:p w:rsidR="00253825" w:rsidRDefault="00253825">
      <w:pPr>
        <w:pStyle w:val="HTMLPreformatted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</w:rPr>
        <w:br/>
      </w:r>
      <w:bookmarkStart w:id="1" w:name="_1052904148"/>
      <w:bookmarkStart w:id="2" w:name="_1033498010"/>
      <w:bookmarkEnd w:id="1"/>
      <w:bookmarkEnd w:id="2"/>
    </w:p>
    <w:sectPr w:rsidR="0025382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25" w:rsidRDefault="00253825">
      <w:r>
        <w:separator/>
      </w:r>
    </w:p>
  </w:endnote>
  <w:endnote w:type="continuationSeparator" w:id="0">
    <w:p w:rsidR="00253825" w:rsidRDefault="0025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ont336">
    <w:charset w:val="80"/>
    <w:family w:val="roman"/>
    <w:pitch w:val="default"/>
  </w:font>
  <w:font w:name="serif">
    <w:altName w:val="Times New Roman"/>
    <w:charset w:val="BA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8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8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8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25" w:rsidRDefault="00253825">
      <w:r>
        <w:separator/>
      </w:r>
    </w:p>
  </w:footnote>
  <w:footnote w:type="continuationSeparator" w:id="0">
    <w:p w:rsidR="00253825" w:rsidRDefault="0025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825">
    <w:pPr>
      <w:pStyle w:val="Header"/>
      <w:jc w:val="center"/>
    </w:pPr>
  </w:p>
  <w:p w:rsidR="00000000" w:rsidRDefault="00253825">
    <w:pPr>
      <w:pStyle w:val="Header"/>
      <w:jc w:val="center"/>
    </w:pPr>
  </w:p>
  <w:p w:rsidR="00000000" w:rsidRDefault="004701C4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334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253825">
    <w:pPr>
      <w:pStyle w:val="Header"/>
      <w:jc w:val="center"/>
    </w:pPr>
  </w:p>
  <w:p w:rsidR="00000000" w:rsidRDefault="00253825">
    <w:pPr>
      <w:pStyle w:val="Header"/>
      <w:tabs>
        <w:tab w:val="left" w:pos="912"/>
      </w:tabs>
      <w:jc w:val="center"/>
      <w:rPr>
        <w:b/>
        <w:sz w:val="28"/>
      </w:rPr>
    </w:pPr>
    <w:r>
      <w:tab/>
    </w:r>
    <w:r>
      <w:tab/>
    </w:r>
    <w:r>
      <w:tab/>
    </w:r>
  </w:p>
  <w:p w:rsidR="00000000" w:rsidRDefault="0025382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000000" w:rsidRDefault="00253825">
    <w:pPr>
      <w:pStyle w:val="Header"/>
      <w:jc w:val="center"/>
      <w:rPr>
        <w:b/>
        <w:sz w:val="28"/>
      </w:rPr>
    </w:pPr>
  </w:p>
  <w:p w:rsidR="00000000" w:rsidRDefault="00253825">
    <w:pPr>
      <w:pStyle w:val="Header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38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Straipsnis %1."/>
      <w:lvlJc w:val="left"/>
      <w:pPr>
        <w:tabs>
          <w:tab w:val="num" w:pos="3483"/>
        </w:tabs>
        <w:ind w:left="1683" w:firstLine="0"/>
      </w:pPr>
    </w:lvl>
    <w:lvl w:ilvl="1">
      <w:start w:val="1"/>
      <w:numFmt w:val="decimal"/>
      <w:lvlText w:val="Sekcija %1.%2"/>
      <w:lvlJc w:val="left"/>
      <w:pPr>
        <w:tabs>
          <w:tab w:val="num" w:pos="7176"/>
        </w:tabs>
        <w:ind w:left="6096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C4"/>
    <w:rsid w:val="00253825"/>
    <w:rsid w:val="004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94DC24-1817-4838-A989-03EF6D4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3483"/>
      </w:tabs>
      <w:jc w:val="center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176"/>
      </w:tabs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jc w:val="both"/>
      <w:outlineLvl w:val="2"/>
    </w:pPr>
    <w:rPr>
      <w:rFonts w:ascii="Arial" w:hAnsi="Arial" w:cs="Arial"/>
      <w:b/>
      <w:bCs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jc w:val="both"/>
      <w:outlineLvl w:val="3"/>
    </w:pPr>
    <w:rPr>
      <w:rFonts w:ascii="Arial" w:hAnsi="Arial" w:cs="Arial"/>
      <w:b/>
      <w:bCs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rFonts w:ascii="Arial" w:hAnsi="Arial" w:cs="Arial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Numatytasispastraiposriftas4">
    <w:name w:val="Numatytasis pastraipos šriftas4"/>
  </w:style>
  <w:style w:type="character" w:styleId="DefaultParagraphFont0">
    <w:name w:val="Default Paragraph Font"/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eastAsia="Times New Roman"/>
      <w:color w:val="auto"/>
      <w:kern w:val="1"/>
      <w:sz w:val="24"/>
      <w:shd w:val="clear" w:color="auto" w:fill="auto"/>
      <w:lang w:val="lt-LT"/>
    </w:rPr>
  </w:style>
  <w:style w:type="character" w:customStyle="1" w:styleId="WW8Num2z3">
    <w:name w:val="WW8Num2z3"/>
    <w:rPr>
      <w:rFonts w:eastAsia="Times New Roman"/>
      <w:color w:val="auto"/>
      <w:kern w:val="1"/>
      <w:sz w:val="24"/>
      <w:shd w:val="clear" w:color="auto" w:fill="auto"/>
      <w:lang w:val="lt-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PageNumber">
    <w:name w:val="page number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character" w:customStyle="1" w:styleId="Numatytasispastraiposriftas1">
    <w:name w:val="Numatytasis pastraipos šriftas1"/>
  </w:style>
  <w:style w:type="character" w:styleId="Emphasis">
    <w:name w:val="Emphasis"/>
    <w:qFormat/>
    <w:rPr>
      <w:i/>
    </w:rPr>
  </w:style>
  <w:style w:type="character" w:customStyle="1" w:styleId="Numeravimosimboliai">
    <w:name w:val="Numeravimo simboliai"/>
  </w:style>
  <w:style w:type="character" w:customStyle="1" w:styleId="Internetlink">
    <w:name w:val="Internet link"/>
    <w:rPr>
      <w:color w:val="000080"/>
      <w:sz w:val="24"/>
      <w:u w:val="single"/>
    </w:rPr>
  </w:style>
  <w:style w:type="character" w:customStyle="1" w:styleId="Numeravimoenklai">
    <w:name w:val="Numeravimo ženklai"/>
  </w:style>
  <w:style w:type="character" w:customStyle="1" w:styleId="BodyTextChar">
    <w:name w:val="Body Text Char"/>
    <w:basedOn w:val="DefaultParagraphFont0"/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Indent2Char">
    <w:name w:val="Body Text Indent 2 Char"/>
    <w:basedOn w:val="DefaultParagraphFont0"/>
  </w:style>
  <w:style w:type="character" w:customStyle="1" w:styleId="BodyTextIndent3Char">
    <w:name w:val="Body Text Indent 3 Char"/>
    <w:rPr>
      <w:sz w:val="16"/>
      <w:szCs w:val="16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GB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Kadroturinys">
    <w:name w:val="Kadro turinys"/>
    <w:basedOn w:val="BodyText"/>
  </w:style>
  <w:style w:type="paragraph" w:styleId="BodyTextIndent2">
    <w:name w:val="Body Text Indent 2"/>
    <w:basedOn w:val="Normal"/>
    <w:pPr>
      <w:tabs>
        <w:tab w:val="left" w:pos="-120"/>
      </w:tabs>
      <w:ind w:firstLine="720"/>
      <w:jc w:val="both"/>
    </w:pPr>
    <w:rPr>
      <w:b/>
      <w:sz w:val="24"/>
    </w:rPr>
  </w:style>
  <w:style w:type="paragraph" w:styleId="BodyTextIndent3">
    <w:name w:val="Body Text Indent 3"/>
    <w:basedOn w:val="Normal"/>
    <w:pPr>
      <w:tabs>
        <w:tab w:val="left" w:pos="-120"/>
      </w:tabs>
      <w:ind w:firstLine="720"/>
      <w:jc w:val="both"/>
    </w:pPr>
    <w:rPr>
      <w:sz w:val="24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kern w:val="1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Sraas">
    <w:name w:val="Sàraðas"/>
    <w:basedOn w:val="BodyText"/>
  </w:style>
  <w:style w:type="paragraph" w:customStyle="1" w:styleId="Rodykl0">
    <w:name w:val="Rodyklë"/>
    <w:basedOn w:val="Normal"/>
    <w:rPr>
      <w:rFonts w:cs="Mangal"/>
      <w:kern w:val="1"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val="en-GB"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hAnsi="Times New Roman" w:cs="Mangal"/>
      <w:sz w:val="24"/>
      <w:szCs w:val="24"/>
      <w:lang w:val="lt-LT" w:eastAsia="hi-IN" w:bidi="hi-IN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ascii="Times New Roman" w:hAnsi="Times New Roman" w:cs="Mangal"/>
      <w:sz w:val="24"/>
      <w:szCs w:val="24"/>
      <w:lang w:val="lt-LT" w:eastAsia="hi-IN" w:bidi="hi-IN"/>
    </w:r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Betarp">
    <w:name w:val="Be tarpų"/>
    <w:pPr>
      <w:suppressAutoHyphens/>
    </w:pPr>
    <w:rPr>
      <w:lang w:eastAsia="ar-SA"/>
    </w:rPr>
  </w:style>
  <w:style w:type="paragraph" w:customStyle="1" w:styleId="Lentelsturinys0">
    <w:name w:val="Lentelës turinys"/>
    <w:basedOn w:val="Normal"/>
    <w:rPr>
      <w:rFonts w:eastAsia="SimSun" w:cs="Mangal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 MOKINIŲ MAITINIMO PASLAUGŲ PIRKIMO KRITERIJŲ TVIRTINIMO</vt:lpstr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MOKINIŲ MAITINIMO PASLAUGŲ PIRKIMO KRITERIJŲ TVIRTINIMO</dc:title>
  <dc:subject/>
  <dc:creator>Birute Goberiene</dc:creator>
  <cp:keywords/>
  <cp:lastModifiedBy>Daiva Krioviene</cp:lastModifiedBy>
  <cp:revision>2</cp:revision>
  <cp:lastPrinted>2016-06-09T11:41:00Z</cp:lastPrinted>
  <dcterms:created xsi:type="dcterms:W3CDTF">2016-06-28T10:37:00Z</dcterms:created>
  <dcterms:modified xsi:type="dcterms:W3CDTF">2016-06-28T10:37:00Z</dcterms:modified>
</cp:coreProperties>
</file>