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80" w:rsidRDefault="00640BAF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80" w:rsidRPr="00DD4C21" w:rsidRDefault="00566780">
      <w:pPr>
        <w:pStyle w:val="Header"/>
        <w:ind w:firstLine="5245"/>
        <w:jc w:val="center"/>
        <w:rPr>
          <w:b/>
          <w:sz w:val="24"/>
          <w:szCs w:val="24"/>
        </w:rPr>
      </w:pPr>
      <w:r>
        <w:tab/>
      </w:r>
      <w:r w:rsidRPr="00DD4C21">
        <w:rPr>
          <w:b/>
          <w:sz w:val="24"/>
          <w:szCs w:val="24"/>
        </w:rPr>
        <w:t xml:space="preserve">                    </w:t>
      </w:r>
    </w:p>
    <w:p w:rsidR="00566780" w:rsidRDefault="00566780">
      <w:pPr>
        <w:pStyle w:val="Header"/>
        <w:ind w:firstLine="5245"/>
        <w:jc w:val="center"/>
        <w:rPr>
          <w:b/>
          <w:sz w:val="24"/>
          <w:szCs w:val="24"/>
        </w:rPr>
      </w:pPr>
    </w:p>
    <w:p w:rsidR="00566780" w:rsidRDefault="0056678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66780" w:rsidRDefault="00566780" w:rsidP="00DD4C21">
      <w:pPr>
        <w:pStyle w:val="Header"/>
        <w:rPr>
          <w:b/>
          <w:sz w:val="28"/>
        </w:rPr>
      </w:pPr>
    </w:p>
    <w:p w:rsidR="0094520F" w:rsidRDefault="00F11D91" w:rsidP="00DD4C21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F11D91" w:rsidRDefault="00F11D91" w:rsidP="00DD4C21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94520F">
        <w:rPr>
          <w:b/>
          <w:bCs/>
          <w:sz w:val="24"/>
          <w:szCs w:val="24"/>
        </w:rPr>
        <w:t xml:space="preserve">DĖL PANEVĖŽIO RAJONO SAVIVALDYBĖS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Pr="00F11D91"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>
        <w:t xml:space="preserve"> </w:t>
      </w:r>
      <w:r w:rsidRPr="0094520F">
        <w:rPr>
          <w:b/>
          <w:bCs/>
          <w:sz w:val="24"/>
          <w:szCs w:val="24"/>
        </w:rPr>
        <w:t>PATVIRTINIMO</w:t>
      </w:r>
    </w:p>
    <w:p w:rsidR="00F11D91" w:rsidRDefault="00F11D9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DD4C21" w:rsidRPr="00F11D91" w:rsidRDefault="00DD4C2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F11D91" w:rsidRDefault="00F14707" w:rsidP="00F14707">
      <w:pPr>
        <w:pStyle w:val="NormalWeb"/>
        <w:spacing w:before="0" w:beforeAutospacing="0" w:after="0" w:afterAutospacing="0"/>
        <w:ind w:left="1296" w:firstLine="1296"/>
        <w:jc w:val="both"/>
      </w:pPr>
      <w:r>
        <w:t xml:space="preserve">                  </w:t>
      </w:r>
      <w:r w:rsidR="0094520F">
        <w:t>2016 m. kovo</w:t>
      </w:r>
      <w:r w:rsidR="00DD4C21">
        <w:t xml:space="preserve"> 30 </w:t>
      </w:r>
      <w:r w:rsidR="0094520F">
        <w:t>d. Nr. T-</w:t>
      </w:r>
      <w:r w:rsidR="00B46F0D">
        <w:t>47</w:t>
      </w:r>
    </w:p>
    <w:p w:rsidR="00F11D91" w:rsidRDefault="00F14707" w:rsidP="00DC7C7D">
      <w:pPr>
        <w:pStyle w:val="NormalWeb"/>
        <w:spacing w:before="0" w:beforeAutospacing="0" w:after="0" w:afterAutospacing="0"/>
        <w:ind w:left="3888"/>
        <w:jc w:val="both"/>
      </w:pPr>
      <w:r>
        <w:t xml:space="preserve">           </w:t>
      </w:r>
      <w:r w:rsidR="00F11D91">
        <w:t>Panevėžys</w:t>
      </w:r>
    </w:p>
    <w:p w:rsidR="00F11D91" w:rsidRPr="009661EC" w:rsidRDefault="00F11D91" w:rsidP="00DD4C21">
      <w:pPr>
        <w:pStyle w:val="NormalWeb"/>
        <w:spacing w:before="0" w:beforeAutospacing="0" w:after="0" w:afterAutospacing="0"/>
        <w:ind w:firstLine="1296"/>
        <w:jc w:val="center"/>
        <w:rPr>
          <w:bCs/>
          <w:color w:val="000000"/>
        </w:rPr>
      </w:pPr>
    </w:p>
    <w:p w:rsidR="00F11D91" w:rsidRPr="009661EC" w:rsidRDefault="00F11D91" w:rsidP="009661EC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</w:p>
    <w:p w:rsidR="0094520F" w:rsidRPr="009661EC" w:rsidRDefault="0094520F" w:rsidP="00134809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  <w:r w:rsidRPr="009661EC">
        <w:rPr>
          <w:bCs/>
          <w:color w:val="000000"/>
        </w:rPr>
        <w:t>Vadovaudamasi Lietuvos Respublikos vietos savivaldos įstatymo</w:t>
      </w:r>
      <w:r w:rsidR="00EB37A6" w:rsidRPr="009661EC">
        <w:rPr>
          <w:bCs/>
          <w:color w:val="000000"/>
        </w:rPr>
        <w:t xml:space="preserve"> </w:t>
      </w:r>
      <w:r w:rsidR="009661EC" w:rsidRPr="009661EC">
        <w:rPr>
          <w:bCs/>
          <w:color w:val="000000"/>
        </w:rPr>
        <w:t>6 straipsnio 22 ir</w:t>
      </w:r>
      <w:proofErr w:type="gramStart"/>
      <w:r w:rsidR="009661EC" w:rsidRPr="009661EC">
        <w:rPr>
          <w:bCs/>
          <w:color w:val="000000"/>
        </w:rPr>
        <w:t xml:space="preserve"> </w:t>
      </w:r>
      <w:r w:rsidR="00134809">
        <w:rPr>
          <w:bCs/>
          <w:color w:val="000000"/>
        </w:rPr>
        <w:t xml:space="preserve">                  </w:t>
      </w:r>
      <w:proofErr w:type="gramEnd"/>
      <w:r w:rsidR="00EB37A6" w:rsidRPr="009661EC">
        <w:rPr>
          <w:bCs/>
          <w:color w:val="000000"/>
        </w:rPr>
        <w:t>32 punktais, Lietuvos Respublikos Vyriausybės 2005 m. balandžio 21 d. nutarimu Nr. 447 „Dėl Lietuvos Respublikos kelių priežiūros ir plėtros programos finansavimo įstatymo įgyvendinimo“</w:t>
      </w:r>
      <w:r w:rsidRPr="009661EC">
        <w:rPr>
          <w:bCs/>
          <w:color w:val="000000"/>
        </w:rPr>
        <w:t xml:space="preserve">, </w:t>
      </w:r>
      <w:r w:rsidR="00EF6DDD" w:rsidRPr="009661EC">
        <w:rPr>
          <w:bCs/>
          <w:color w:val="000000"/>
        </w:rPr>
        <w:t>Lietuvos automobilių kelių direkcijos prie Susisiekimo ministerijos direktorius 2016 m. vasario 1 d. įsakymu Nr. V-102 „Dėl Kelių priežiūros ir plėtros programos lėšų vietinės reikšmės keliams (gatvėms) tiesti, rekonstruoti, taisyti (remontuoti), prižiūrėti ir saugaus eismo sąlygoms užtikrinti paskirstymo savivaldybėms 2016 metais“,</w:t>
      </w:r>
      <w:r w:rsidR="0040116F" w:rsidRPr="009661EC">
        <w:rPr>
          <w:bCs/>
          <w:color w:val="000000"/>
        </w:rPr>
        <w:t xml:space="preserve"> </w:t>
      </w:r>
      <w:r w:rsidR="00DD4C21" w:rsidRPr="009661EC">
        <w:rPr>
          <w:bCs/>
          <w:color w:val="000000"/>
        </w:rPr>
        <w:t>Kelių priežiūros ir plėtros programos lėšų, skirtų savivaldybės vietinės reikšmės keliams ir gatvėms tiesti, rekonstruoti, taisyti (remontuoti), prižiūrėti ir saugaus eismo sąlygoms užtikrinti, naudo</w:t>
      </w:r>
      <w:r w:rsidR="00DD4C21">
        <w:rPr>
          <w:bCs/>
          <w:color w:val="000000"/>
        </w:rPr>
        <w:t>jimo ir skirstymo tvarkos aprašu, patvirtintu</w:t>
      </w:r>
      <w:r w:rsidR="00DD4C21" w:rsidRPr="009661EC">
        <w:rPr>
          <w:bCs/>
          <w:color w:val="000000"/>
        </w:rPr>
        <w:t xml:space="preserve"> </w:t>
      </w:r>
      <w:r w:rsidR="0040116F" w:rsidRPr="009661EC">
        <w:rPr>
          <w:bCs/>
          <w:color w:val="000000"/>
        </w:rPr>
        <w:t>Panevėžio rajono savivaldybės tarybos 2015 m. gruodžio 21 d. sprendimu Nr. T-258 „</w:t>
      </w:r>
      <w:r w:rsidR="009661EC" w:rsidRPr="009661EC">
        <w:rPr>
          <w:bCs/>
          <w:color w:val="000000"/>
        </w:rPr>
        <w:t>Dėl 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="00FA0EBA">
        <w:rPr>
          <w:bCs/>
          <w:color w:val="000000"/>
        </w:rPr>
        <w:t>“</w:t>
      </w:r>
      <w:r w:rsidR="00DD4C21">
        <w:rPr>
          <w:bCs/>
          <w:color w:val="000000"/>
        </w:rPr>
        <w:t xml:space="preserve"> </w:t>
      </w:r>
      <w:r w:rsidR="009661EC" w:rsidRPr="009661EC">
        <w:rPr>
          <w:bCs/>
          <w:color w:val="000000"/>
        </w:rPr>
        <w:t xml:space="preserve">, </w:t>
      </w:r>
      <w:r w:rsidRPr="009661EC">
        <w:rPr>
          <w:bCs/>
          <w:color w:val="000000"/>
        </w:rPr>
        <w:t>Panevėžio rajono savivaldybės taryba n u s p r e n d ž i a:</w:t>
      </w:r>
    </w:p>
    <w:p w:rsidR="0094520F" w:rsidRDefault="0094520F" w:rsidP="00F11D91">
      <w:pPr>
        <w:pStyle w:val="NormalWeb"/>
        <w:spacing w:before="0" w:beforeAutospacing="0" w:after="0" w:afterAutospacing="0"/>
        <w:ind w:firstLine="1296"/>
        <w:jc w:val="both"/>
      </w:pPr>
      <w:r w:rsidRPr="00F11D91">
        <w:t xml:space="preserve">Patvirtinti Panevėžio rajono savivaldybės </w:t>
      </w:r>
      <w:r w:rsidR="00F11D91" w:rsidRPr="00F11D91">
        <w:rPr>
          <w:bCs/>
          <w:color w:val="000000"/>
        </w:rPr>
        <w:t xml:space="preserve">Kelių priežiūros ir plėtros programos lėšomis finansuojamų vietinės reikšmės kelių (gatvių) tiesimo, rekonstravimo, taisymo (remonto), priežiūros ir saugaus eismo sąlygų užtikrinimo 2016 metais objektų sąrašą </w:t>
      </w:r>
      <w:r w:rsidRPr="00F11D91">
        <w:t>(pridedama).</w:t>
      </w: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B46F0D" w:rsidRDefault="00B46F0D" w:rsidP="00B46F0D">
      <w:pPr>
        <w:pStyle w:val="NormalWeb"/>
        <w:spacing w:before="0" w:beforeAutospacing="0" w:after="0" w:afterAutospacing="0"/>
        <w:jc w:val="both"/>
      </w:pPr>
    </w:p>
    <w:p w:rsidR="00B46F0D" w:rsidRPr="00F11D91" w:rsidRDefault="00B46F0D" w:rsidP="00B46F0D">
      <w:pPr>
        <w:pStyle w:val="NormalWeb"/>
        <w:spacing w:before="0" w:beforeAutospacing="0" w:after="0" w:afterAutospacing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94520F" w:rsidRDefault="0094520F" w:rsidP="00F11D91">
      <w:pPr>
        <w:pStyle w:val="NormalWeb"/>
        <w:spacing w:before="0" w:beforeAutospacing="0"/>
      </w:pPr>
    </w:p>
    <w:p w:rsidR="00566780" w:rsidRDefault="00566780">
      <w:pPr>
        <w:jc w:val="both"/>
        <w:rPr>
          <w:color w:val="000000"/>
          <w:sz w:val="28"/>
        </w:rPr>
      </w:pPr>
    </w:p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94520F" w:rsidRDefault="0094520F" w:rsidP="009661EC"/>
    <w:p w:rsidR="0094520F" w:rsidRDefault="0094520F">
      <w:pPr>
        <w:jc w:val="both"/>
      </w:pPr>
    </w:p>
    <w:p w:rsidR="0094520F" w:rsidRDefault="0094520F">
      <w:pPr>
        <w:jc w:val="both"/>
      </w:pPr>
    </w:p>
    <w:p w:rsidR="0094520F" w:rsidRDefault="0094520F">
      <w:pPr>
        <w:jc w:val="both"/>
      </w:pPr>
    </w:p>
    <w:p w:rsidR="00B46F0D" w:rsidRDefault="00B46F0D">
      <w:pPr>
        <w:jc w:val="both"/>
      </w:pPr>
    </w:p>
    <w:p w:rsidR="0094520F" w:rsidRPr="0094520F" w:rsidRDefault="000C0FAF" w:rsidP="0094520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94520F" w:rsidRPr="0094520F">
        <w:rPr>
          <w:sz w:val="24"/>
          <w:szCs w:val="24"/>
        </w:rPr>
        <w:t>PATVIRTINTA</w:t>
      </w:r>
    </w:p>
    <w:p w:rsidR="0094520F" w:rsidRPr="0094520F" w:rsidRDefault="0094520F" w:rsidP="009452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C21">
        <w:rPr>
          <w:sz w:val="24"/>
          <w:szCs w:val="24"/>
        </w:rPr>
        <w:t>Panevėžio rajono</w:t>
      </w:r>
      <w:r w:rsidRPr="0094520F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20F">
        <w:rPr>
          <w:sz w:val="24"/>
          <w:szCs w:val="24"/>
        </w:rPr>
        <w:t>2016 m. kovo</w:t>
      </w:r>
      <w:r w:rsidR="00DD4C21">
        <w:rPr>
          <w:sz w:val="24"/>
          <w:szCs w:val="24"/>
        </w:rPr>
        <w:t xml:space="preserve"> 30 </w:t>
      </w:r>
      <w:r w:rsidRPr="0094520F">
        <w:rPr>
          <w:sz w:val="24"/>
          <w:szCs w:val="24"/>
        </w:rPr>
        <w:t>d. sprendimu Nr. T-</w:t>
      </w:r>
      <w:r w:rsidR="00B46F0D">
        <w:rPr>
          <w:sz w:val="24"/>
          <w:szCs w:val="24"/>
        </w:rPr>
        <w:t>47</w:t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</w:p>
    <w:p w:rsidR="0094520F" w:rsidRPr="0094520F" w:rsidRDefault="0094520F" w:rsidP="0094520F">
      <w:pPr>
        <w:rPr>
          <w:sz w:val="24"/>
          <w:szCs w:val="24"/>
        </w:rPr>
      </w:pPr>
    </w:p>
    <w:tbl>
      <w:tblPr>
        <w:tblW w:w="9980" w:type="dxa"/>
        <w:tblInd w:w="108" w:type="dxa"/>
        <w:tblLook w:val="04A0"/>
      </w:tblPr>
      <w:tblGrid>
        <w:gridCol w:w="9980"/>
      </w:tblGrid>
      <w:tr w:rsidR="0094520F" w:rsidRPr="00F3559B" w:rsidTr="00320398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20F" w:rsidRPr="00F3559B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</w:pP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94520F" w:rsidRPr="00F3559B" w:rsidTr="00320398">
        <w:trPr>
          <w:trHeight w:val="968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20F" w:rsidRPr="00F3559B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</w:pP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KELIŲ PRIEŽIŪROS IR PLĖTROS PROGRAMOS LĖŠOMIS FINANSUOJAMŲ VIETINĖS RE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 xml:space="preserve">IKŠMĖS KELIŲ (GATVIŲ) TIESIMO, </w:t>
            </w: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REKONSTRAVIMO, TAISYMO (REMONTO), PRIEŽIŪROS IR SAUGAUS EISMO SĄLYGŲ UŽTIKRINIMO</w:t>
            </w:r>
            <w:proofErr w:type="gramStart"/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 xml:space="preserve">                                                </w:t>
            </w:r>
            <w:proofErr w:type="gramEnd"/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2016 METAIS OBJEKTŲ SĄRAŠAS</w:t>
            </w:r>
          </w:p>
        </w:tc>
      </w:tr>
    </w:tbl>
    <w:p w:rsidR="0094520F" w:rsidRDefault="0094520F" w:rsidP="0094520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1134"/>
        <w:gridCol w:w="1417"/>
      </w:tblGrid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Plotis</w:t>
            </w:r>
          </w:p>
        </w:tc>
      </w:tr>
      <w:tr w:rsidR="00320398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Kapitalui formuoti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Karsakiškio sen. kelio KAR-116 Tiltagaliai–Vepai 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>(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Palaukių k. </w:t>
            </w:r>
            <w:proofErr w:type="spellStart"/>
            <w:r w:rsidRPr="00320398">
              <w:rPr>
                <w:kern w:val="0"/>
                <w:sz w:val="24"/>
                <w:szCs w:val="24"/>
                <w:lang w:eastAsia="lt-LT"/>
              </w:rPr>
              <w:t>Rūdupio</w:t>
            </w:r>
            <w:proofErr w:type="spellEnd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g.)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DD4C21" w:rsidP="00DD4C21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565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DD4C21" w:rsidP="00DD4C21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3,5 m</w:t>
            </w:r>
          </w:p>
        </w:tc>
      </w:tr>
      <w:tr w:rsidR="00320398" w:rsidRPr="00320398" w:rsidTr="00BC5841">
        <w:trPr>
          <w:trHeight w:val="326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Miežiškių sen. Nevėžio k. Pamiškės g. MIE-100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E013A3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3945EC">
              <w:rPr>
                <w:kern w:val="0"/>
                <w:sz w:val="24"/>
                <w:szCs w:val="24"/>
                <w:lang w:eastAsia="lt-LT"/>
              </w:rPr>
              <w:t>120 m</w:t>
            </w:r>
            <w:r w:rsidR="0023460D">
              <w:rPr>
                <w:kern w:val="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Naujamiesčio sen. Naujamiesčio mstl. Dariaus ir Girėno g. NAU-3007 šaligatvio remontas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92779D" w:rsidP="0092779D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 613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EA3674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1,4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Naujamiesčio sen. Naujamiesčio mstl. Ramiosios g. NAU-82 kapitalinio remonto projekto parengimas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133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Paįstrio sen. kelio PAI-37 Šeškai–Pakuodžiupiai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200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D279D2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Panevėžio sen. Molainių k. </w:t>
            </w:r>
            <w:r w:rsidR="00D279D2">
              <w:rPr>
                <w:kern w:val="0"/>
                <w:sz w:val="24"/>
                <w:szCs w:val="24"/>
                <w:lang w:eastAsia="lt-LT"/>
              </w:rPr>
              <w:t>Dvaro g. PAN-158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D279D2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587</w:t>
            </w:r>
            <w:r w:rsidR="00DD4C21">
              <w:rPr>
                <w:kern w:val="0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DD4C21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Raguvos sen.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 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>Raguvos mstl. Dariaus ir Girėno g.  RAG-4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AF361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95</w:t>
            </w:r>
            <w:r w:rsidR="007C71F4">
              <w:rPr>
                <w:kern w:val="0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352C93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Ramygalos sen. Ramygalos m. Dariaus ir Girėno g. RAM-37 šaligatvio remontas</w:t>
            </w:r>
          </w:p>
        </w:tc>
        <w:tc>
          <w:tcPr>
            <w:tcW w:w="1134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700 m</w:t>
            </w:r>
          </w:p>
        </w:tc>
        <w:tc>
          <w:tcPr>
            <w:tcW w:w="1417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1,5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Upytės sen. Upytės k. Ėriškių g.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UPY-27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 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>šaligatvio, pėsčiųjų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ir 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>dviračių tako statyba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293,6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Vadoklių sen. Jotainių k. kelio VAD-100 kelias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Nr. 3017–Naujasodės g.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180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Velžio sen. Velžio k. Saulėtekio g. VEL-148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339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3,5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Velžio sen. Velžio k. Vyturio g. VEL-151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155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Velžio sen. Dembavos k. Šiltnamių g. VEL-35 asfaltavimas</w:t>
            </w:r>
          </w:p>
        </w:tc>
        <w:tc>
          <w:tcPr>
            <w:tcW w:w="1134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427 m</w:t>
            </w:r>
          </w:p>
        </w:tc>
        <w:tc>
          <w:tcPr>
            <w:tcW w:w="1417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kapitalui formuoti: 730,1 tūkst. Eur</w:t>
            </w:r>
          </w:p>
        </w:tc>
      </w:tr>
      <w:tr w:rsidR="001C02FA" w:rsidRPr="00320398" w:rsidTr="00320398">
        <w:trPr>
          <w:trHeight w:val="289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A04AFE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</w:t>
            </w:r>
            <w:r w:rsidR="00A04AFE">
              <w:rPr>
                <w:kern w:val="0"/>
                <w:sz w:val="24"/>
                <w:szCs w:val="24"/>
                <w:lang w:eastAsia="lt-LT"/>
              </w:rPr>
              <w:t>4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DC7C7D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Panevėžio rajono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</w:t>
            </w:r>
            <w:proofErr w:type="spellStart"/>
            <w:r w:rsidRPr="00320398">
              <w:rPr>
                <w:kern w:val="0"/>
                <w:sz w:val="24"/>
                <w:szCs w:val="24"/>
                <w:lang w:eastAsia="lt-LT"/>
              </w:rPr>
              <w:t>greideriavimas</w:t>
            </w:r>
            <w:proofErr w:type="spellEnd"/>
            <w:r>
              <w:rPr>
                <w:kern w:val="0"/>
                <w:sz w:val="24"/>
                <w:szCs w:val="24"/>
                <w:lang w:eastAsia="lt-LT"/>
              </w:rPr>
              <w:t xml:space="preserve">, </w:t>
            </w:r>
            <w:r w:rsidR="00580C92">
              <w:rPr>
                <w:kern w:val="0"/>
                <w:sz w:val="24"/>
                <w:szCs w:val="24"/>
                <w:lang w:eastAsia="lt-LT"/>
              </w:rPr>
              <w:t>sniego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valymas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1 703,12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km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A04AFE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15</w:t>
            </w:r>
            <w:r w:rsidR="001C02FA"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Panevėžio rajono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žvyravimas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>240,9 km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A04AFE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16</w:t>
            </w:r>
            <w:r w:rsidR="001C02FA"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Panevėžio r</w:t>
            </w:r>
            <w:r>
              <w:rPr>
                <w:kern w:val="0"/>
                <w:sz w:val="24"/>
                <w:szCs w:val="24"/>
                <w:lang w:eastAsia="lt-LT"/>
              </w:rPr>
              <w:t>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asfalto dangų </w:t>
            </w:r>
            <w:proofErr w:type="spellStart"/>
            <w:r w:rsidRPr="00320398">
              <w:rPr>
                <w:kern w:val="0"/>
                <w:sz w:val="24"/>
                <w:szCs w:val="24"/>
                <w:lang w:eastAsia="lt-LT"/>
              </w:rPr>
              <w:t>išdaužų</w:t>
            </w:r>
            <w:proofErr w:type="spellEnd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taisymas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257,5 km</w:t>
            </w:r>
          </w:p>
        </w:tc>
      </w:tr>
      <w:tr w:rsidR="001C02FA" w:rsidRPr="00320398" w:rsidTr="00EC42EC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A04AFE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17</w:t>
            </w:r>
            <w:r w:rsidR="001C02FA"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Kelio ženklų, ženklinimo įrengimas</w:t>
            </w:r>
            <w:r w:rsidR="00287596">
              <w:rPr>
                <w:kern w:val="0"/>
                <w:sz w:val="24"/>
                <w:szCs w:val="24"/>
                <w:lang w:eastAsia="lt-LT"/>
              </w:rPr>
              <w:t xml:space="preserve"> ir priežiūra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8B04A3" w:rsidP="008B04A3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250 vnt.</w:t>
            </w:r>
          </w:p>
        </w:tc>
      </w:tr>
      <w:tr w:rsidR="001C02FA" w:rsidRPr="00320398" w:rsidTr="00EC42EC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A04AFE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18</w:t>
            </w:r>
            <w:r w:rsidR="001C02FA"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Kre</w:t>
            </w:r>
            <w:r w:rsidR="00287596">
              <w:rPr>
                <w:kern w:val="0"/>
                <w:sz w:val="24"/>
                <w:szCs w:val="24"/>
                <w:lang w:eastAsia="lt-LT"/>
              </w:rPr>
              <w:t>kenavos, Miežiškių, Smilgių mstl.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šaligatvių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750 m²</w:t>
            </w:r>
          </w:p>
        </w:tc>
      </w:tr>
      <w:tr w:rsidR="001C02FA" w:rsidRPr="00320398" w:rsidTr="00893912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A04AFE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19</w:t>
            </w:r>
            <w:r w:rsidR="001C02FA" w:rsidRPr="00320398">
              <w:rPr>
                <w:kern w:val="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02FA" w:rsidRPr="00580C92" w:rsidRDefault="001C02FA" w:rsidP="00453631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580C92">
              <w:rPr>
                <w:kern w:val="0"/>
                <w:sz w:val="24"/>
                <w:szCs w:val="24"/>
                <w:lang w:eastAsia="lt-LT"/>
              </w:rPr>
              <w:t xml:space="preserve">Upytės sen.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 xml:space="preserve">Ėriškių k. Ėriškių g. UPY-74 ir Upytės k. kelio </w:t>
            </w:r>
            <w:r w:rsidR="00453631">
              <w:rPr>
                <w:kern w:val="0"/>
                <w:sz w:val="24"/>
                <w:szCs w:val="24"/>
                <w:lang w:eastAsia="lt-LT"/>
              </w:rPr>
              <w:br/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UPY-46 Ėriškių g.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–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dvarvietės sodyba Nr. 18</w:t>
            </w:r>
            <w:r w:rsidRPr="00580C92">
              <w:rPr>
                <w:kern w:val="0"/>
                <w:sz w:val="24"/>
                <w:szCs w:val="24"/>
                <w:lang w:eastAsia="lt-LT"/>
              </w:rPr>
              <w:t xml:space="preserve">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857 m² 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einamiesiems tikslams: 730,0 tūkst. Eur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Kelių priežiūros ir plėtros programos lėšų: 1</w:t>
            </w:r>
            <w:r>
              <w:rPr>
                <w:b/>
                <w:kern w:val="0"/>
                <w:sz w:val="24"/>
                <w:szCs w:val="24"/>
                <w:lang w:eastAsia="lt-LT"/>
              </w:rPr>
              <w:t xml:space="preserve"> </w:t>
            </w: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460,1 tūkst. Eur</w:t>
            </w:r>
          </w:p>
        </w:tc>
      </w:tr>
      <w:tr w:rsidR="001C02FA" w:rsidRPr="00320398" w:rsidTr="00320398">
        <w:trPr>
          <w:trHeight w:val="319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Iš jų ne mažiau kaip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5 proc. eismo saugumo priemonėms: 73,0 tūkst. Eur</w:t>
            </w:r>
          </w:p>
        </w:tc>
      </w:tr>
    </w:tbl>
    <w:p w:rsidR="00DD4C21" w:rsidRPr="001C02FA" w:rsidRDefault="0094520F" w:rsidP="00580C92">
      <w:pPr>
        <w:suppressAutoHyphens w:val="0"/>
        <w:jc w:val="center"/>
        <w:rPr>
          <w:kern w:val="0"/>
          <w:lang w:eastAsia="lt-LT"/>
        </w:rPr>
      </w:pPr>
      <w:r>
        <w:rPr>
          <w:kern w:val="0"/>
          <w:lang w:eastAsia="lt-LT"/>
        </w:rPr>
        <w:t>___________________</w:t>
      </w:r>
    </w:p>
    <w:sectPr w:rsidR="00DD4C21" w:rsidRPr="001C02FA" w:rsidSect="00745891">
      <w:headerReference w:type="default" r:id="rId8"/>
      <w:footerReference w:type="default" r:id="rId9"/>
      <w:pgSz w:w="11906" w:h="16838"/>
      <w:pgMar w:top="1191" w:right="567" w:bottom="1134" w:left="1701" w:header="1134" w:footer="567" w:gutter="0"/>
      <w:cols w:space="1296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2C" w:rsidRDefault="003B212C">
      <w:r>
        <w:separator/>
      </w:r>
    </w:p>
  </w:endnote>
  <w:endnote w:type="continuationSeparator" w:id="0">
    <w:p w:rsidR="003B212C" w:rsidRDefault="003B2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80" w:rsidRDefault="0056678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2C" w:rsidRDefault="003B212C">
      <w:r>
        <w:separator/>
      </w:r>
    </w:p>
  </w:footnote>
  <w:footnote w:type="continuationSeparator" w:id="0">
    <w:p w:rsidR="003B212C" w:rsidRDefault="003B2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1" w:rsidRDefault="00745891">
    <w:pPr>
      <w:pStyle w:val="Header"/>
      <w:jc w:val="center"/>
    </w:pPr>
  </w:p>
  <w:p w:rsidR="00566780" w:rsidRDefault="00566780">
    <w:pPr>
      <w:pStyle w:val="BodyText"/>
      <w:spacing w:after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D5AE2"/>
    <w:rsid w:val="00000AFE"/>
    <w:rsid w:val="000C0FAF"/>
    <w:rsid w:val="000F7419"/>
    <w:rsid w:val="00134809"/>
    <w:rsid w:val="001510E2"/>
    <w:rsid w:val="001A1503"/>
    <w:rsid w:val="001C02FA"/>
    <w:rsid w:val="001D605F"/>
    <w:rsid w:val="0022570D"/>
    <w:rsid w:val="00230AAD"/>
    <w:rsid w:val="0023460D"/>
    <w:rsid w:val="00287596"/>
    <w:rsid w:val="00320398"/>
    <w:rsid w:val="00320E05"/>
    <w:rsid w:val="00352C93"/>
    <w:rsid w:val="003945EC"/>
    <w:rsid w:val="003B212C"/>
    <w:rsid w:val="003F6B49"/>
    <w:rsid w:val="0040116F"/>
    <w:rsid w:val="00453631"/>
    <w:rsid w:val="0048461D"/>
    <w:rsid w:val="0048644E"/>
    <w:rsid w:val="0049438C"/>
    <w:rsid w:val="0051445A"/>
    <w:rsid w:val="0053338B"/>
    <w:rsid w:val="00566780"/>
    <w:rsid w:val="00580C92"/>
    <w:rsid w:val="005D1D80"/>
    <w:rsid w:val="006145BA"/>
    <w:rsid w:val="00616E86"/>
    <w:rsid w:val="00640BAF"/>
    <w:rsid w:val="006D5AE2"/>
    <w:rsid w:val="00734AF6"/>
    <w:rsid w:val="00745891"/>
    <w:rsid w:val="00764927"/>
    <w:rsid w:val="007C71F4"/>
    <w:rsid w:val="00893912"/>
    <w:rsid w:val="008B04A3"/>
    <w:rsid w:val="0092779D"/>
    <w:rsid w:val="0094520F"/>
    <w:rsid w:val="009661EC"/>
    <w:rsid w:val="009B633B"/>
    <w:rsid w:val="009C30D3"/>
    <w:rsid w:val="009E51EE"/>
    <w:rsid w:val="009E5A6C"/>
    <w:rsid w:val="00A04AFE"/>
    <w:rsid w:val="00A17257"/>
    <w:rsid w:val="00A94D1A"/>
    <w:rsid w:val="00AB2FB3"/>
    <w:rsid w:val="00AF2BF4"/>
    <w:rsid w:val="00AF361A"/>
    <w:rsid w:val="00AF5A96"/>
    <w:rsid w:val="00B46F0D"/>
    <w:rsid w:val="00BC5841"/>
    <w:rsid w:val="00BD1FA0"/>
    <w:rsid w:val="00C0456D"/>
    <w:rsid w:val="00C06F23"/>
    <w:rsid w:val="00C14E22"/>
    <w:rsid w:val="00C51AE8"/>
    <w:rsid w:val="00CA416E"/>
    <w:rsid w:val="00CD071E"/>
    <w:rsid w:val="00CF55FE"/>
    <w:rsid w:val="00D279D2"/>
    <w:rsid w:val="00DA3195"/>
    <w:rsid w:val="00DC7C7D"/>
    <w:rsid w:val="00DD4C21"/>
    <w:rsid w:val="00E013A3"/>
    <w:rsid w:val="00E55184"/>
    <w:rsid w:val="00E5609D"/>
    <w:rsid w:val="00EA3674"/>
    <w:rsid w:val="00EA5734"/>
    <w:rsid w:val="00EB37A6"/>
    <w:rsid w:val="00EC42EC"/>
    <w:rsid w:val="00EC4F8F"/>
    <w:rsid w:val="00EF12D5"/>
    <w:rsid w:val="00EF6DDD"/>
    <w:rsid w:val="00F11D91"/>
    <w:rsid w:val="00F14707"/>
    <w:rsid w:val="00F53793"/>
    <w:rsid w:val="00FA0EBA"/>
    <w:rsid w:val="00FD1380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05"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320E05"/>
  </w:style>
  <w:style w:type="character" w:customStyle="1" w:styleId="Raminta">
    <w:name w:val="Raminta"/>
    <w:rsid w:val="00320E05"/>
    <w:rPr>
      <w:color w:val="000000"/>
    </w:rPr>
  </w:style>
  <w:style w:type="character" w:customStyle="1" w:styleId="BalloonTextChar">
    <w:name w:val="Balloon Text Char"/>
    <w:rsid w:val="00320E0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320E05"/>
    <w:rPr>
      <w:kern w:val="1"/>
    </w:rPr>
  </w:style>
  <w:style w:type="character" w:customStyle="1" w:styleId="HeaderChar">
    <w:name w:val="Header Char"/>
    <w:rsid w:val="00320E05"/>
    <w:rPr>
      <w:kern w:val="1"/>
    </w:rPr>
  </w:style>
  <w:style w:type="character" w:customStyle="1" w:styleId="FooterChar">
    <w:name w:val="Footer Char"/>
    <w:rsid w:val="00320E05"/>
  </w:style>
  <w:style w:type="character" w:customStyle="1" w:styleId="ListLabel1">
    <w:name w:val="ListLabel 1"/>
    <w:rsid w:val="00320E05"/>
    <w:rPr>
      <w:rFonts w:eastAsia="Times New Roman" w:cs="TimesNewRomanPS-BoldMT"/>
    </w:rPr>
  </w:style>
  <w:style w:type="character" w:customStyle="1" w:styleId="ListLabel2">
    <w:name w:val="ListLabel 2"/>
    <w:rsid w:val="00320E05"/>
    <w:rPr>
      <w:rFonts w:cs="Courier New"/>
    </w:rPr>
  </w:style>
  <w:style w:type="character" w:customStyle="1" w:styleId="ListLabel3">
    <w:name w:val="ListLabel 3"/>
    <w:rsid w:val="00320E05"/>
    <w:rPr>
      <w:color w:val="000000"/>
    </w:rPr>
  </w:style>
  <w:style w:type="paragraph" w:customStyle="1" w:styleId="Heading">
    <w:name w:val="Heading"/>
    <w:basedOn w:val="Normal"/>
    <w:next w:val="BodyText"/>
    <w:rsid w:val="00320E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320E05"/>
    <w:pPr>
      <w:spacing w:after="120"/>
    </w:pPr>
  </w:style>
  <w:style w:type="paragraph" w:styleId="List">
    <w:name w:val="List"/>
    <w:basedOn w:val="BodyText"/>
    <w:rsid w:val="00320E05"/>
    <w:rPr>
      <w:rFonts w:cs="Mangal"/>
    </w:rPr>
  </w:style>
  <w:style w:type="paragraph" w:customStyle="1" w:styleId="Caption1">
    <w:name w:val="Caption1"/>
    <w:basedOn w:val="Normal"/>
    <w:rsid w:val="00320E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20E05"/>
    <w:pPr>
      <w:suppressLineNumbers/>
    </w:pPr>
    <w:rPr>
      <w:rFonts w:cs="Mangal"/>
    </w:rPr>
  </w:style>
  <w:style w:type="paragraph" w:customStyle="1" w:styleId="standard">
    <w:name w:val="standard"/>
    <w:basedOn w:val="Normal"/>
    <w:rsid w:val="00320E05"/>
    <w:rPr>
      <w:color w:val="000000"/>
      <w:sz w:val="24"/>
      <w:szCs w:val="24"/>
    </w:rPr>
  </w:style>
  <w:style w:type="paragraph" w:customStyle="1" w:styleId="BalloonText1">
    <w:name w:val="Balloon Text1"/>
    <w:basedOn w:val="Normal"/>
    <w:rsid w:val="00320E05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1"/>
    <w:uiPriority w:val="99"/>
    <w:rsid w:val="00320E05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320E05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rsid w:val="00320E05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94520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lt-LT"/>
    </w:rPr>
  </w:style>
  <w:style w:type="table" w:styleId="TableGrid">
    <w:name w:val="Table Grid"/>
    <w:basedOn w:val="TableNormal"/>
    <w:rsid w:val="0094520F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ink w:val="Header"/>
    <w:uiPriority w:val="99"/>
    <w:rsid w:val="00745891"/>
    <w:rPr>
      <w:kern w:val="1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C71F4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7C71F4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BodyTextChar1">
    <w:name w:val="Body Text Char1"/>
    <w:link w:val="BodyText"/>
    <w:rsid w:val="009661EC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E2C6-A5FF-4BDC-B814-ECC5F87E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Hewlett-Packard Company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2016-03-18T11:45:00Z</cp:lastPrinted>
  <dcterms:created xsi:type="dcterms:W3CDTF">2016-03-30T12:13:00Z</dcterms:created>
  <dcterms:modified xsi:type="dcterms:W3CDTF">2016-03-30T12:13:00Z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raj. sav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