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C0449A">
      <w:pPr>
        <w:spacing w:before="120" w:line="200" w:lineRule="atLeast"/>
        <w:jc w:val="center"/>
        <w:rPr>
          <w:sz w:val="24"/>
          <w:szCs w:val="24"/>
        </w:rPr>
      </w:pPr>
      <w:bookmarkStart w:id="0" w:name="_GoBack"/>
      <w:bookmarkEnd w:id="0"/>
      <w:r>
        <w:rPr>
          <w:b/>
          <w:bCs/>
          <w:sz w:val="24"/>
          <w:szCs w:val="24"/>
        </w:rPr>
        <w:t xml:space="preserve">DĖL </w:t>
      </w:r>
      <w:r>
        <w:rPr>
          <w:rFonts w:cs="font336"/>
          <w:b/>
          <w:kern w:val="1"/>
          <w:sz w:val="24"/>
          <w:szCs w:val="24"/>
        </w:rPr>
        <w:t>VAIKŲ IR MOKINIŲ MAITINIMO KAŠTŲ</w:t>
      </w:r>
      <w:r>
        <w:rPr>
          <w:b/>
          <w:kern w:val="1"/>
          <w:sz w:val="24"/>
          <w:szCs w:val="24"/>
        </w:rPr>
        <w:t xml:space="preserve"> KOMPENSAVIMO TVARKOS APRAŠO PATVIRTINIMO</w:t>
      </w:r>
    </w:p>
    <w:p w:rsidR="00000000" w:rsidRDefault="00C0449A">
      <w:pPr>
        <w:spacing w:line="200" w:lineRule="atLeast"/>
        <w:jc w:val="both"/>
        <w:rPr>
          <w:sz w:val="24"/>
          <w:szCs w:val="24"/>
        </w:rPr>
      </w:pPr>
    </w:p>
    <w:p w:rsidR="00000000" w:rsidRDefault="00C0449A">
      <w:pPr>
        <w:jc w:val="center"/>
        <w:rPr>
          <w:sz w:val="24"/>
        </w:rPr>
      </w:pPr>
      <w:r>
        <w:rPr>
          <w:sz w:val="24"/>
        </w:rPr>
        <w:t>2016 m. kovo 30 d. Nr. T-50</w:t>
      </w:r>
    </w:p>
    <w:p w:rsidR="00000000" w:rsidRDefault="00C0449A">
      <w:pPr>
        <w:jc w:val="center"/>
        <w:rPr>
          <w:sz w:val="24"/>
        </w:rPr>
      </w:pPr>
      <w:r>
        <w:rPr>
          <w:sz w:val="24"/>
        </w:rPr>
        <w:t xml:space="preserve">Panevėžys </w:t>
      </w:r>
    </w:p>
    <w:p w:rsidR="00000000" w:rsidRDefault="00C0449A">
      <w:pPr>
        <w:rPr>
          <w:sz w:val="24"/>
        </w:rPr>
      </w:pPr>
    </w:p>
    <w:p w:rsidR="00000000" w:rsidRDefault="00C0449A">
      <w:pPr>
        <w:pStyle w:val="NormalWeb"/>
        <w:tabs>
          <w:tab w:val="left" w:pos="704"/>
        </w:tabs>
        <w:spacing w:before="0" w:after="0" w:line="200" w:lineRule="atLeast"/>
        <w:jc w:val="both"/>
      </w:pPr>
      <w:r>
        <w:tab/>
        <w:t>Vadovaudamasi Lietuvos Respublikos vietos savivaldos įstatymo 16 straipsnio 38 punktu, Lietuvos Respublikos socialinės paramos mokiniams</w:t>
      </w:r>
      <w:r>
        <w:t xml:space="preserve"> įstatymo 4 straipsnio 3 punktu, Savivaldybės taryba </w:t>
      </w:r>
      <w:r>
        <w:rPr>
          <w:spacing w:val="60"/>
        </w:rPr>
        <w:t>nusprendžia:</w:t>
      </w:r>
    </w:p>
    <w:p w:rsidR="00000000" w:rsidRDefault="00C0449A">
      <w:pPr>
        <w:tabs>
          <w:tab w:val="left" w:pos="738"/>
        </w:tabs>
        <w:spacing w:line="200" w:lineRule="atLeast"/>
        <w:jc w:val="both"/>
        <w:rPr>
          <w:sz w:val="24"/>
          <w:szCs w:val="24"/>
        </w:rPr>
      </w:pPr>
      <w:r>
        <w:rPr>
          <w:sz w:val="24"/>
          <w:szCs w:val="24"/>
        </w:rPr>
        <w:tab/>
        <w:t>1. Patvirtinti</w:t>
      </w:r>
      <w:r>
        <w:rPr>
          <w:rFonts w:cs="font336"/>
          <w:kern w:val="1"/>
          <w:sz w:val="24"/>
          <w:szCs w:val="24"/>
        </w:rPr>
        <w:t xml:space="preserve"> Vaikų ir mokinių maitinimo kaštų</w:t>
      </w:r>
      <w:r>
        <w:rPr>
          <w:kern w:val="1"/>
          <w:sz w:val="24"/>
          <w:szCs w:val="24"/>
        </w:rPr>
        <w:t xml:space="preserve"> kompensavimo tvarkos aprašą (pridedama).</w:t>
      </w:r>
    </w:p>
    <w:p w:rsidR="00000000" w:rsidRDefault="00C0449A">
      <w:pPr>
        <w:tabs>
          <w:tab w:val="left" w:pos="715"/>
        </w:tabs>
        <w:spacing w:line="200" w:lineRule="atLeast"/>
        <w:jc w:val="both"/>
        <w:rPr>
          <w:sz w:val="24"/>
          <w:szCs w:val="24"/>
        </w:rPr>
      </w:pPr>
      <w:r>
        <w:rPr>
          <w:sz w:val="24"/>
          <w:szCs w:val="24"/>
        </w:rPr>
        <w:tab/>
        <w:t>2. Pripažinti netekusiais galios:</w:t>
      </w:r>
    </w:p>
    <w:p w:rsidR="00000000" w:rsidRDefault="00C0449A">
      <w:pPr>
        <w:tabs>
          <w:tab w:val="left" w:pos="715"/>
        </w:tabs>
        <w:spacing w:line="200" w:lineRule="atLeast"/>
        <w:jc w:val="both"/>
        <w:rPr>
          <w:sz w:val="24"/>
          <w:szCs w:val="24"/>
        </w:rPr>
      </w:pPr>
      <w:r>
        <w:rPr>
          <w:sz w:val="24"/>
          <w:szCs w:val="24"/>
        </w:rPr>
        <w:tab/>
        <w:t>2.1. Savivaldybės tarybos 2006 m. gegužės 25 d. sprendimą Nr. T-</w:t>
      </w:r>
      <w:r>
        <w:rPr>
          <w:sz w:val="24"/>
          <w:szCs w:val="24"/>
        </w:rPr>
        <w:t>97 „Dėl elektros ir vandens sunaudojimo limitų nustatymo mokinių maisto ruošimui“;</w:t>
      </w:r>
    </w:p>
    <w:p w:rsidR="00000000" w:rsidRDefault="00C0449A">
      <w:pPr>
        <w:tabs>
          <w:tab w:val="left" w:pos="715"/>
        </w:tabs>
        <w:spacing w:line="200" w:lineRule="atLeast"/>
        <w:jc w:val="both"/>
        <w:rPr>
          <w:sz w:val="24"/>
          <w:szCs w:val="24"/>
        </w:rPr>
      </w:pPr>
      <w:r>
        <w:rPr>
          <w:sz w:val="24"/>
          <w:szCs w:val="24"/>
        </w:rPr>
        <w:tab/>
        <w:t>2.2. Savivaldybės tarybos 2010 m. birželio 3 d. sprendimą Nr. T-109 „Dėl elektros ir vandens sunaudojimo limitų nustatymo mokinių maisto ruošimui“ pakeitimo“;</w:t>
      </w:r>
    </w:p>
    <w:p w:rsidR="00000000" w:rsidRDefault="00C0449A">
      <w:pPr>
        <w:tabs>
          <w:tab w:val="left" w:pos="715"/>
        </w:tabs>
        <w:spacing w:line="200" w:lineRule="atLeast"/>
        <w:jc w:val="both"/>
        <w:rPr>
          <w:sz w:val="24"/>
          <w:szCs w:val="24"/>
        </w:rPr>
      </w:pPr>
      <w:r>
        <w:rPr>
          <w:sz w:val="24"/>
          <w:szCs w:val="24"/>
        </w:rPr>
        <w:tab/>
        <w:t>2.3. Savival</w:t>
      </w:r>
      <w:r>
        <w:rPr>
          <w:sz w:val="24"/>
          <w:szCs w:val="24"/>
        </w:rPr>
        <w:t>dybės tarybos 2014 m. vasario 20 d. sprendimą Nr. T-33 „Dėl Panevėžio rajono savivaldybės tarybos 2006 m. gegužės 25 d. sprendimo Nr. T-97 „Dėl elektros ir vandens sunaudojimo limitų nustatymo mokinių maisto ruošimui“ pakeitimo“;</w:t>
      </w:r>
    </w:p>
    <w:p w:rsidR="00000000" w:rsidRDefault="00C0449A">
      <w:pPr>
        <w:tabs>
          <w:tab w:val="left" w:pos="738"/>
        </w:tabs>
        <w:spacing w:line="200" w:lineRule="atLeast"/>
        <w:jc w:val="both"/>
        <w:rPr>
          <w:sz w:val="24"/>
          <w:szCs w:val="24"/>
        </w:rPr>
      </w:pPr>
      <w:r>
        <w:rPr>
          <w:sz w:val="24"/>
          <w:szCs w:val="24"/>
        </w:rPr>
        <w:tab/>
        <w:t>2.4. Savivaldybės tarybos</w:t>
      </w:r>
      <w:r>
        <w:rPr>
          <w:sz w:val="24"/>
          <w:szCs w:val="24"/>
        </w:rPr>
        <w:t xml:space="preserve"> 2007 m. gegužės 31 d. sprendimą Nr. T-129 „Dėl Mokinių maitinimo paslaugų pirkimo kriterijų tvirtinimo“;</w:t>
      </w:r>
    </w:p>
    <w:p w:rsidR="00000000" w:rsidRDefault="00C0449A">
      <w:pPr>
        <w:tabs>
          <w:tab w:val="left" w:pos="738"/>
        </w:tabs>
        <w:spacing w:line="200" w:lineRule="atLeast"/>
        <w:jc w:val="both"/>
        <w:rPr>
          <w:kern w:val="1"/>
          <w:sz w:val="24"/>
          <w:szCs w:val="24"/>
        </w:rPr>
      </w:pPr>
      <w:r>
        <w:rPr>
          <w:sz w:val="24"/>
          <w:szCs w:val="24"/>
        </w:rPr>
        <w:tab/>
        <w:t xml:space="preserve">2.5. Savivaldybės tarybos </w:t>
      </w:r>
      <w:r>
        <w:rPr>
          <w:kern w:val="1"/>
          <w:sz w:val="24"/>
          <w:szCs w:val="24"/>
        </w:rPr>
        <w:t>2011 m. birželio 29 d. sprendimą Nr. T-153 „Dėl Panevėžio rajono savivaldybės tarybos 2007 m. gegužės 31 d. sprendimo Nr. T</w:t>
      </w:r>
      <w:r>
        <w:rPr>
          <w:kern w:val="1"/>
          <w:sz w:val="24"/>
          <w:szCs w:val="24"/>
        </w:rPr>
        <w:t>-129 „Dėl mokinių maitinimo paslaugų pirkimo kriterijų tvirtinimo“ pakeitimo“;</w:t>
      </w:r>
    </w:p>
    <w:p w:rsidR="00000000" w:rsidRDefault="00C0449A">
      <w:pPr>
        <w:tabs>
          <w:tab w:val="left" w:pos="738"/>
        </w:tabs>
        <w:spacing w:line="200" w:lineRule="atLeast"/>
        <w:jc w:val="both"/>
        <w:rPr>
          <w:kern w:val="1"/>
          <w:sz w:val="24"/>
          <w:szCs w:val="24"/>
        </w:rPr>
      </w:pPr>
      <w:r>
        <w:rPr>
          <w:kern w:val="1"/>
          <w:sz w:val="24"/>
          <w:szCs w:val="24"/>
        </w:rPr>
        <w:tab/>
        <w:t xml:space="preserve">2.6. </w:t>
      </w:r>
      <w:r>
        <w:rPr>
          <w:sz w:val="24"/>
          <w:szCs w:val="24"/>
        </w:rPr>
        <w:t xml:space="preserve">Savivaldybės tarybos </w:t>
      </w:r>
      <w:r>
        <w:rPr>
          <w:kern w:val="1"/>
          <w:sz w:val="24"/>
          <w:szCs w:val="24"/>
        </w:rPr>
        <w:t>2015 spalio 22 d. sprendimą Nr. T-215 „Dėl Panevėžio rajono savivaldybės tarybos 2007 m. gegužės 31 d. sprendimo Nr. T-129 „Dėl mokinių maitinimo pasl</w:t>
      </w:r>
      <w:r>
        <w:rPr>
          <w:kern w:val="1"/>
          <w:sz w:val="24"/>
          <w:szCs w:val="24"/>
        </w:rPr>
        <w:t xml:space="preserve">augų pirkimo kriterijų tvirtinimo“ pakeitimo“.  </w:t>
      </w:r>
    </w:p>
    <w:p w:rsidR="00000000" w:rsidRDefault="00C0449A">
      <w:pPr>
        <w:tabs>
          <w:tab w:val="left" w:pos="773"/>
        </w:tabs>
        <w:spacing w:line="200" w:lineRule="atLeast"/>
        <w:jc w:val="both"/>
        <w:rPr>
          <w:sz w:val="24"/>
          <w:szCs w:val="24"/>
        </w:rPr>
      </w:pPr>
      <w:r>
        <w:rPr>
          <w:kern w:val="1"/>
          <w:sz w:val="24"/>
          <w:szCs w:val="24"/>
        </w:rPr>
        <w:tab/>
        <w:t>3. Sprendimas įsigalioja 2016 m. liepos 1 d.</w:t>
      </w:r>
    </w:p>
    <w:p w:rsidR="00000000" w:rsidRDefault="00C0449A">
      <w:pPr>
        <w:tabs>
          <w:tab w:val="left" w:pos="773"/>
        </w:tabs>
        <w:spacing w:line="200" w:lineRule="atLeast"/>
        <w:jc w:val="both"/>
        <w:rPr>
          <w:sz w:val="24"/>
          <w:szCs w:val="24"/>
        </w:rPr>
      </w:pPr>
    </w:p>
    <w:p w:rsidR="00000000" w:rsidRDefault="00C0449A">
      <w:pPr>
        <w:tabs>
          <w:tab w:val="left" w:pos="773"/>
        </w:tabs>
        <w:spacing w:line="200" w:lineRule="atLeast"/>
        <w:jc w:val="both"/>
        <w:rPr>
          <w:sz w:val="24"/>
          <w:szCs w:val="24"/>
        </w:rPr>
      </w:pPr>
    </w:p>
    <w:p w:rsidR="00000000" w:rsidRDefault="00C0449A">
      <w:pPr>
        <w:tabs>
          <w:tab w:val="left" w:pos="773"/>
        </w:tabs>
        <w:spacing w:line="200" w:lineRule="atLeast"/>
        <w:jc w:val="both"/>
        <w:rPr>
          <w:sz w:val="24"/>
          <w:szCs w:val="24"/>
        </w:rPr>
      </w:pPr>
      <w:r>
        <w:rPr>
          <w:kern w:val="1"/>
          <w:sz w:val="24"/>
          <w:szCs w:val="24"/>
        </w:rPr>
        <w:t xml:space="preserve">Savivaldybės meras </w:t>
      </w:r>
      <w:r>
        <w:rPr>
          <w:kern w:val="1"/>
          <w:sz w:val="24"/>
          <w:szCs w:val="24"/>
        </w:rPr>
        <w:tab/>
      </w:r>
      <w:r>
        <w:rPr>
          <w:kern w:val="1"/>
          <w:sz w:val="24"/>
          <w:szCs w:val="24"/>
        </w:rPr>
        <w:tab/>
      </w:r>
      <w:r>
        <w:rPr>
          <w:kern w:val="1"/>
          <w:sz w:val="24"/>
          <w:szCs w:val="24"/>
        </w:rPr>
        <w:tab/>
      </w:r>
      <w:r>
        <w:rPr>
          <w:kern w:val="1"/>
          <w:sz w:val="24"/>
          <w:szCs w:val="24"/>
        </w:rPr>
        <w:tab/>
      </w:r>
      <w:r>
        <w:rPr>
          <w:kern w:val="1"/>
          <w:sz w:val="24"/>
          <w:szCs w:val="24"/>
        </w:rPr>
        <w:tab/>
        <w:t xml:space="preserve">Povilas Žagunis </w:t>
      </w:r>
    </w:p>
    <w:p w:rsidR="00000000" w:rsidRDefault="00C0449A">
      <w:pPr>
        <w:pStyle w:val="Standard"/>
        <w:pageBreakBefore/>
        <w:ind w:left="5184"/>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Pr>
          <w:rFonts w:ascii="Times New Roman" w:hAnsi="Times New Roman" w:cs="Times New Roman"/>
          <w:sz w:val="24"/>
          <w:szCs w:val="24"/>
          <w:lang w:val="lt-LT"/>
        </w:rPr>
        <w:t>PATVIRTINTA</w:t>
      </w:r>
    </w:p>
    <w:p w:rsidR="00000000" w:rsidRDefault="00C0449A">
      <w:pPr>
        <w:pStyle w:val="Standard"/>
        <w:jc w:val="center"/>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Panevėžio rajono savivaldybės tarybos </w:t>
      </w:r>
    </w:p>
    <w:p w:rsidR="00000000" w:rsidRDefault="00C0449A">
      <w:pPr>
        <w:pStyle w:val="Standard"/>
        <w:ind w:left="3888" w:firstLine="1296"/>
        <w:jc w:val="center"/>
        <w:rPr>
          <w:rFonts w:ascii="Times New Roman" w:hAnsi="Times New Roman" w:cs="Times New Roman"/>
          <w:sz w:val="24"/>
          <w:szCs w:val="24"/>
          <w:lang w:val="lt-LT"/>
        </w:rPr>
      </w:pPr>
      <w:r>
        <w:rPr>
          <w:rFonts w:ascii="Times New Roman" w:hAnsi="Times New Roman" w:cs="Times New Roman"/>
          <w:sz w:val="24"/>
          <w:szCs w:val="24"/>
          <w:lang w:val="lt-LT"/>
        </w:rPr>
        <w:t>2016 m. kovo 30 d. sprendimu Nr. T-50</w:t>
      </w:r>
    </w:p>
    <w:p w:rsidR="00000000" w:rsidRDefault="00C0449A">
      <w:pPr>
        <w:pStyle w:val="Standard"/>
        <w:jc w:val="center"/>
        <w:rPr>
          <w:rFonts w:ascii="Times New Roman" w:hAnsi="Times New Roman" w:cs="Times New Roman"/>
          <w:sz w:val="24"/>
          <w:szCs w:val="24"/>
          <w:lang w:val="lt-LT"/>
        </w:rPr>
      </w:pPr>
    </w:p>
    <w:p w:rsidR="00000000" w:rsidRDefault="00C0449A">
      <w:pPr>
        <w:pStyle w:val="Standard"/>
        <w:jc w:val="center"/>
        <w:rPr>
          <w:sz w:val="24"/>
          <w:szCs w:val="24"/>
          <w:lang w:val="lt-LT"/>
        </w:rPr>
      </w:pPr>
      <w:r>
        <w:rPr>
          <w:rFonts w:ascii="Times New Roman" w:hAnsi="Times New Roman" w:cs="Times New Roman"/>
          <w:b/>
          <w:sz w:val="24"/>
          <w:szCs w:val="24"/>
          <w:lang w:val="lt-LT"/>
        </w:rPr>
        <w:t>VAIKŲ IR MOKINI</w:t>
      </w:r>
      <w:r>
        <w:rPr>
          <w:rFonts w:ascii="Times New Roman" w:hAnsi="Times New Roman" w:cs="Times New Roman"/>
          <w:b/>
          <w:sz w:val="24"/>
          <w:szCs w:val="24"/>
          <w:lang w:val="lt-LT"/>
        </w:rPr>
        <w:t>Ų MAITINIMO KAŠTŲ KOMPENSAVIMO TVARKOS APRAŠAS</w:t>
      </w:r>
    </w:p>
    <w:p w:rsidR="00000000" w:rsidRDefault="00C0449A">
      <w:pPr>
        <w:pStyle w:val="HTMLPreformatted"/>
        <w:ind w:right="-18"/>
        <w:jc w:val="center"/>
        <w:rPr>
          <w:sz w:val="24"/>
          <w:szCs w:val="24"/>
          <w:lang w:val="lt-LT"/>
        </w:rPr>
      </w:pPr>
    </w:p>
    <w:p w:rsidR="00000000" w:rsidRDefault="00C0449A">
      <w:pPr>
        <w:pStyle w:val="Standard"/>
        <w:jc w:val="center"/>
        <w:rPr>
          <w:rFonts w:ascii="Times New Roman" w:hAnsi="Times New Roman" w:cs="Times New Roman"/>
          <w:sz w:val="12"/>
          <w:szCs w:val="12"/>
          <w:lang w:val="lt-LT"/>
        </w:rPr>
      </w:pPr>
      <w:r>
        <w:rPr>
          <w:rFonts w:ascii="Times New Roman" w:hAnsi="Times New Roman" w:cs="Times New Roman"/>
          <w:b/>
          <w:bCs/>
          <w:sz w:val="24"/>
          <w:szCs w:val="24"/>
          <w:lang w:val="lt-LT"/>
        </w:rPr>
        <w:t>I. BENDROSIOS NUOSTATOS</w:t>
      </w:r>
    </w:p>
    <w:p w:rsidR="00000000" w:rsidRDefault="00C0449A">
      <w:pPr>
        <w:pStyle w:val="Standard"/>
        <w:tabs>
          <w:tab w:val="left" w:pos="738"/>
        </w:tabs>
        <w:jc w:val="both"/>
        <w:rPr>
          <w:rFonts w:ascii="Times New Roman" w:hAnsi="Times New Roman" w:cs="Times New Roman"/>
          <w:sz w:val="12"/>
          <w:szCs w:val="12"/>
          <w:lang w:val="lt-LT"/>
        </w:rPr>
      </w:pP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lang w:val="lt-LT"/>
        </w:rPr>
        <w:tab/>
        <w:t xml:space="preserve">1. Vaikų ir mokinių maitinimo kaštų </w:t>
      </w:r>
      <w:r>
        <w:rPr>
          <w:rFonts w:ascii="Times New Roman" w:hAnsi="Times New Roman" w:cs="Times New Roman"/>
          <w:sz w:val="24"/>
          <w:szCs w:val="24"/>
        </w:rPr>
        <w:t>kompensavimo tvarkos aprašas (toliau – Tvarka) nustato nuolaidų taikymą vaikams ir mokiniams bei maitinimo kaštų kompensavimo tvarką  maitinimo pa</w:t>
      </w:r>
      <w:r>
        <w:rPr>
          <w:rFonts w:ascii="Times New Roman" w:hAnsi="Times New Roman" w:cs="Times New Roman"/>
          <w:sz w:val="24"/>
          <w:szCs w:val="24"/>
        </w:rPr>
        <w:t>slaugos teikėjui, organizuojančiam vaikų ir mokinių maitinimą mokykloje, ikimokyklinio ugdymo bei vaikų globos įstaigoje.</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rPr>
        <w:tab/>
        <w:t xml:space="preserve">2. Nuolaidos </w:t>
      </w:r>
      <w:r>
        <w:rPr>
          <w:rFonts w:ascii="Times New Roman" w:hAnsi="Times New Roman" w:cs="Times New Roman"/>
          <w:sz w:val="24"/>
          <w:szCs w:val="24"/>
          <w:lang w:val="lt-LT"/>
        </w:rPr>
        <w:t>dydis gali būti iki 35 proc. maitinimo paslaugos pirkimo metu pasiūlytos patiekalo kainos (su PVM).</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rPr>
        <w:tab/>
        <w:t>3. Maitinimo kaštam</w:t>
      </w:r>
      <w:r>
        <w:rPr>
          <w:rFonts w:ascii="Times New Roman" w:hAnsi="Times New Roman" w:cs="Times New Roman"/>
          <w:sz w:val="24"/>
          <w:szCs w:val="24"/>
        </w:rPr>
        <w:t>s kompensuoti lėšos mokyklai skiriamos iš savivaldybės biudžeto.</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rPr>
        <w:tab/>
        <w:t>4. Maitinimo kaštai kompensuojami šiais atvejais:</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rPr>
        <w:tab/>
        <w:t>4.1.</w:t>
      </w:r>
      <w:r>
        <w:rPr>
          <w:rFonts w:ascii="Times New Roman" w:hAnsi="Times New Roman" w:cs="Times New Roman"/>
          <w:sz w:val="24"/>
          <w:szCs w:val="24"/>
          <w:lang w:val="lt-LT"/>
        </w:rPr>
        <w:t xml:space="preserve"> kompensuojamos visos patiekalo gamybos išlaidos (nuompinigiai, maitinimo paslaugų teikėjų darbuotojų, tiesiogiai susijusių su mokinių </w:t>
      </w:r>
      <w:r>
        <w:rPr>
          <w:rFonts w:ascii="Times New Roman" w:hAnsi="Times New Roman" w:cs="Times New Roman"/>
          <w:sz w:val="24"/>
          <w:szCs w:val="24"/>
          <w:lang w:val="lt-LT"/>
        </w:rPr>
        <w:t>nemokamo maitinimo teikimu, darbo užmokestis, valstybinio socialinio draudimo įmokos, komunalinių paslaugų išlaidos ir kt.) nemokamai maitinamiems mokiniams;</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rPr>
        <w:tab/>
        <w:t>4.2. mokiniams, perkantiems patiekalus mokyklos valgykloje, kurioje maitinimo paslaugą teikia mai</w:t>
      </w:r>
      <w:r>
        <w:rPr>
          <w:rFonts w:ascii="Times New Roman" w:hAnsi="Times New Roman" w:cs="Times New Roman"/>
          <w:sz w:val="24"/>
          <w:szCs w:val="24"/>
        </w:rPr>
        <w:t>tinimo paslaugos teikėjas;</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rPr>
        <w:tab/>
        <w:t>4.3. kitų mokyklų mokiniams, olimpiadų, konkursų, konferencijų ir kt. renginių metu perkantiems patiekalus mokyklos valgykloje, kurioje maitinimo paslaugą teikia maitinimo paslaugos teikėjas;</w:t>
      </w:r>
    </w:p>
    <w:p w:rsidR="00000000" w:rsidRDefault="00C0449A">
      <w:pPr>
        <w:pStyle w:val="Standard"/>
        <w:jc w:val="both"/>
        <w:rPr>
          <w:rFonts w:ascii="Times New Roman" w:hAnsi="Times New Roman" w:cs="Times New Roman"/>
          <w:sz w:val="20"/>
          <w:szCs w:val="20"/>
        </w:rPr>
      </w:pPr>
      <w:r>
        <w:rPr>
          <w:rFonts w:ascii="Times New Roman" w:hAnsi="Times New Roman" w:cs="Times New Roman"/>
          <w:sz w:val="24"/>
          <w:szCs w:val="24"/>
        </w:rPr>
        <w:tab/>
        <w:t>4.4. kai maitinimo paslaugos teikėj</w:t>
      </w:r>
      <w:r>
        <w:rPr>
          <w:rFonts w:ascii="Times New Roman" w:hAnsi="Times New Roman" w:cs="Times New Roman"/>
          <w:sz w:val="24"/>
          <w:szCs w:val="24"/>
        </w:rPr>
        <w:t>as atsiskaitymui naudoja kasos aparatą, vadovaudamasis galiojančiais kasos aparatų ir grynųjų pinigų priėmimo dokumentų registravimą reglamentuojančiais teisės aktais. Kasos aparatas turi būti užprogramuotas taip, kad atskirame skyriuje būtų kaupiami duome</w:t>
      </w:r>
      <w:r>
        <w:rPr>
          <w:rFonts w:ascii="Times New Roman" w:hAnsi="Times New Roman" w:cs="Times New Roman"/>
          <w:sz w:val="24"/>
          <w:szCs w:val="24"/>
        </w:rPr>
        <w:t>nys apie pritaikytas nuolaidas, rodoma patiekalo kaina, pritaikyta nuolaida proc., kompensavimo dydis eurais ir pirkėjo mokama kaina.</w:t>
      </w:r>
    </w:p>
    <w:p w:rsidR="00000000" w:rsidRDefault="00C0449A">
      <w:pPr>
        <w:pStyle w:val="Standard"/>
        <w:jc w:val="both"/>
        <w:rPr>
          <w:rFonts w:ascii="Times New Roman" w:hAnsi="Times New Roman" w:cs="Times New Roman"/>
          <w:b/>
          <w:bCs/>
          <w:sz w:val="24"/>
          <w:szCs w:val="24"/>
        </w:rPr>
      </w:pPr>
      <w:r>
        <w:rPr>
          <w:rFonts w:ascii="Times New Roman" w:hAnsi="Times New Roman" w:cs="Times New Roman"/>
          <w:sz w:val="20"/>
          <w:szCs w:val="20"/>
        </w:rPr>
        <w:tab/>
      </w:r>
      <w:r>
        <w:rPr>
          <w:rFonts w:ascii="Times New Roman" w:hAnsi="Times New Roman" w:cs="Times New Roman"/>
          <w:sz w:val="24"/>
          <w:szCs w:val="24"/>
        </w:rPr>
        <w:t>5. Ikimokyklinio ir priešmokyklinio ugdymo grupių vaikams mokyklose, kuriose maitinimo paslaugą teikia maitinimo paslaugo</w:t>
      </w:r>
      <w:r>
        <w:rPr>
          <w:rFonts w:ascii="Times New Roman" w:hAnsi="Times New Roman" w:cs="Times New Roman"/>
          <w:sz w:val="24"/>
          <w:szCs w:val="24"/>
        </w:rPr>
        <w:t>s teikėjas, skiriama 1 vaiko 1 dienos maitinimo kaštams padengti 0,43 Eur.</w:t>
      </w:r>
    </w:p>
    <w:p w:rsidR="00000000" w:rsidRDefault="00C0449A">
      <w:pPr>
        <w:pStyle w:val="Standard"/>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6. Maitinimo kaštai nekompensuojami šiais atvejais:</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rPr>
        <w:tab/>
        <w:t>6.1. ne mokyklos valgykloje pagamintoms maisto prekėms;</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rPr>
        <w:tab/>
        <w:t>6.2. mokyklos darbuotojams, kitiems maitinimo paslauga besinaudojantie</w:t>
      </w:r>
      <w:r>
        <w:rPr>
          <w:rFonts w:ascii="Times New Roman" w:hAnsi="Times New Roman" w:cs="Times New Roman"/>
          <w:sz w:val="24"/>
          <w:szCs w:val="24"/>
        </w:rPr>
        <w:t xml:space="preserve">ms asmenims.  </w:t>
      </w:r>
    </w:p>
    <w:p w:rsidR="00000000" w:rsidRDefault="00C0449A">
      <w:pPr>
        <w:pStyle w:val="Standard"/>
        <w:jc w:val="both"/>
        <w:rPr>
          <w:rFonts w:ascii="Times New Roman" w:hAnsi="Times New Roman" w:cs="Times New Roman"/>
          <w:b/>
          <w:bCs/>
          <w:sz w:val="24"/>
          <w:szCs w:val="24"/>
        </w:rPr>
      </w:pPr>
      <w:r>
        <w:rPr>
          <w:rFonts w:ascii="Times New Roman" w:hAnsi="Times New Roman" w:cs="Times New Roman"/>
          <w:sz w:val="24"/>
          <w:szCs w:val="24"/>
        </w:rPr>
        <w:tab/>
      </w:r>
    </w:p>
    <w:p w:rsidR="00000000" w:rsidRDefault="00C0449A">
      <w:pPr>
        <w:pStyle w:val="Standard"/>
        <w:jc w:val="center"/>
        <w:rPr>
          <w:rFonts w:ascii="Times New Roman" w:hAnsi="Times New Roman" w:cs="Times New Roman"/>
          <w:sz w:val="24"/>
          <w:szCs w:val="24"/>
        </w:rPr>
      </w:pPr>
      <w:r>
        <w:rPr>
          <w:rFonts w:ascii="Times New Roman" w:hAnsi="Times New Roman" w:cs="Times New Roman"/>
          <w:b/>
          <w:bCs/>
          <w:sz w:val="24"/>
          <w:szCs w:val="24"/>
        </w:rPr>
        <w:t xml:space="preserve">II. NUOLAIDŲ TAIKYMO IR MAITINIMO KAŠTŲ </w:t>
      </w:r>
      <w:r>
        <w:rPr>
          <w:rFonts w:ascii="Times New Roman" w:hAnsi="Times New Roman" w:cs="Times New Roman"/>
          <w:b/>
          <w:bCs/>
          <w:sz w:val="24"/>
          <w:szCs w:val="24"/>
        </w:rPr>
        <w:t>KOMPENSAVIMO TVARKA IR ATSISKAITYMAS</w:t>
      </w:r>
    </w:p>
    <w:p w:rsidR="00000000" w:rsidRDefault="00C0449A">
      <w:pPr>
        <w:pStyle w:val="Standard"/>
        <w:jc w:val="center"/>
        <w:rPr>
          <w:rFonts w:ascii="Times New Roman" w:hAnsi="Times New Roman" w:cs="Times New Roman"/>
          <w:sz w:val="24"/>
          <w:szCs w:val="24"/>
        </w:rPr>
      </w:pPr>
    </w:p>
    <w:p w:rsidR="00000000" w:rsidRDefault="00C0449A">
      <w:pPr>
        <w:pStyle w:val="Standard"/>
        <w:tabs>
          <w:tab w:val="left" w:pos="732"/>
        </w:tabs>
        <w:jc w:val="both"/>
        <w:rPr>
          <w:rFonts w:ascii="Times New Roman" w:hAnsi="Times New Roman" w:cs="Times New Roman"/>
          <w:sz w:val="24"/>
          <w:szCs w:val="24"/>
        </w:rPr>
      </w:pPr>
      <w:r>
        <w:rPr>
          <w:rFonts w:ascii="Times New Roman" w:hAnsi="Times New Roman" w:cs="Times New Roman"/>
          <w:sz w:val="24"/>
          <w:szCs w:val="24"/>
        </w:rPr>
        <w:tab/>
        <w:t>7. Maitinimo paslauga perkama pagal S</w:t>
      </w:r>
      <w:r>
        <w:rPr>
          <w:rFonts w:ascii="Times New Roman" w:hAnsi="Times New Roman" w:cs="Times New Roman"/>
          <w:sz w:val="24"/>
        </w:rPr>
        <w:t>avivaldybės administracijos direktoriaus įsakymu patvirtintas Maitinimo paslaugos pirkimo rekomendacijas.</w:t>
      </w:r>
    </w:p>
    <w:p w:rsidR="00000000" w:rsidRDefault="00C0449A">
      <w:pPr>
        <w:pStyle w:val="Standard"/>
        <w:tabs>
          <w:tab w:val="left" w:pos="732"/>
        </w:tabs>
        <w:jc w:val="both"/>
        <w:rPr>
          <w:rFonts w:ascii="Times New Roman" w:hAnsi="Times New Roman" w:cs="Times New Roman"/>
          <w:sz w:val="24"/>
          <w:szCs w:val="24"/>
        </w:rPr>
      </w:pPr>
      <w:r>
        <w:rPr>
          <w:rFonts w:ascii="Times New Roman" w:hAnsi="Times New Roman" w:cs="Times New Roman"/>
          <w:sz w:val="24"/>
          <w:szCs w:val="24"/>
        </w:rPr>
        <w:tab/>
        <w:t>8. Nuolaida pati</w:t>
      </w:r>
      <w:r>
        <w:rPr>
          <w:rFonts w:ascii="Times New Roman" w:hAnsi="Times New Roman" w:cs="Times New Roman"/>
          <w:sz w:val="24"/>
          <w:szCs w:val="24"/>
        </w:rPr>
        <w:t>ekalo kainai, nustatytai maitinimo paslaugos pirkimo dokumentuose, taikoma:</w:t>
      </w:r>
    </w:p>
    <w:p w:rsidR="00000000" w:rsidRDefault="00C0449A">
      <w:pPr>
        <w:pStyle w:val="Standard"/>
        <w:jc w:val="both"/>
        <w:rPr>
          <w:rFonts w:ascii="Times New Roman" w:hAnsi="Times New Roman" w:cs="Times New Roman"/>
          <w:b/>
          <w:bCs/>
          <w:sz w:val="24"/>
          <w:szCs w:val="24"/>
        </w:rPr>
      </w:pPr>
      <w:r>
        <w:rPr>
          <w:rFonts w:ascii="Times New Roman" w:hAnsi="Times New Roman" w:cs="Times New Roman"/>
          <w:sz w:val="24"/>
          <w:szCs w:val="24"/>
        </w:rPr>
        <w:tab/>
        <w:t>8.1. atsiskaitant už pasirinktą patiekalą;</w:t>
      </w:r>
    </w:p>
    <w:p w:rsidR="00000000" w:rsidRDefault="00C0449A">
      <w:pPr>
        <w:pStyle w:val="Standard"/>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8.2. nemokamai maitinamiems mokiniams, ikimokyklinio ir priešmokyklinio ugdymo grupių vaikams, pasibaigus ataskaitiniam mėnesiui.</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rPr>
        <w:tab/>
        <w:t>9. V</w:t>
      </w:r>
      <w:r>
        <w:rPr>
          <w:rFonts w:ascii="Times New Roman" w:hAnsi="Times New Roman" w:cs="Times New Roman"/>
          <w:sz w:val="24"/>
          <w:szCs w:val="24"/>
        </w:rPr>
        <w:t xml:space="preserve">aikų ir mokinių maitinimo bei nemokamo mokinių maitinimo valgiaraščiai </w:t>
      </w:r>
      <w:r>
        <w:rPr>
          <w:rFonts w:ascii="Times New Roman" w:hAnsi="Times New Roman" w:cs="Times New Roman"/>
          <w:sz w:val="24"/>
          <w:szCs w:val="24"/>
          <w:lang w:val="lt-LT"/>
        </w:rPr>
        <w:t>skelbiami valgykloje viešai, valgiaraštyje turi būti nurodomi patiekalų pavadinimai, receptūros Nr., kiekis (g), patiekalo kaina, antraštėje – įstaigos, kurioje organizuojamas maitinima</w:t>
      </w:r>
      <w:r>
        <w:rPr>
          <w:rFonts w:ascii="Times New Roman" w:hAnsi="Times New Roman" w:cs="Times New Roman"/>
          <w:sz w:val="24"/>
          <w:szCs w:val="24"/>
          <w:lang w:val="lt-LT"/>
        </w:rPr>
        <w:t xml:space="preserve">s, pavadinimas, </w:t>
      </w:r>
      <w:r>
        <w:rPr>
          <w:rFonts w:ascii="Times New Roman" w:hAnsi="Times New Roman" w:cs="Times New Roman"/>
          <w:sz w:val="24"/>
          <w:szCs w:val="24"/>
          <w:lang w:val="lt-LT"/>
        </w:rPr>
        <w:lastRenderedPageBreak/>
        <w:t>maitinimo paslaugos teikėjo rekvizitai. Patvirtinama maitinimo paslaugos teikėjo bei mokyklos vadovo ar jo įgalioto asmens parašais.</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10. Patiekalo kainą sudaro dvi dalys: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10.1. patiekalo gamybai naudojamų produktų įsigijimo kaina (įsk</w:t>
      </w:r>
      <w:r>
        <w:rPr>
          <w:rFonts w:ascii="Times New Roman" w:hAnsi="Times New Roman" w:cs="Times New Roman"/>
          <w:sz w:val="24"/>
          <w:szCs w:val="24"/>
          <w:lang w:val="lt-LT"/>
        </w:rPr>
        <w:t>aitant PVM);</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10.2. patiekalo gamybos kaštai (darbuotojų, tiesiogiai susijusių su maitinimo organizavimu, darbo užmokestis, valstybinio socialinio draudimo įmokos, virtuvės įrangos priežiūra ir atnaujinimas, elektros, vandens ir kitos su maisto gaminimu, p</w:t>
      </w:r>
      <w:r>
        <w:rPr>
          <w:rFonts w:ascii="Times New Roman" w:hAnsi="Times New Roman" w:cs="Times New Roman"/>
          <w:sz w:val="24"/>
          <w:szCs w:val="24"/>
          <w:lang w:val="lt-LT"/>
        </w:rPr>
        <w:t>atiekimu ir pardavimu susijusios sąnaudos).</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11. Pasibaigus ataskaitiniam mėnesiui maitinimo paslaugos teikėjas pildo Ataskaitą apie parduotus su nuolaida patiekalus (1 priedas).</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12. Mokykla už vaikams ir mokiniams faktiškai suteiktas nuolaidas per 30 dar</w:t>
      </w:r>
      <w:r>
        <w:rPr>
          <w:rFonts w:ascii="Times New Roman" w:hAnsi="Times New Roman" w:cs="Times New Roman"/>
          <w:sz w:val="24"/>
          <w:szCs w:val="24"/>
          <w:lang w:val="lt-LT"/>
        </w:rPr>
        <w:t>bo dienų apmoka maitinimo paslaugos teikėjui pagal iki kito mėnesio 10 d. pateiktas PVM sąskaitas faktūras ir ataskaitas.</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13. Mokykla, </w:t>
      </w:r>
      <w:r>
        <w:rPr>
          <w:rFonts w:ascii="Times New Roman" w:hAnsi="Times New Roman" w:cs="Times New Roman"/>
          <w:sz w:val="24"/>
          <w:szCs w:val="24"/>
          <w:lang w:val="lt-LT"/>
        </w:rPr>
        <w:t xml:space="preserve">siekdama įsitikinti maitinimo paslaugos teikėjo ataskaitose nurodytų duomenų teisingumu, gali pareikalauti iš maitinimo </w:t>
      </w:r>
      <w:r>
        <w:rPr>
          <w:rFonts w:ascii="Times New Roman" w:hAnsi="Times New Roman" w:cs="Times New Roman"/>
          <w:sz w:val="24"/>
          <w:szCs w:val="24"/>
          <w:lang w:val="lt-LT"/>
        </w:rPr>
        <w:t>paslaugos teikėjo ir kitų papildomų ataskaitų ar pirminių apskaitos dokumentų, pvz., buhalterinių ataskaitų apie produktų, naudojamų patiekalų gamybai, įsigijimo kainą (su PVM) ir pagal šias kainas nustatomų pagamintų patiekalų realizavimo kainas (kalkulia</w:t>
      </w:r>
      <w:r>
        <w:rPr>
          <w:rFonts w:ascii="Times New Roman" w:hAnsi="Times New Roman" w:cs="Times New Roman"/>
          <w:sz w:val="24"/>
          <w:szCs w:val="24"/>
          <w:lang w:val="lt-LT"/>
        </w:rPr>
        <w:t>cines korteles), taip pat patiekalų gamybos išlaidas pateisinančių dokumentų (apie darbuotojų darbo užmokestį, komunalinių paslaugų išlaidas ir kt.).</w:t>
      </w:r>
    </w:p>
    <w:p w:rsidR="00000000" w:rsidRDefault="00C0449A">
      <w:pPr>
        <w:pStyle w:val="Standard"/>
        <w:widowControl w:val="0"/>
        <w:tabs>
          <w:tab w:val="left" w:pos="720"/>
          <w:tab w:val="left" w:pos="900"/>
        </w:tabs>
        <w:autoSpaceDE w:val="0"/>
        <w:jc w:val="both"/>
        <w:rPr>
          <w:rFonts w:ascii="Times New Roman" w:hAnsi="Times New Roman" w:cs="Times New Roman"/>
          <w:sz w:val="24"/>
          <w:szCs w:val="24"/>
        </w:rPr>
      </w:pPr>
      <w:r>
        <w:rPr>
          <w:rFonts w:ascii="Times New Roman" w:hAnsi="Times New Roman" w:cs="Times New Roman"/>
          <w:sz w:val="24"/>
          <w:szCs w:val="24"/>
          <w:lang w:val="lt-LT"/>
        </w:rPr>
        <w:tab/>
      </w:r>
      <w:r>
        <w:rPr>
          <w:rFonts w:ascii="Times New Roman" w:hAnsi="Times New Roman" w:cs="Times New Roman"/>
          <w:sz w:val="24"/>
          <w:szCs w:val="24"/>
        </w:rPr>
        <w:t>14. Metinė kompensacijos suma negali viršyti maitinimo paslaugos teikėjo patiekalų gamybos sąnaudų maitin</w:t>
      </w:r>
      <w:r>
        <w:rPr>
          <w:rFonts w:ascii="Times New Roman" w:hAnsi="Times New Roman" w:cs="Times New Roman"/>
          <w:sz w:val="24"/>
          <w:szCs w:val="24"/>
        </w:rPr>
        <w:t>imo paslaugai teikti. Mokykla, pasibaigus kalendoriniams metams, gali pareikalauti iš maitinimo paslaugos teikėjo pateikti praėjusiais kalendoriniais metais patirtų nuostolių (negautų patiekalų gamybos kaštų), teikiant vaikams ir mokiniams nuolaidas patiek</w:t>
      </w:r>
      <w:r>
        <w:rPr>
          <w:rFonts w:ascii="Times New Roman" w:hAnsi="Times New Roman" w:cs="Times New Roman"/>
          <w:sz w:val="24"/>
          <w:szCs w:val="24"/>
        </w:rPr>
        <w:t>alų kainai sumažinti, ataskaitą. Jeigu mokyklos metinė sumokėta kompensacijos suma yra didesnė už metinę paslaugos savikainą, nustatytą maitinimo paslaugos pirkimo metu (įvertinus rentabilumą), mokykla pareikalauja iš maitinimo paslaugos teikėjo grąžinti p</w:t>
      </w:r>
      <w:r>
        <w:rPr>
          <w:rFonts w:ascii="Times New Roman" w:hAnsi="Times New Roman" w:cs="Times New Roman"/>
          <w:sz w:val="24"/>
          <w:szCs w:val="24"/>
        </w:rPr>
        <w:t>ermokėtas lėšas (išrašyti kreditinę sąskaitą, atitinkamai mažinant metinę gautų kompensacijų sumą).</w:t>
      </w:r>
    </w:p>
    <w:p w:rsidR="00000000" w:rsidRDefault="00C0449A">
      <w:pPr>
        <w:pStyle w:val="Standard"/>
        <w:widowControl w:val="0"/>
        <w:tabs>
          <w:tab w:val="left" w:pos="720"/>
          <w:tab w:val="left" w:pos="900"/>
        </w:tabs>
        <w:autoSpaceDE w:val="0"/>
        <w:jc w:val="both"/>
        <w:rPr>
          <w:rFonts w:ascii="Times New Roman" w:hAnsi="Times New Roman" w:cs="Times New Roman"/>
          <w:sz w:val="24"/>
          <w:szCs w:val="24"/>
        </w:rPr>
      </w:pPr>
      <w:r>
        <w:rPr>
          <w:rFonts w:ascii="Times New Roman" w:hAnsi="Times New Roman" w:cs="Times New Roman"/>
          <w:sz w:val="24"/>
          <w:szCs w:val="24"/>
        </w:rPr>
        <w:tab/>
        <w:t>15. Mokykla nekompensuoja maitinimo paslaugos teikėjui išlaidų dėl vaikams ir mokiniams suteiktų nuolaidų:</w:t>
      </w:r>
    </w:p>
    <w:p w:rsidR="00000000" w:rsidRDefault="00C0449A">
      <w:pPr>
        <w:pStyle w:val="Standard"/>
        <w:widowControl w:val="0"/>
        <w:tabs>
          <w:tab w:val="left" w:pos="720"/>
          <w:tab w:val="left" w:pos="900"/>
        </w:tabs>
        <w:autoSpaceDE w:val="0"/>
        <w:jc w:val="both"/>
        <w:rPr>
          <w:iCs/>
          <w:sz w:val="24"/>
          <w:szCs w:val="24"/>
          <w:lang w:val="lt-LT"/>
        </w:rPr>
      </w:pPr>
      <w:r>
        <w:rPr>
          <w:rFonts w:ascii="Times New Roman" w:hAnsi="Times New Roman" w:cs="Times New Roman"/>
          <w:sz w:val="24"/>
          <w:szCs w:val="24"/>
        </w:rPr>
        <w:tab/>
        <w:t>15.1. už ataskaitinį mėnesį, jei maitinimo pasl</w:t>
      </w:r>
      <w:r>
        <w:rPr>
          <w:rFonts w:ascii="Times New Roman" w:hAnsi="Times New Roman" w:cs="Times New Roman"/>
          <w:sz w:val="24"/>
          <w:szCs w:val="24"/>
        </w:rPr>
        <w:t>augos teikėjas laiku nepateikia ataskaitos;</w:t>
      </w:r>
    </w:p>
    <w:p w:rsidR="00000000" w:rsidRDefault="00C0449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900"/>
        </w:tabs>
        <w:autoSpaceDE w:val="0"/>
        <w:jc w:val="both"/>
        <w:rPr>
          <w:b/>
          <w:bCs/>
          <w:sz w:val="24"/>
          <w:szCs w:val="24"/>
          <w:lang w:val="lt-LT"/>
        </w:rPr>
      </w:pPr>
      <w:r>
        <w:rPr>
          <w:iCs/>
          <w:sz w:val="24"/>
          <w:szCs w:val="24"/>
          <w:lang w:val="lt-LT"/>
        </w:rPr>
        <w:tab/>
        <w:t>15.2. je</w:t>
      </w:r>
      <w:r>
        <w:rPr>
          <w:sz w:val="24"/>
          <w:szCs w:val="24"/>
          <w:lang w:val="lt-LT"/>
        </w:rPr>
        <w:t xml:space="preserve">igu Savivaldybės kontrolės ir audito tarnyba, Centralizuotas vidaus audito skyrius, Švietimo, kultūros ir sporto skyrius nustato ir įformina pažeidimus, numatytus Tvarkos 6.2 ir </w:t>
      </w:r>
      <w:r>
        <w:rPr>
          <w:sz w:val="24"/>
          <w:szCs w:val="24"/>
          <w:lang w:val="lt-LT"/>
        </w:rPr>
        <w:br/>
        <w:t>16.2 punktuose.</w:t>
      </w:r>
    </w:p>
    <w:p w:rsidR="00000000" w:rsidRDefault="00C0449A">
      <w:pPr>
        <w:pStyle w:val="Standard"/>
        <w:jc w:val="center"/>
        <w:rPr>
          <w:rFonts w:ascii="Times New Roman" w:hAnsi="Times New Roman" w:cs="Times New Roman"/>
          <w:b/>
          <w:bCs/>
          <w:sz w:val="24"/>
          <w:szCs w:val="24"/>
          <w:lang w:val="lt-LT"/>
        </w:rPr>
      </w:pPr>
    </w:p>
    <w:p w:rsidR="00000000" w:rsidRDefault="00C0449A">
      <w:pPr>
        <w:pStyle w:val="Standard"/>
        <w:jc w:val="center"/>
        <w:rPr>
          <w:rFonts w:ascii="Times New Roman" w:hAnsi="Times New Roman" w:cs="Times New Roman"/>
          <w:sz w:val="24"/>
          <w:szCs w:val="24"/>
          <w:lang w:val="lt-LT"/>
        </w:rPr>
      </w:pPr>
      <w:r>
        <w:rPr>
          <w:rFonts w:ascii="Times New Roman" w:hAnsi="Times New Roman" w:cs="Times New Roman"/>
          <w:b/>
          <w:bCs/>
          <w:sz w:val="24"/>
          <w:szCs w:val="24"/>
          <w:lang w:val="lt-LT"/>
        </w:rPr>
        <w:t>III. AT</w:t>
      </w:r>
      <w:r>
        <w:rPr>
          <w:rFonts w:ascii="Times New Roman" w:hAnsi="Times New Roman" w:cs="Times New Roman"/>
          <w:b/>
          <w:bCs/>
          <w:sz w:val="24"/>
          <w:szCs w:val="24"/>
          <w:lang w:val="lt-LT"/>
        </w:rPr>
        <w:t>SAKOMYBĖ IR KONTROLĖ</w:t>
      </w:r>
    </w:p>
    <w:p w:rsidR="00000000" w:rsidRDefault="00C0449A">
      <w:pPr>
        <w:pStyle w:val="Standard"/>
        <w:jc w:val="both"/>
        <w:rPr>
          <w:rFonts w:ascii="Times New Roman" w:hAnsi="Times New Roman" w:cs="Times New Roman"/>
          <w:sz w:val="24"/>
          <w:szCs w:val="24"/>
          <w:lang w:val="lt-LT"/>
        </w:rPr>
      </w:pP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16. Maitinimo paslaugos teikėjas privalo užtikrinti, kad:</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16.1. nuolaida būtų taikoma tik vaikams ir mokiniams;</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16.2. kompensacijos nebūtų prašoma už patiekalo gamybai naudotus produktus;</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16.3. būtų teikiami teisingi duomenys atas</w:t>
      </w:r>
      <w:r>
        <w:rPr>
          <w:rFonts w:ascii="Times New Roman" w:hAnsi="Times New Roman" w:cs="Times New Roman"/>
          <w:sz w:val="24"/>
          <w:szCs w:val="24"/>
          <w:lang w:val="lt-LT"/>
        </w:rPr>
        <w:t>kaitoje apie parduotus su nuolaida patiekalus būtų.</w:t>
      </w:r>
    </w:p>
    <w:p w:rsidR="00000000" w:rsidRDefault="00C0449A">
      <w:pPr>
        <w:pStyle w:val="Standard"/>
        <w:jc w:val="both"/>
        <w:rPr>
          <w:rFonts w:ascii="Times New Roman" w:hAnsi="Times New Roman" w:cs="Times New Roman"/>
          <w:b/>
          <w:bCs/>
          <w:sz w:val="24"/>
          <w:szCs w:val="24"/>
          <w:lang w:val="lt-LT"/>
        </w:rPr>
      </w:pPr>
      <w:r>
        <w:rPr>
          <w:rFonts w:ascii="Times New Roman" w:hAnsi="Times New Roman" w:cs="Times New Roman"/>
          <w:sz w:val="24"/>
          <w:szCs w:val="24"/>
          <w:lang w:val="lt-LT"/>
        </w:rPr>
        <w:tab/>
        <w:t>17. Tvarkos įgyvendinimo kontrolę atlieka Savivaldybės kontrolės ir audito tarnyba, Centralizuotas vidaus audito skyrius, Švietimo, kultūros ir sporto skyrius, Finansų skyrius, mokykla pagal savo kompete</w:t>
      </w:r>
      <w:r>
        <w:rPr>
          <w:rFonts w:ascii="Times New Roman" w:hAnsi="Times New Roman" w:cs="Times New Roman"/>
          <w:sz w:val="24"/>
          <w:szCs w:val="24"/>
          <w:lang w:val="lt-LT"/>
        </w:rPr>
        <w:t>nciją.</w:t>
      </w:r>
    </w:p>
    <w:p w:rsidR="00000000" w:rsidRDefault="00C0449A">
      <w:pPr>
        <w:pStyle w:val="Standard"/>
        <w:widowControl w:val="0"/>
        <w:tabs>
          <w:tab w:val="left" w:pos="720"/>
          <w:tab w:val="left" w:pos="900"/>
        </w:tabs>
        <w:autoSpaceDE w:val="0"/>
        <w:jc w:val="center"/>
        <w:rPr>
          <w:rFonts w:ascii="Times New Roman" w:hAnsi="Times New Roman" w:cs="Times New Roman"/>
          <w:b/>
          <w:bCs/>
          <w:sz w:val="24"/>
          <w:szCs w:val="24"/>
          <w:lang w:val="lt-LT"/>
        </w:rPr>
      </w:pPr>
    </w:p>
    <w:p w:rsidR="00000000" w:rsidRDefault="00C0449A">
      <w:pPr>
        <w:pStyle w:val="Standard"/>
        <w:widowControl w:val="0"/>
        <w:tabs>
          <w:tab w:val="left" w:pos="720"/>
          <w:tab w:val="left" w:pos="900"/>
        </w:tabs>
        <w:autoSpaceDE w:val="0"/>
        <w:jc w:val="center"/>
        <w:rPr>
          <w:rFonts w:ascii="Times New Roman" w:hAnsi="Times New Roman" w:cs="Times New Roman"/>
          <w:sz w:val="24"/>
          <w:szCs w:val="24"/>
          <w:lang w:val="lt-LT"/>
        </w:rPr>
      </w:pPr>
      <w:r>
        <w:rPr>
          <w:rFonts w:ascii="Times New Roman" w:hAnsi="Times New Roman" w:cs="Times New Roman"/>
          <w:b/>
          <w:bCs/>
          <w:sz w:val="24"/>
          <w:szCs w:val="24"/>
          <w:lang w:val="lt-LT"/>
        </w:rPr>
        <w:t>IV. BAIGIAMOSIOS NUOSTATOS</w:t>
      </w:r>
    </w:p>
    <w:p w:rsidR="00000000" w:rsidRDefault="00C0449A">
      <w:pPr>
        <w:pStyle w:val="Standard"/>
        <w:jc w:val="both"/>
        <w:rPr>
          <w:rFonts w:ascii="Times New Roman" w:hAnsi="Times New Roman" w:cs="Times New Roman"/>
          <w:sz w:val="24"/>
          <w:szCs w:val="24"/>
          <w:lang w:val="lt-LT"/>
        </w:rPr>
      </w:pP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18. Tvarka skelbiama Savivaldybės ir mokyklų interneto svetainėse.</w:t>
      </w:r>
    </w:p>
    <w:p w:rsidR="00000000" w:rsidRDefault="00C0449A">
      <w:pPr>
        <w:pStyle w:val="Standard"/>
        <w:jc w:val="both"/>
        <w:rPr>
          <w:rFonts w:ascii="Times New Roman" w:hAnsi="Times New Roman" w:cs="Times New Roman"/>
          <w:sz w:val="24"/>
          <w:szCs w:val="24"/>
          <w:lang w:val="lt-LT"/>
        </w:rPr>
      </w:pPr>
      <w:r>
        <w:rPr>
          <w:rFonts w:ascii="Times New Roman" w:hAnsi="Times New Roman" w:cs="Times New Roman"/>
          <w:sz w:val="24"/>
          <w:szCs w:val="24"/>
          <w:lang w:val="lt-LT"/>
        </w:rPr>
        <w:tab/>
        <w:t>19. Mokyklų vadovai supažindina vaikus ir mokinius, jų tėvus (globėjus, rūpintojus), darbuotojus su Tvarka.</w:t>
      </w:r>
    </w:p>
    <w:p w:rsidR="00000000" w:rsidRDefault="00C0449A">
      <w:pPr>
        <w:pStyle w:val="Standard"/>
        <w:jc w:val="both"/>
        <w:rPr>
          <w:rFonts w:ascii="Times New Roman" w:hAnsi="Times New Roman" w:cs="Times New Roman"/>
          <w:sz w:val="24"/>
          <w:szCs w:val="24"/>
        </w:rPr>
      </w:pPr>
      <w:r>
        <w:rPr>
          <w:rFonts w:ascii="Times New Roman" w:hAnsi="Times New Roman" w:cs="Times New Roman"/>
          <w:sz w:val="24"/>
          <w:szCs w:val="24"/>
          <w:lang w:val="lt-LT"/>
        </w:rPr>
        <w:tab/>
      </w:r>
      <w:r>
        <w:rPr>
          <w:rFonts w:ascii="Times New Roman" w:hAnsi="Times New Roman" w:cs="Times New Roman"/>
          <w:sz w:val="24"/>
          <w:szCs w:val="24"/>
        </w:rPr>
        <w:t xml:space="preserve">20. Tvarką keičia ar naikina Savivaldybės </w:t>
      </w:r>
      <w:r>
        <w:rPr>
          <w:rFonts w:ascii="Times New Roman" w:hAnsi="Times New Roman" w:cs="Times New Roman"/>
          <w:sz w:val="24"/>
          <w:szCs w:val="24"/>
        </w:rPr>
        <w:t>taryba.</w:t>
      </w:r>
    </w:p>
    <w:p w:rsidR="00000000" w:rsidRDefault="00C0449A">
      <w:pPr>
        <w:pStyle w:val="Standard"/>
        <w:jc w:val="center"/>
        <w:rPr>
          <w:sz w:val="24"/>
          <w:szCs w:val="24"/>
        </w:rPr>
      </w:pPr>
      <w:r>
        <w:rPr>
          <w:rFonts w:ascii="Times New Roman" w:hAnsi="Times New Roman" w:cs="Times New Roman"/>
          <w:sz w:val="24"/>
          <w:szCs w:val="24"/>
        </w:rPr>
        <w:t>_____________________________</w:t>
      </w:r>
    </w:p>
    <w:p w:rsidR="00000000" w:rsidRDefault="00C0449A">
      <w:pPr>
        <w:pStyle w:val="HTMLPreformatted"/>
        <w:pageBreakBefore/>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Vaikų ir mokinių maitinimo kaštų</w:t>
      </w:r>
    </w:p>
    <w:p w:rsidR="00000000" w:rsidRDefault="00C0449A">
      <w:pPr>
        <w:pStyle w:val="HTMLPreformatted"/>
      </w:pPr>
      <w:r>
        <w:rPr>
          <w:sz w:val="24"/>
          <w:szCs w:val="24"/>
        </w:rPr>
        <w:tab/>
      </w:r>
      <w:r>
        <w:rPr>
          <w:sz w:val="24"/>
          <w:szCs w:val="24"/>
        </w:rPr>
        <w:tab/>
      </w:r>
      <w:r>
        <w:rPr>
          <w:sz w:val="24"/>
          <w:szCs w:val="24"/>
        </w:rPr>
        <w:tab/>
      </w:r>
      <w:r>
        <w:rPr>
          <w:sz w:val="24"/>
          <w:szCs w:val="24"/>
        </w:rPr>
        <w:tab/>
      </w:r>
      <w:r>
        <w:rPr>
          <w:sz w:val="24"/>
          <w:szCs w:val="24"/>
        </w:rPr>
        <w:tab/>
      </w:r>
      <w:r>
        <w:rPr>
          <w:sz w:val="24"/>
          <w:szCs w:val="24"/>
        </w:rPr>
        <w:tab/>
        <w:t>kompensavimo tvarkos aprašo priedas</w:t>
      </w:r>
    </w:p>
    <w:p w:rsidR="00000000" w:rsidRDefault="00C0449A">
      <w:pPr>
        <w:pStyle w:val="HTMLPreformatted"/>
      </w:pPr>
    </w:p>
    <w:p w:rsidR="00000000" w:rsidRDefault="00C0449A">
      <w:pPr>
        <w:pStyle w:val="HTMLPreformatted"/>
        <w:spacing w:before="120"/>
        <w:jc w:val="center"/>
        <w:rPr>
          <w:sz w:val="18"/>
          <w:szCs w:val="18"/>
        </w:rPr>
      </w:pPr>
      <w:r>
        <w:rPr>
          <w:sz w:val="24"/>
          <w:szCs w:val="24"/>
        </w:rPr>
        <w:t>_____________________________________________________________________________</w:t>
      </w:r>
    </w:p>
    <w:p w:rsidR="00000000" w:rsidRDefault="00C0449A">
      <w:pPr>
        <w:pStyle w:val="HTMLPreformatted"/>
        <w:jc w:val="center"/>
        <w:rPr>
          <w:sz w:val="18"/>
          <w:szCs w:val="18"/>
        </w:rPr>
      </w:pPr>
      <w:r>
        <w:rPr>
          <w:sz w:val="18"/>
          <w:szCs w:val="18"/>
        </w:rPr>
        <w:t>(įmonės pavadinimas)</w:t>
      </w:r>
    </w:p>
    <w:p w:rsidR="00000000" w:rsidRDefault="00C0449A">
      <w:pPr>
        <w:pStyle w:val="HTMLPreformatted"/>
        <w:jc w:val="center"/>
        <w:rPr>
          <w:sz w:val="18"/>
          <w:szCs w:val="18"/>
        </w:rPr>
      </w:pPr>
    </w:p>
    <w:p w:rsidR="00000000" w:rsidRDefault="00C0449A">
      <w:pPr>
        <w:pStyle w:val="HTMLPreformatted"/>
        <w:jc w:val="center"/>
        <w:rPr>
          <w:sz w:val="18"/>
          <w:szCs w:val="18"/>
        </w:rPr>
      </w:pPr>
      <w:r>
        <w:rPr>
          <w:sz w:val="24"/>
          <w:szCs w:val="24"/>
        </w:rPr>
        <w:t>____________________________________</w:t>
      </w:r>
      <w:r>
        <w:rPr>
          <w:sz w:val="24"/>
          <w:szCs w:val="24"/>
        </w:rPr>
        <w:t>_________________________________________</w:t>
      </w:r>
    </w:p>
    <w:p w:rsidR="00000000" w:rsidRDefault="00C0449A">
      <w:pPr>
        <w:pStyle w:val="HTMLPreformatted"/>
        <w:jc w:val="center"/>
      </w:pPr>
      <w:r>
        <w:rPr>
          <w:sz w:val="18"/>
          <w:szCs w:val="18"/>
        </w:rPr>
        <w:t>(įmonės kodas, adresas, kiti duomenys)</w:t>
      </w:r>
    </w:p>
    <w:p w:rsidR="00000000" w:rsidRDefault="00C0449A">
      <w:pPr>
        <w:pStyle w:val="HTMLPreformatted"/>
        <w:jc w:val="center"/>
      </w:pPr>
    </w:p>
    <w:p w:rsidR="00000000" w:rsidRDefault="00C0449A">
      <w:pPr>
        <w:pStyle w:val="HTMLPreformatted"/>
        <w:jc w:val="both"/>
      </w:pPr>
    </w:p>
    <w:p w:rsidR="00000000" w:rsidRDefault="00C0449A">
      <w:pPr>
        <w:pStyle w:val="HTMLPreformatted"/>
        <w:jc w:val="center"/>
        <w:rPr>
          <w:sz w:val="24"/>
          <w:szCs w:val="24"/>
        </w:rPr>
      </w:pPr>
      <w:r>
        <w:rPr>
          <w:b/>
          <w:bCs/>
          <w:sz w:val="24"/>
          <w:szCs w:val="24"/>
        </w:rPr>
        <w:t>ATASKAITA APIE PARDUOTUS SU NUOLAIDA PATIEKALUS</w:t>
      </w:r>
    </w:p>
    <w:p w:rsidR="00000000" w:rsidRDefault="00C0449A">
      <w:pPr>
        <w:pStyle w:val="HTMLPreformatted"/>
        <w:jc w:val="center"/>
      </w:pPr>
      <w:r>
        <w:rPr>
          <w:sz w:val="24"/>
          <w:szCs w:val="24"/>
        </w:rPr>
        <w:t>20___ M. _____________ MĖN. Nr.</w:t>
      </w:r>
    </w:p>
    <w:p w:rsidR="00000000" w:rsidRDefault="00C0449A">
      <w:pPr>
        <w:pStyle w:val="HTMLPreformatted"/>
        <w:jc w:val="center"/>
      </w:pPr>
    </w:p>
    <w:tbl>
      <w:tblPr>
        <w:tblW w:w="0" w:type="auto"/>
        <w:tblInd w:w="-22" w:type="dxa"/>
        <w:tblLayout w:type="fixed"/>
        <w:tblCellMar>
          <w:left w:w="10" w:type="dxa"/>
          <w:right w:w="10" w:type="dxa"/>
        </w:tblCellMar>
        <w:tblLook w:val="0000" w:firstRow="0" w:lastRow="0" w:firstColumn="0" w:lastColumn="0" w:noHBand="0" w:noVBand="0"/>
      </w:tblPr>
      <w:tblGrid>
        <w:gridCol w:w="1170"/>
        <w:gridCol w:w="2091"/>
        <w:gridCol w:w="1776"/>
        <w:gridCol w:w="1651"/>
        <w:gridCol w:w="1390"/>
        <w:gridCol w:w="1564"/>
      </w:tblGrid>
      <w:tr w:rsidR="00000000">
        <w:trPr>
          <w:trHeight w:val="1197"/>
        </w:trPr>
        <w:tc>
          <w:tcPr>
            <w:tcW w:w="1170" w:type="dxa"/>
            <w:tcBorders>
              <w:top w:val="single" w:sz="1" w:space="0" w:color="000000"/>
              <w:left w:val="single" w:sz="1" w:space="0" w:color="000000"/>
              <w:bottom w:val="single" w:sz="1" w:space="0" w:color="000000"/>
            </w:tcBorders>
            <w:shd w:val="clear" w:color="auto" w:fill="auto"/>
          </w:tcPr>
          <w:p w:rsidR="00000000" w:rsidRDefault="00C0449A">
            <w:pPr>
              <w:pStyle w:val="HTMLPreformatted"/>
              <w:jc w:val="center"/>
              <w:rPr>
                <w:sz w:val="22"/>
                <w:szCs w:val="22"/>
              </w:rPr>
            </w:pPr>
            <w:r>
              <w:rPr>
                <w:sz w:val="22"/>
                <w:szCs w:val="22"/>
              </w:rPr>
              <w:t>Data</w:t>
            </w:r>
          </w:p>
        </w:tc>
        <w:tc>
          <w:tcPr>
            <w:tcW w:w="2091" w:type="dxa"/>
            <w:tcBorders>
              <w:top w:val="single" w:sz="1" w:space="0" w:color="000000"/>
              <w:left w:val="single" w:sz="1" w:space="0" w:color="000000"/>
              <w:bottom w:val="single" w:sz="1" w:space="0" w:color="000000"/>
            </w:tcBorders>
            <w:shd w:val="clear" w:color="auto" w:fill="auto"/>
          </w:tcPr>
          <w:p w:rsidR="00000000" w:rsidRDefault="00C0449A">
            <w:pPr>
              <w:pStyle w:val="HTMLPreformatted"/>
              <w:jc w:val="center"/>
              <w:rPr>
                <w:sz w:val="22"/>
                <w:szCs w:val="22"/>
              </w:rPr>
            </w:pPr>
            <w:r>
              <w:rPr>
                <w:sz w:val="22"/>
                <w:szCs w:val="22"/>
              </w:rPr>
              <w:t>Patiekalo pavadinimas</w:t>
            </w:r>
          </w:p>
        </w:tc>
        <w:tc>
          <w:tcPr>
            <w:tcW w:w="1776" w:type="dxa"/>
            <w:tcBorders>
              <w:top w:val="single" w:sz="1" w:space="0" w:color="000000"/>
              <w:left w:val="single" w:sz="1" w:space="0" w:color="000000"/>
              <w:bottom w:val="single" w:sz="1" w:space="0" w:color="000000"/>
            </w:tcBorders>
            <w:shd w:val="clear" w:color="auto" w:fill="auto"/>
          </w:tcPr>
          <w:p w:rsidR="00000000" w:rsidRDefault="00C0449A">
            <w:pPr>
              <w:pStyle w:val="HTMLPreformatted"/>
              <w:jc w:val="center"/>
              <w:rPr>
                <w:sz w:val="22"/>
                <w:szCs w:val="22"/>
              </w:rPr>
            </w:pPr>
            <w:r>
              <w:rPr>
                <w:sz w:val="22"/>
                <w:szCs w:val="22"/>
              </w:rPr>
              <w:t>Parduotų su nuolaida patiekalų</w:t>
            </w:r>
          </w:p>
          <w:p w:rsidR="00000000" w:rsidRDefault="00C0449A">
            <w:pPr>
              <w:pStyle w:val="HTMLPreformatted"/>
              <w:jc w:val="center"/>
              <w:rPr>
                <w:sz w:val="22"/>
                <w:szCs w:val="22"/>
              </w:rPr>
            </w:pPr>
            <w:r>
              <w:rPr>
                <w:sz w:val="22"/>
                <w:szCs w:val="22"/>
              </w:rPr>
              <w:t>skaičius, vienetais/porc.</w:t>
            </w:r>
          </w:p>
        </w:tc>
        <w:tc>
          <w:tcPr>
            <w:tcW w:w="1651" w:type="dxa"/>
            <w:tcBorders>
              <w:top w:val="single" w:sz="1" w:space="0" w:color="000000"/>
              <w:left w:val="single" w:sz="1" w:space="0" w:color="000000"/>
              <w:bottom w:val="single" w:sz="1" w:space="0" w:color="000000"/>
            </w:tcBorders>
            <w:shd w:val="clear" w:color="auto" w:fill="auto"/>
          </w:tcPr>
          <w:p w:rsidR="00000000" w:rsidRDefault="00C0449A">
            <w:pPr>
              <w:pStyle w:val="HTMLPreformatted"/>
              <w:jc w:val="center"/>
              <w:rPr>
                <w:sz w:val="22"/>
                <w:szCs w:val="22"/>
              </w:rPr>
            </w:pPr>
            <w:r>
              <w:rPr>
                <w:sz w:val="22"/>
                <w:szCs w:val="22"/>
              </w:rPr>
              <w:t>Gauta pa</w:t>
            </w:r>
            <w:r>
              <w:rPr>
                <w:sz w:val="22"/>
                <w:szCs w:val="22"/>
              </w:rPr>
              <w:t>jamų už</w:t>
            </w:r>
          </w:p>
          <w:p w:rsidR="00000000" w:rsidRDefault="00C0449A">
            <w:pPr>
              <w:pStyle w:val="HTMLPreformatted"/>
              <w:jc w:val="center"/>
              <w:rPr>
                <w:sz w:val="22"/>
                <w:szCs w:val="22"/>
              </w:rPr>
            </w:pPr>
            <w:r>
              <w:rPr>
                <w:sz w:val="22"/>
                <w:szCs w:val="22"/>
              </w:rPr>
              <w:t>parduotus su</w:t>
            </w:r>
          </w:p>
          <w:p w:rsidR="00000000" w:rsidRDefault="00C0449A">
            <w:pPr>
              <w:pStyle w:val="HTMLPreformatted"/>
              <w:jc w:val="center"/>
              <w:rPr>
                <w:sz w:val="22"/>
                <w:szCs w:val="22"/>
              </w:rPr>
            </w:pPr>
            <w:r>
              <w:rPr>
                <w:sz w:val="22"/>
                <w:szCs w:val="22"/>
              </w:rPr>
              <w:t>nuolaida patiekalus, Eur</w:t>
            </w:r>
          </w:p>
        </w:tc>
        <w:tc>
          <w:tcPr>
            <w:tcW w:w="1390" w:type="dxa"/>
            <w:tcBorders>
              <w:top w:val="single" w:sz="1" w:space="0" w:color="000000"/>
              <w:left w:val="single" w:sz="1" w:space="0" w:color="000000"/>
              <w:bottom w:val="single" w:sz="1" w:space="0" w:color="000000"/>
            </w:tcBorders>
            <w:shd w:val="clear" w:color="auto" w:fill="auto"/>
          </w:tcPr>
          <w:p w:rsidR="00000000" w:rsidRDefault="00C0449A">
            <w:pPr>
              <w:pStyle w:val="TableContents"/>
              <w:jc w:val="center"/>
              <w:rPr>
                <w:sz w:val="22"/>
                <w:szCs w:val="22"/>
              </w:rPr>
            </w:pPr>
            <w:r>
              <w:rPr>
                <w:sz w:val="22"/>
                <w:szCs w:val="22"/>
              </w:rPr>
              <w:t>Pritaikyta nuolaida,</w:t>
            </w:r>
          </w:p>
          <w:p w:rsidR="00000000" w:rsidRDefault="00C0449A">
            <w:pPr>
              <w:pStyle w:val="HTMLPreformatted"/>
              <w:jc w:val="center"/>
              <w:rPr>
                <w:sz w:val="22"/>
                <w:szCs w:val="22"/>
              </w:rPr>
            </w:pPr>
            <w:r>
              <w:rPr>
                <w:sz w:val="22"/>
                <w:szCs w:val="22"/>
              </w:rPr>
              <w:t>proc.</w:t>
            </w:r>
          </w:p>
        </w:tc>
        <w:tc>
          <w:tcPr>
            <w:tcW w:w="1564"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C0449A">
            <w:pPr>
              <w:pStyle w:val="TableContents"/>
              <w:jc w:val="center"/>
            </w:pPr>
            <w:r>
              <w:rPr>
                <w:sz w:val="22"/>
                <w:szCs w:val="22"/>
              </w:rPr>
              <w:t>Pritaikyta nuolaida,(negautos pajamos), Eur</w:t>
            </w:r>
          </w:p>
        </w:tc>
      </w:tr>
      <w:tr w:rsidR="00000000">
        <w:tc>
          <w:tcPr>
            <w:tcW w:w="1170"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2091"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776"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651"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390"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564" w:type="dxa"/>
            <w:tcBorders>
              <w:left w:val="single" w:sz="1" w:space="0" w:color="000000"/>
              <w:bottom w:val="single" w:sz="1" w:space="0" w:color="000000"/>
              <w:right w:val="single" w:sz="1" w:space="0" w:color="000000"/>
            </w:tcBorders>
            <w:shd w:val="clear" w:color="auto" w:fill="auto"/>
          </w:tcPr>
          <w:p w:rsidR="00000000" w:rsidRDefault="00C0449A">
            <w:pPr>
              <w:pStyle w:val="TableContents"/>
              <w:snapToGrid w:val="0"/>
            </w:pPr>
          </w:p>
        </w:tc>
      </w:tr>
      <w:tr w:rsidR="00000000">
        <w:tc>
          <w:tcPr>
            <w:tcW w:w="1170"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2091"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776"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651"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390"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564" w:type="dxa"/>
            <w:tcBorders>
              <w:left w:val="single" w:sz="1" w:space="0" w:color="000000"/>
              <w:bottom w:val="single" w:sz="1" w:space="0" w:color="000000"/>
              <w:right w:val="single" w:sz="1" w:space="0" w:color="000000"/>
            </w:tcBorders>
            <w:shd w:val="clear" w:color="auto" w:fill="auto"/>
          </w:tcPr>
          <w:p w:rsidR="00000000" w:rsidRDefault="00C0449A">
            <w:pPr>
              <w:pStyle w:val="TableContents"/>
              <w:snapToGrid w:val="0"/>
            </w:pPr>
          </w:p>
        </w:tc>
      </w:tr>
      <w:tr w:rsidR="00000000">
        <w:tc>
          <w:tcPr>
            <w:tcW w:w="1170"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2091"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776"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651"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390"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1564" w:type="dxa"/>
            <w:tcBorders>
              <w:left w:val="single" w:sz="1" w:space="0" w:color="000000"/>
              <w:bottom w:val="single" w:sz="1" w:space="0" w:color="000000"/>
              <w:right w:val="single" w:sz="1" w:space="0" w:color="000000"/>
            </w:tcBorders>
            <w:shd w:val="clear" w:color="auto" w:fill="auto"/>
          </w:tcPr>
          <w:p w:rsidR="00000000" w:rsidRDefault="00C0449A">
            <w:pPr>
              <w:pStyle w:val="TableContents"/>
              <w:snapToGrid w:val="0"/>
            </w:pPr>
          </w:p>
        </w:tc>
      </w:tr>
      <w:tr w:rsidR="00000000">
        <w:tc>
          <w:tcPr>
            <w:tcW w:w="1170" w:type="dxa"/>
            <w:tcBorders>
              <w:left w:val="single" w:sz="1" w:space="0" w:color="000000"/>
              <w:bottom w:val="single" w:sz="1" w:space="0" w:color="000000"/>
            </w:tcBorders>
            <w:shd w:val="clear" w:color="auto" w:fill="auto"/>
          </w:tcPr>
          <w:p w:rsidR="00000000" w:rsidRDefault="00C0449A">
            <w:pPr>
              <w:pStyle w:val="TableContents"/>
              <w:snapToGrid w:val="0"/>
            </w:pPr>
          </w:p>
        </w:tc>
        <w:tc>
          <w:tcPr>
            <w:tcW w:w="2091" w:type="dxa"/>
            <w:tcBorders>
              <w:left w:val="single" w:sz="1" w:space="0" w:color="000000"/>
              <w:bottom w:val="single" w:sz="1" w:space="0" w:color="000000"/>
            </w:tcBorders>
            <w:shd w:val="clear" w:color="auto" w:fill="auto"/>
          </w:tcPr>
          <w:p w:rsidR="00000000" w:rsidRDefault="00C0449A">
            <w:pPr>
              <w:pStyle w:val="HTMLPreformatted"/>
              <w:jc w:val="center"/>
            </w:pPr>
            <w:r>
              <w:rPr>
                <w:sz w:val="24"/>
                <w:szCs w:val="24"/>
              </w:rPr>
              <w:t>Iš viso</w:t>
            </w:r>
          </w:p>
        </w:tc>
        <w:tc>
          <w:tcPr>
            <w:tcW w:w="1776" w:type="dxa"/>
            <w:tcBorders>
              <w:left w:val="single" w:sz="1" w:space="0" w:color="000000"/>
              <w:bottom w:val="single" w:sz="1" w:space="0" w:color="000000"/>
            </w:tcBorders>
            <w:shd w:val="clear" w:color="auto" w:fill="auto"/>
          </w:tcPr>
          <w:p w:rsidR="00000000" w:rsidRDefault="00C0449A">
            <w:pPr>
              <w:pStyle w:val="TableContents"/>
            </w:pPr>
            <w:r>
              <w:t>-</w:t>
            </w:r>
          </w:p>
        </w:tc>
        <w:tc>
          <w:tcPr>
            <w:tcW w:w="1651" w:type="dxa"/>
            <w:tcBorders>
              <w:left w:val="single" w:sz="1" w:space="0" w:color="000000"/>
              <w:bottom w:val="single" w:sz="1" w:space="0" w:color="000000"/>
            </w:tcBorders>
            <w:shd w:val="clear" w:color="auto" w:fill="auto"/>
          </w:tcPr>
          <w:p w:rsidR="00000000" w:rsidRDefault="00C0449A">
            <w:pPr>
              <w:pStyle w:val="TableContents"/>
            </w:pPr>
            <w:r>
              <w:t>-</w:t>
            </w:r>
          </w:p>
        </w:tc>
        <w:tc>
          <w:tcPr>
            <w:tcW w:w="1390" w:type="dxa"/>
            <w:tcBorders>
              <w:left w:val="single" w:sz="1" w:space="0" w:color="000000"/>
              <w:bottom w:val="single" w:sz="1" w:space="0" w:color="000000"/>
            </w:tcBorders>
            <w:shd w:val="clear" w:color="auto" w:fill="auto"/>
          </w:tcPr>
          <w:p w:rsidR="00000000" w:rsidRDefault="00C0449A">
            <w:pPr>
              <w:pStyle w:val="TableContents"/>
            </w:pPr>
            <w:r>
              <w:t>-</w:t>
            </w:r>
          </w:p>
        </w:tc>
        <w:tc>
          <w:tcPr>
            <w:tcW w:w="1564" w:type="dxa"/>
            <w:tcBorders>
              <w:left w:val="single" w:sz="1" w:space="0" w:color="000000"/>
              <w:bottom w:val="single" w:sz="1" w:space="0" w:color="000000"/>
              <w:right w:val="single" w:sz="1" w:space="0" w:color="000000"/>
            </w:tcBorders>
            <w:shd w:val="clear" w:color="auto" w:fill="auto"/>
          </w:tcPr>
          <w:p w:rsidR="00000000" w:rsidRDefault="00C0449A">
            <w:pPr>
              <w:pStyle w:val="TableContents"/>
              <w:snapToGrid w:val="0"/>
            </w:pPr>
          </w:p>
        </w:tc>
      </w:tr>
    </w:tbl>
    <w:p w:rsidR="00000000" w:rsidRDefault="00C0449A">
      <w:pPr>
        <w:pStyle w:val="HTMLPreformatted"/>
        <w:jc w:val="both"/>
      </w:pPr>
    </w:p>
    <w:p w:rsidR="00000000" w:rsidRDefault="00C0449A">
      <w:pPr>
        <w:pStyle w:val="HTMLPreformatted"/>
        <w:jc w:val="both"/>
      </w:pPr>
    </w:p>
    <w:p w:rsidR="00000000" w:rsidRDefault="00C0449A">
      <w:pPr>
        <w:pStyle w:val="HTMLPreformatted"/>
        <w:jc w:val="both"/>
      </w:pPr>
      <w:r>
        <w:rPr>
          <w:sz w:val="24"/>
          <w:szCs w:val="24"/>
        </w:rPr>
        <w:t xml:space="preserve">(Įmonės vadovo pareigų pavadinimas) </w:t>
      </w:r>
      <w:r>
        <w:rPr>
          <w:sz w:val="24"/>
          <w:szCs w:val="24"/>
        </w:rPr>
        <w:tab/>
      </w:r>
      <w:r>
        <w:rPr>
          <w:sz w:val="24"/>
          <w:szCs w:val="24"/>
        </w:rPr>
        <w:tab/>
        <w:t>(Parašas)</w:t>
      </w:r>
      <w:r>
        <w:rPr>
          <w:sz w:val="24"/>
          <w:szCs w:val="24"/>
        </w:rPr>
        <w:tab/>
        <w:t>(Vardas ir pavardė)</w:t>
      </w:r>
    </w:p>
    <w:p w:rsidR="00000000" w:rsidRDefault="00C0449A">
      <w:pPr>
        <w:pStyle w:val="HTMLPreformatted"/>
        <w:jc w:val="both"/>
      </w:pPr>
    </w:p>
    <w:p w:rsidR="00000000" w:rsidRDefault="00C0449A">
      <w:pPr>
        <w:pStyle w:val="HTMLPreformatted"/>
        <w:jc w:val="both"/>
      </w:pPr>
      <w:r>
        <w:rPr>
          <w:sz w:val="24"/>
          <w:szCs w:val="24"/>
        </w:rPr>
        <w:tab/>
        <w:t>(A. V.)</w:t>
      </w:r>
    </w:p>
    <w:p w:rsidR="00000000" w:rsidRDefault="00C0449A">
      <w:pPr>
        <w:pStyle w:val="HTMLPreformatted"/>
        <w:jc w:val="both"/>
      </w:pPr>
    </w:p>
    <w:p w:rsidR="00000000" w:rsidRDefault="00C0449A">
      <w:pPr>
        <w:pStyle w:val="HTMLPreformatted"/>
        <w:jc w:val="both"/>
      </w:pPr>
      <w:r>
        <w:rPr>
          <w:sz w:val="24"/>
          <w:szCs w:val="24"/>
        </w:rPr>
        <w:t>(Įmonės vyriausiasi</w:t>
      </w:r>
      <w:r>
        <w:rPr>
          <w:sz w:val="24"/>
          <w:szCs w:val="24"/>
        </w:rPr>
        <w:t>s finansininkas)</w:t>
      </w:r>
      <w:r>
        <w:rPr>
          <w:sz w:val="24"/>
          <w:szCs w:val="24"/>
        </w:rPr>
        <w:tab/>
      </w:r>
      <w:r>
        <w:rPr>
          <w:sz w:val="24"/>
          <w:szCs w:val="24"/>
        </w:rPr>
        <w:tab/>
      </w:r>
      <w:r>
        <w:rPr>
          <w:sz w:val="24"/>
          <w:szCs w:val="24"/>
        </w:rPr>
        <w:tab/>
        <w:t>(Parašas)</w:t>
      </w:r>
      <w:r>
        <w:rPr>
          <w:sz w:val="24"/>
          <w:szCs w:val="24"/>
        </w:rPr>
        <w:tab/>
        <w:t>(Vardas ir pavardė)</w:t>
      </w:r>
    </w:p>
    <w:p w:rsidR="00000000" w:rsidRDefault="00C0449A">
      <w:pPr>
        <w:pStyle w:val="HTMLPreformatted"/>
        <w:jc w:val="both"/>
      </w:pPr>
    </w:p>
    <w:p w:rsidR="00000000" w:rsidRDefault="00C0449A">
      <w:pPr>
        <w:pStyle w:val="HTMLPreformatted"/>
        <w:jc w:val="both"/>
      </w:pPr>
    </w:p>
    <w:p w:rsidR="00000000" w:rsidRDefault="00C0449A">
      <w:pPr>
        <w:pStyle w:val="HTMLPreformatted"/>
        <w:jc w:val="both"/>
      </w:pPr>
    </w:p>
    <w:p w:rsidR="00000000" w:rsidRDefault="00C0449A">
      <w:pPr>
        <w:pStyle w:val="HTMLPreformatted"/>
        <w:jc w:val="both"/>
        <w:rPr>
          <w:sz w:val="23"/>
          <w:szCs w:val="23"/>
        </w:rPr>
      </w:pPr>
    </w:p>
    <w:p w:rsidR="00000000" w:rsidRDefault="00C0449A">
      <w:pPr>
        <w:pStyle w:val="HTMLPreformatted"/>
        <w:jc w:val="both"/>
        <w:rPr>
          <w:sz w:val="24"/>
          <w:szCs w:val="24"/>
        </w:rPr>
      </w:pPr>
    </w:p>
    <w:p w:rsidR="00C0449A" w:rsidRDefault="00C0449A">
      <w:pPr>
        <w:pStyle w:val="HTMLPreformatted"/>
        <w:jc w:val="both"/>
      </w:pPr>
      <w:bookmarkStart w:id="1" w:name="_1033498010"/>
      <w:bookmarkStart w:id="2" w:name="_1052904148"/>
      <w:bookmarkEnd w:id="1"/>
      <w:bookmarkEnd w:id="2"/>
    </w:p>
    <w:sectPr w:rsidR="00C0449A">
      <w:headerReference w:type="default" r:id="rId7"/>
      <w:headerReference w:type="first" r:id="rId8"/>
      <w:pgSz w:w="11906" w:h="16838"/>
      <w:pgMar w:top="1134" w:right="567" w:bottom="1134" w:left="1701" w:header="567"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49A" w:rsidRDefault="00C0449A">
      <w:r>
        <w:separator/>
      </w:r>
    </w:p>
  </w:endnote>
  <w:endnote w:type="continuationSeparator" w:id="0">
    <w:p w:rsidR="00C0449A" w:rsidRDefault="00C0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nt336">
    <w:charset w:val="8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49A" w:rsidRDefault="00C0449A">
      <w:r>
        <w:separator/>
      </w:r>
    </w:p>
  </w:footnote>
  <w:footnote w:type="continuationSeparator" w:id="0">
    <w:p w:rsidR="00C0449A" w:rsidRDefault="00C0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0449A">
    <w:pPr>
      <w:pStyle w:val="Antrats"/>
      <w:jc w:val="center"/>
    </w:pPr>
    <w:r>
      <w:rPr>
        <w:color w:val="FFFFFF"/>
      </w:rPr>
      <w:t>2</w:t>
    </w:r>
  </w:p>
  <w:p w:rsidR="00000000" w:rsidRDefault="00C0449A">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0449A">
    <w:pPr>
      <w:pStyle w:val="Antrats"/>
      <w:jc w:val="center"/>
    </w:pPr>
  </w:p>
  <w:p w:rsidR="00000000" w:rsidRDefault="00C0449A">
    <w:pPr>
      <w:pStyle w:val="Antrats"/>
      <w:jc w:val="center"/>
    </w:pPr>
  </w:p>
  <w:p w:rsidR="00000000" w:rsidRDefault="002141AF">
    <w:pPr>
      <w:pStyle w:val="Antrats"/>
      <w:jc w:val="center"/>
    </w:pPr>
    <w:r>
      <w:rPr>
        <w:noProof/>
        <w:lang w:val="en-GB" w:eastAsia="en-GB"/>
      </w:rPr>
      <w:drawing>
        <wp:inline distT="0" distB="0" distL="0" distR="0">
          <wp:extent cx="530225" cy="636905"/>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636905"/>
                  </a:xfrm>
                  <a:prstGeom prst="rect">
                    <a:avLst/>
                  </a:prstGeom>
                  <a:solidFill>
                    <a:srgbClr val="FFFFFF"/>
                  </a:solidFill>
                  <a:ln>
                    <a:noFill/>
                  </a:ln>
                </pic:spPr>
              </pic:pic>
            </a:graphicData>
          </a:graphic>
        </wp:inline>
      </w:drawing>
    </w:r>
  </w:p>
  <w:p w:rsidR="00000000" w:rsidRDefault="00C0449A">
    <w:pPr>
      <w:pStyle w:val="Antrats"/>
      <w:jc w:val="center"/>
    </w:pPr>
  </w:p>
  <w:p w:rsidR="00000000" w:rsidRDefault="00C0449A">
    <w:pPr>
      <w:pStyle w:val="Antrats"/>
      <w:tabs>
        <w:tab w:val="left" w:pos="912"/>
      </w:tabs>
      <w:jc w:val="center"/>
      <w:rPr>
        <w:b/>
        <w:sz w:val="28"/>
      </w:rPr>
    </w:pPr>
    <w:r>
      <w:tab/>
    </w:r>
    <w:r>
      <w:tab/>
      <w:t xml:space="preserve">   </w:t>
    </w:r>
    <w:r>
      <w:rPr>
        <w:sz w:val="24"/>
        <w:szCs w:val="24"/>
      </w:rPr>
      <w:t xml:space="preserve">                   </w:t>
    </w:r>
    <w:r>
      <w:rPr>
        <w:sz w:val="24"/>
        <w:szCs w:val="24"/>
      </w:rPr>
      <w:tab/>
    </w:r>
  </w:p>
  <w:p w:rsidR="00000000" w:rsidRDefault="00C0449A">
    <w:pPr>
      <w:pStyle w:val="Antrats"/>
      <w:jc w:val="center"/>
      <w:rPr>
        <w:b/>
        <w:sz w:val="28"/>
      </w:rPr>
    </w:pPr>
    <w:r>
      <w:rPr>
        <w:b/>
        <w:sz w:val="28"/>
      </w:rPr>
      <w:t xml:space="preserve">PANEVĖŽIO RAJONO SAVIVALDYBĖS TARYBA </w:t>
    </w:r>
  </w:p>
  <w:p w:rsidR="00000000" w:rsidRDefault="00C0449A">
    <w:pPr>
      <w:pStyle w:val="Antrats"/>
      <w:jc w:val="center"/>
      <w:rPr>
        <w:b/>
        <w:sz w:val="28"/>
      </w:rPr>
    </w:pPr>
  </w:p>
  <w:p w:rsidR="00000000" w:rsidRDefault="00C0449A">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Straipsnis %1."/>
      <w:lvlJc w:val="left"/>
      <w:pPr>
        <w:tabs>
          <w:tab w:val="num" w:pos="3483"/>
        </w:tabs>
        <w:ind w:left="1683" w:firstLine="0"/>
      </w:pPr>
    </w:lvl>
    <w:lvl w:ilvl="1">
      <w:start w:val="1"/>
      <w:numFmt w:val="decimal"/>
      <w:lvlText w:val="Sekcija %1.%2"/>
      <w:lvlJc w:val="left"/>
      <w:pPr>
        <w:tabs>
          <w:tab w:val="num" w:pos="7176"/>
        </w:tabs>
        <w:ind w:left="6096" w:firstLine="0"/>
      </w:pPr>
    </w:lvl>
    <w:lvl w:ilvl="2">
      <w:start w:val="1"/>
      <w:numFmt w:val="lowerLetter"/>
      <w:lvlText w:val="(%3)"/>
      <w:lvlJc w:val="left"/>
      <w:pPr>
        <w:tabs>
          <w:tab w:val="num" w:pos="720"/>
        </w:tabs>
        <w:ind w:left="720" w:hanging="432"/>
      </w:pPr>
    </w:lvl>
    <w:lvl w:ilvl="3">
      <w:start w:val="1"/>
      <w:numFmt w:val="lowerRoman"/>
      <w:lvlText w:val="(%4)"/>
      <w:lvlJc w:val="lef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lef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AF"/>
    <w:rsid w:val="002141AF"/>
    <w:rsid w:val="00C0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5E177C7-BC72-4F67-88E6-E563952B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tabs>
        <w:tab w:val="left" w:pos="3483"/>
      </w:tabs>
      <w:jc w:val="center"/>
      <w:outlineLvl w:val="0"/>
    </w:pPr>
    <w:rPr>
      <w:rFonts w:ascii="Arial" w:hAnsi="Arial" w:cs="Arial"/>
      <w:b/>
      <w:bCs/>
      <w:sz w:val="24"/>
    </w:rPr>
  </w:style>
  <w:style w:type="paragraph" w:styleId="Antrat2">
    <w:name w:val="heading 2"/>
    <w:basedOn w:val="prastasis"/>
    <w:next w:val="prastasis"/>
    <w:qFormat/>
    <w:pPr>
      <w:keepNext/>
      <w:numPr>
        <w:ilvl w:val="1"/>
        <w:numId w:val="1"/>
      </w:numPr>
      <w:tabs>
        <w:tab w:val="left" w:pos="7176"/>
      </w:tabs>
      <w:outlineLvl w:val="1"/>
    </w:pPr>
    <w:rPr>
      <w:rFonts w:ascii="Arial" w:hAnsi="Arial" w:cs="Arial"/>
      <w:b/>
      <w:bCs/>
      <w:sz w:val="22"/>
      <w:szCs w:val="24"/>
    </w:rPr>
  </w:style>
  <w:style w:type="paragraph" w:styleId="Antrat3">
    <w:name w:val="heading 3"/>
    <w:basedOn w:val="prastasis"/>
    <w:next w:val="prastasis"/>
    <w:qFormat/>
    <w:pPr>
      <w:keepNext/>
      <w:numPr>
        <w:ilvl w:val="2"/>
        <w:numId w:val="1"/>
      </w:numPr>
      <w:tabs>
        <w:tab w:val="left" w:pos="720"/>
      </w:tabs>
      <w:jc w:val="both"/>
      <w:outlineLvl w:val="2"/>
    </w:pPr>
    <w:rPr>
      <w:rFonts w:ascii="Arial" w:hAnsi="Arial" w:cs="Arial"/>
      <w:b/>
      <w:bCs/>
      <w:sz w:val="22"/>
      <w:szCs w:val="24"/>
    </w:rPr>
  </w:style>
  <w:style w:type="paragraph" w:styleId="Antrat4">
    <w:name w:val="heading 4"/>
    <w:basedOn w:val="prastasis"/>
    <w:next w:val="prastasis"/>
    <w:qFormat/>
    <w:pPr>
      <w:keepNext/>
      <w:numPr>
        <w:ilvl w:val="3"/>
        <w:numId w:val="1"/>
      </w:numPr>
      <w:tabs>
        <w:tab w:val="left" w:pos="864"/>
      </w:tabs>
      <w:jc w:val="both"/>
      <w:outlineLvl w:val="3"/>
    </w:pPr>
    <w:rPr>
      <w:rFonts w:ascii="Arial" w:hAnsi="Arial" w:cs="Arial"/>
      <w:b/>
      <w:bCs/>
      <w:sz w:val="22"/>
      <w:szCs w:val="24"/>
    </w:rPr>
  </w:style>
  <w:style w:type="paragraph" w:styleId="Antrat5">
    <w:name w:val="heading 5"/>
    <w:basedOn w:val="prastasis"/>
    <w:next w:val="prastasis"/>
    <w:qFormat/>
    <w:pPr>
      <w:keepNext/>
      <w:numPr>
        <w:ilvl w:val="4"/>
        <w:numId w:val="1"/>
      </w:numPr>
      <w:tabs>
        <w:tab w:val="left" w:pos="1008"/>
      </w:tabs>
      <w:jc w:val="center"/>
      <w:outlineLvl w:val="4"/>
    </w:pPr>
    <w:rPr>
      <w:rFonts w:ascii="Arial" w:hAnsi="Arial" w:cs="Arial"/>
      <w:b/>
      <w:bCs/>
      <w:sz w:val="2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
    <w:name w:val="Default Paragraph Font"/>
  </w:style>
  <w:style w:type="character" w:customStyle="1" w:styleId="Heading1Char">
    <w:name w:val="Heading 1 Char"/>
    <w:basedOn w:val="DefaultParagraphFont"/>
    <w:rPr>
      <w:rFonts w:ascii="Calibri Light" w:eastAsia="Times New Roman" w:hAnsi="Calibri Light" w:cs="Times New Roman"/>
      <w:b/>
      <w:bCs/>
      <w:kern w:val="1"/>
      <w:sz w:val="32"/>
      <w:szCs w:val="32"/>
    </w:rPr>
  </w:style>
  <w:style w:type="character" w:customStyle="1" w:styleId="Heading2Char">
    <w:name w:val="Heading 2 Char"/>
    <w:basedOn w:val="DefaultParagraphFont"/>
    <w:rPr>
      <w:rFonts w:ascii="Calibri Light" w:eastAsia="Times New Roman" w:hAnsi="Calibri Light" w:cs="Times New Roman"/>
      <w:b/>
      <w:bCs/>
      <w:i/>
      <w:iCs/>
      <w:sz w:val="28"/>
      <w:szCs w:val="28"/>
    </w:rPr>
  </w:style>
  <w:style w:type="character" w:customStyle="1" w:styleId="Heading3Char">
    <w:name w:val="Heading 3 Char"/>
    <w:basedOn w:val="DefaultParagraphFont"/>
    <w:rPr>
      <w:rFonts w:ascii="Calibri Light" w:eastAsia="Times New Roman" w:hAnsi="Calibri Light" w:cs="Times New Roman"/>
      <w:b/>
      <w:bCs/>
      <w:sz w:val="26"/>
      <w:szCs w:val="26"/>
    </w:rPr>
  </w:style>
  <w:style w:type="character" w:customStyle="1" w:styleId="Heading4Char">
    <w:name w:val="Heading 4 Char"/>
    <w:basedOn w:val="DefaultParagraphFont"/>
    <w:rPr>
      <w:rFonts w:ascii="Calibri" w:eastAsia="Times New Roman" w:hAnsi="Calibri" w:cs="Times New Roman"/>
      <w:b/>
      <w:bCs/>
      <w:sz w:val="28"/>
      <w:szCs w:val="28"/>
    </w:rPr>
  </w:style>
  <w:style w:type="character" w:customStyle="1" w:styleId="Heading5Char">
    <w:name w:val="Heading 5 Char"/>
    <w:basedOn w:val="DefaultParagraphFont"/>
    <w:rPr>
      <w:rFonts w:ascii="Calibri" w:eastAsia="Times New Roman" w:hAnsi="Calibri" w:cs="Times New Roman"/>
      <w:b/>
      <w:bCs/>
      <w:i/>
      <w:iCs/>
      <w:sz w:val="26"/>
      <w:szCs w:val="26"/>
    </w:rPr>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rPr>
      <w:rFonts w:eastAsia="Times New Roman"/>
      <w:color w:val="auto"/>
      <w:kern w:val="1"/>
      <w:sz w:val="24"/>
      <w:shd w:val="clear" w:color="auto" w:fill="auto"/>
      <w:lang w:val="lt-LT"/>
    </w:rPr>
  </w:style>
  <w:style w:type="character" w:customStyle="1" w:styleId="WW8Num2z3">
    <w:name w:val="WW8Num2z3"/>
    <w:rPr>
      <w:rFonts w:eastAsia="Times New Roman"/>
      <w:color w:val="auto"/>
      <w:kern w:val="1"/>
      <w:sz w:val="24"/>
      <w:shd w:val="clear" w:color="auto" w:fill="auto"/>
      <w:lang w:val="lt-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Puslapionumeris">
    <w:name w:val="page number"/>
    <w:basedOn w:val="DefaultParagraphFont"/>
    <w:rPr>
      <w:rFonts w:cs="Times New Roman"/>
    </w:rPr>
  </w:style>
  <w:style w:type="character" w:styleId="Hipersaitas">
    <w:name w:val="Hyperlink"/>
    <w:basedOn w:val="DefaultParagraphFont"/>
    <w:rPr>
      <w:color w:val="000080"/>
      <w:u w:val="single"/>
    </w:rPr>
  </w:style>
  <w:style w:type="character" w:customStyle="1" w:styleId="Numatytasispastraiposriftas1">
    <w:name w:val="Numatytasis pastraipos šriftas1"/>
  </w:style>
  <w:style w:type="character" w:styleId="Emfaz">
    <w:name w:val="Emphasis"/>
    <w:basedOn w:val="DefaultParagraphFont"/>
    <w:qFormat/>
    <w:rPr>
      <w:i/>
    </w:rPr>
  </w:style>
  <w:style w:type="character" w:customStyle="1" w:styleId="Numeravimosimboliai">
    <w:name w:val="Numeravimo simboliai"/>
  </w:style>
  <w:style w:type="character" w:customStyle="1" w:styleId="Internetlink">
    <w:name w:val="Internet link"/>
    <w:rPr>
      <w:color w:val="000080"/>
      <w:sz w:val="24"/>
      <w:u w:val="single"/>
    </w:rPr>
  </w:style>
  <w:style w:type="character" w:customStyle="1" w:styleId="Numeravimoenklai">
    <w:name w:val="Numeravimo ženklai"/>
  </w:style>
  <w:style w:type="character" w:customStyle="1" w:styleId="BodyTextChar">
    <w:name w:val="Body Text Char"/>
    <w:basedOn w:val="DefaultParagraphFont"/>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TMLPreformattedChar">
    <w:name w:val="HTML Preformatted Char"/>
    <w:basedOn w:val="DefaultParagraphFont"/>
    <w:rPr>
      <w:rFonts w:ascii="Courier New" w:hAnsi="Courier New" w:cs="Courier New"/>
    </w:rPr>
  </w:style>
  <w:style w:type="character" w:customStyle="1" w:styleId="BodyTextIndent2Char">
    <w:name w:val="Body Text Indent 2 Char"/>
    <w:basedOn w:val="DefaultParagraphFont"/>
  </w:style>
  <w:style w:type="character" w:customStyle="1" w:styleId="BodyTextIndent3Char">
    <w:name w:val="Body Text Indent 3 Char"/>
    <w:basedOn w:val="DefaultParagraphFont"/>
    <w:rPr>
      <w:sz w:val="16"/>
      <w:szCs w:val="16"/>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HTMLPreformatted">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en-GB"/>
    </w:rPr>
  </w:style>
  <w:style w:type="paragraph" w:customStyle="1" w:styleId="NormalWeb">
    <w:name w:val="Normal (Web)"/>
    <w:basedOn w:val="prastasis"/>
    <w:pPr>
      <w:spacing w:before="280" w:after="280"/>
    </w:pPr>
    <w:rPr>
      <w:sz w:val="24"/>
      <w:szCs w:val="24"/>
    </w:rPr>
  </w:style>
  <w:style w:type="paragraph" w:customStyle="1" w:styleId="Kadroturinys">
    <w:name w:val="Kadro turinys"/>
    <w:basedOn w:val="Pagrindinistekstas"/>
  </w:style>
  <w:style w:type="paragraph" w:customStyle="1" w:styleId="BodyTextIndent2">
    <w:name w:val="Body Text Indent 2"/>
    <w:basedOn w:val="prastasis"/>
    <w:pPr>
      <w:tabs>
        <w:tab w:val="left" w:pos="-120"/>
      </w:tabs>
      <w:ind w:firstLine="720"/>
      <w:jc w:val="both"/>
    </w:pPr>
    <w:rPr>
      <w:b/>
      <w:sz w:val="24"/>
    </w:rPr>
  </w:style>
  <w:style w:type="paragraph" w:customStyle="1" w:styleId="BodyTextIndent3">
    <w:name w:val="Body Text Indent 3"/>
    <w:basedOn w:val="prastasis"/>
    <w:pPr>
      <w:tabs>
        <w:tab w:val="left" w:pos="-120"/>
      </w:tabs>
      <w:ind w:firstLine="720"/>
      <w:jc w:val="both"/>
    </w:pPr>
    <w:rPr>
      <w:sz w:val="24"/>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kern w:val="1"/>
      <w:lang w:val="en-US" w:eastAsia="ar-SA"/>
    </w:rPr>
  </w:style>
  <w:style w:type="paragraph" w:customStyle="1" w:styleId="Lentelsturinys">
    <w:name w:val="Lentelės turinys"/>
    <w:basedOn w:val="prastasis"/>
    <w:pPr>
      <w:suppressLineNumbers/>
    </w:pPr>
  </w:style>
  <w:style w:type="paragraph" w:customStyle="1" w:styleId="Sraas0">
    <w:name w:val="Sàraðas"/>
    <w:basedOn w:val="Pagrindinistekstas"/>
  </w:style>
  <w:style w:type="paragraph" w:customStyle="1" w:styleId="Rodykl0">
    <w:name w:val="Rodyklë"/>
    <w:basedOn w:val="prastasis"/>
    <w:rPr>
      <w:rFonts w:cs="Mangal"/>
      <w:kern w:val="1"/>
      <w:sz w:val="24"/>
    </w:rPr>
  </w:style>
  <w:style w:type="paragraph" w:customStyle="1" w:styleId="Standard">
    <w:name w:val="Standard"/>
    <w:pPr>
      <w:suppressAutoHyphens/>
      <w:textAlignment w:val="baseline"/>
    </w:pPr>
    <w:rPr>
      <w:rFonts w:ascii="Calibri" w:eastAsia="SimSun" w:hAnsi="Calibri" w:cs="Tahoma"/>
      <w:kern w:val="1"/>
      <w:sz w:val="22"/>
      <w:szCs w:val="22"/>
      <w:lang w:eastAsia="ar-SA"/>
    </w:rPr>
  </w:style>
  <w:style w:type="paragraph" w:customStyle="1" w:styleId="TableContents">
    <w:name w:val="Table Contents"/>
    <w:basedOn w:val="Standard"/>
    <w:pPr>
      <w:widowControl w:val="0"/>
      <w:suppressLineNumbers/>
    </w:pPr>
    <w:rPr>
      <w:rFonts w:ascii="Times New Roman" w:hAnsi="Times New Roman" w:cs="Mangal"/>
      <w:sz w:val="24"/>
      <w:szCs w:val="24"/>
      <w:lang w:val="lt-LT" w:eastAsia="hi-IN" w:bidi="hi-IN"/>
    </w:rPr>
  </w:style>
  <w:style w:type="paragraph" w:customStyle="1" w:styleId="Textbody">
    <w:name w:val="Text body"/>
    <w:basedOn w:val="Standard"/>
    <w:pPr>
      <w:widowControl w:val="0"/>
      <w:spacing w:after="120"/>
    </w:pPr>
    <w:rPr>
      <w:rFonts w:ascii="Times New Roman" w:hAnsi="Times New Roman" w:cs="Mangal"/>
      <w:sz w:val="24"/>
      <w:szCs w:val="24"/>
      <w:lang w:val="lt-LT" w:eastAsia="hi-IN" w:bidi="hi-IN"/>
    </w:r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7452</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DĖL  MOKINIŲ MAITINIMO PASLAUGŲ PIRKIMO KRITERIJŲ TVIRTINIMO</vt:lpstr>
    </vt:vector>
  </TitlesOfParts>
  <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MAITINIMO PASLAUGŲ PIRKIMO KRITERIJŲ TVIRTINIMO</dc:title>
  <dc:subject/>
  <dc:creator>Birute Goberiene</dc:creator>
  <cp:keywords/>
  <cp:lastModifiedBy>Svetlana Jerpyliova</cp:lastModifiedBy>
  <cp:revision>2</cp:revision>
  <cp:lastPrinted>2016-03-31T12:53:00Z</cp:lastPrinted>
  <dcterms:created xsi:type="dcterms:W3CDTF">2016-03-31T13:16:00Z</dcterms:created>
  <dcterms:modified xsi:type="dcterms:W3CDTF">2016-03-31T13:16:00Z</dcterms:modified>
</cp:coreProperties>
</file>