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F4546">
      <w:pPr>
        <w:widowControl w:val="0"/>
        <w:tabs>
          <w:tab w:val="left" w:pos="1440"/>
        </w:tabs>
        <w:spacing w:after="0" w:line="100" w:lineRule="atLeast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sz w:val="24"/>
          <w:szCs w:val="24"/>
          <w:lang w:eastAsia="hi-IN" w:bidi="hi-IN"/>
        </w:rPr>
        <w:t>DĖL PANEVĖŽIO RAJONO SAVIVALDYBĖS TARYBOS 2011 M. RUGPJŪČIO 25 D. SPRENDIMO NR. T-163 „DĖL PANEVĖŽIO RAJONO SAVIVALDYBĖS TARYBOS VEIKLOS REGLAMENTO PATVIRTINIMO“ PAKEITIMO</w:t>
      </w:r>
    </w:p>
    <w:p w:rsidR="00000000" w:rsidRDefault="001F4546">
      <w:pPr>
        <w:widowControl w:val="0"/>
        <w:spacing w:after="0" w:line="100" w:lineRule="atLeast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</w:p>
    <w:p w:rsidR="00000000" w:rsidRDefault="001F4546">
      <w:pPr>
        <w:pStyle w:val="ListParagraph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2015 m. rugpjūčio 20 d. Nr. T</w:t>
      </w:r>
      <w:r>
        <w:rPr>
          <w:rFonts w:ascii="Times New Roman" w:hAnsi="Times New Roman"/>
          <w:sz w:val="24"/>
          <w:szCs w:val="24"/>
        </w:rPr>
        <w:t>-174</w:t>
      </w:r>
    </w:p>
    <w:p w:rsidR="00000000" w:rsidRDefault="001F4546">
      <w:pPr>
        <w:pStyle w:val="ListParagraph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Panevėžys</w:t>
      </w:r>
    </w:p>
    <w:p w:rsidR="00000000" w:rsidRDefault="001F4546">
      <w:pPr>
        <w:pStyle w:val="ListParagraph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000000" w:rsidRDefault="001F4546">
      <w:pPr>
        <w:pStyle w:val="ListParagraph"/>
        <w:spacing w:after="0" w:line="100" w:lineRule="atLeast"/>
        <w:ind w:left="0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  <w:r>
        <w:rPr>
          <w:rFonts w:ascii="Times New Roman" w:hAnsi="Times New Roman"/>
          <w:sz w:val="24"/>
          <w:szCs w:val="24"/>
        </w:rPr>
        <w:t>Vadovaudamasi Lietuvos Respublikos vietos savivaldos įstatymo 18 straipsnio 1 dalimi, Savivaldybės taryba n u s p r e n d ž i a:</w:t>
      </w:r>
    </w:p>
    <w:p w:rsidR="00000000" w:rsidRDefault="001F4546">
      <w:pPr>
        <w:tabs>
          <w:tab w:val="left" w:pos="709"/>
        </w:tabs>
        <w:spacing w:after="0" w:line="10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ab/>
        <w:t>Pakeisti Panevėžio rajono savivaldybės tarybos veiklos reglamentą, patvirtintą Panevėžio rajono savivaldybės t</w:t>
      </w:r>
      <w:r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 xml:space="preserve">arybos 2011 m. rugpjūčio 25 d. sprendimu Nr. T-163 </w:t>
      </w:r>
      <w:r>
        <w:rPr>
          <w:rFonts w:ascii="Times New Roman" w:eastAsia="SimSun" w:hAnsi="Times New Roman"/>
          <w:sz w:val="24"/>
          <w:szCs w:val="24"/>
          <w:lang w:eastAsia="hi-IN" w:bidi="hi-IN"/>
        </w:rPr>
        <w:t>„Dėl Panevėžio rajono savivaldybės tarybo</w:t>
      </w:r>
      <w:r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 xml:space="preserve">s veiklos reglamento patvirtinimo“: </w:t>
      </w:r>
    </w:p>
    <w:p w:rsidR="00000000" w:rsidRDefault="001F4546">
      <w:pPr>
        <w:numPr>
          <w:ilvl w:val="0"/>
          <w:numId w:val="1"/>
        </w:numPr>
        <w:tabs>
          <w:tab w:val="left" w:pos="709"/>
        </w:tabs>
        <w:spacing w:after="0" w:line="10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>pakeisti 25.28 punktą ir jį išdėstyti taip:</w:t>
      </w:r>
    </w:p>
    <w:p w:rsidR="00000000" w:rsidRDefault="001F4546">
      <w:pPr>
        <w:tabs>
          <w:tab w:val="left" w:pos="709"/>
        </w:tabs>
        <w:spacing w:after="0" w:line="100" w:lineRule="atLeast"/>
        <w:jc w:val="both"/>
        <w:rPr>
          <w:rFonts w:ascii="Times New Roman" w:hAnsi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ab/>
        <w:t>„25.28. sprendimų dėl paskolų ėmimo ir garantijų teikimo už ilgalaikes paskolas pr</w:t>
      </w:r>
      <w:r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>iėmimas; šios paskolos naudojamos tik investicijų projektams, tarp jų pagal Vyriausybės patvirtintas programas savivaldybių įgyvendinamiems energijos vartojimo efektyvumo didinimo projektams, finansuoti pagal Vyriausybės nustatytą tvarką, laikantis įstatym</w:t>
      </w:r>
      <w:r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>ų nustatytų skolinimosi limitų ir gavus savivaldybės kontrolės ir audito tarnybos išvadą;“</w:t>
      </w:r>
    </w:p>
    <w:p w:rsidR="00000000" w:rsidRDefault="001F4546">
      <w:pPr>
        <w:pStyle w:val="ListParagraph"/>
        <w:numPr>
          <w:ilvl w:val="0"/>
          <w:numId w:val="1"/>
        </w:numPr>
        <w:tabs>
          <w:tab w:val="left" w:pos="1071"/>
        </w:tabs>
        <w:spacing w:after="0" w:line="100" w:lineRule="atLeast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hi-IN" w:bidi="hi-IN"/>
        </w:rPr>
        <w:t>pakei</w:t>
      </w:r>
      <w:r>
        <w:rPr>
          <w:rFonts w:ascii="Times New Roman" w:hAnsi="Times New Roman"/>
          <w:sz w:val="24"/>
          <w:szCs w:val="24"/>
        </w:rPr>
        <w:t>sti 25.46 punktą ir jį išdėstyti taip:</w:t>
      </w:r>
    </w:p>
    <w:p w:rsidR="00000000" w:rsidRDefault="001F4546">
      <w:pPr>
        <w:pStyle w:val="ListParagraph"/>
        <w:spacing w:after="0" w:line="100" w:lineRule="atLeast"/>
        <w:ind w:left="0" w:firstLine="720"/>
        <w:jc w:val="both"/>
        <w:rPr>
          <w:rFonts w:ascii="Times New Roman" w:hAnsi="Times New Roman"/>
          <w:sz w:val="24"/>
          <w:szCs w:val="24"/>
          <w:lang w:eastAsia="hi-IN" w:bidi="hi-IN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25.46. </w:t>
      </w:r>
      <w:r>
        <w:rPr>
          <w:rFonts w:ascii="Times New Roman" w:hAnsi="Times New Roman"/>
          <w:sz w:val="24"/>
          <w:szCs w:val="24"/>
          <w:lang w:eastAsia="hi-IN" w:bidi="hi-IN"/>
        </w:rPr>
        <w:t>kiekvienais metais iki liepos 15 dienos iš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hi-IN" w:bidi="hi-IN"/>
        </w:rPr>
        <w:t>klauso savivaldybės kontrolės ir audito išvadą dėl</w:t>
      </w:r>
      <w:r>
        <w:rPr>
          <w:rFonts w:ascii="Times New Roman" w:hAnsi="Times New Roman"/>
          <w:sz w:val="24"/>
          <w:szCs w:val="24"/>
        </w:rPr>
        <w:t xml:space="preserve"> pateikto tvirtinti s</w:t>
      </w:r>
      <w:r>
        <w:rPr>
          <w:rFonts w:ascii="Times New Roman" w:hAnsi="Times New Roman"/>
          <w:sz w:val="24"/>
          <w:szCs w:val="24"/>
        </w:rPr>
        <w:t>avivaldybės konsoliduotųjų ataskaitų rinkinio, savivaldybės biudžeto ir turto naudojimo</w:t>
      </w:r>
      <w:r>
        <w:rPr>
          <w:rFonts w:ascii="Times New Roman" w:hAnsi="Times New Roman"/>
          <w:sz w:val="24"/>
          <w:szCs w:val="24"/>
          <w:lang w:eastAsia="hi-IN" w:bidi="hi-IN"/>
        </w:rPr>
        <w:t xml:space="preserve"> ir tai įformina protokole. Finansų skyrius pateiktų tvirtinti savivaldybės biudžeto, savivaldybės konsoliduo</w:t>
      </w:r>
      <w:r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>tųjų ataskaitų rinkinio kopijas savivaldybės kontrolės ir au</w:t>
      </w:r>
      <w:r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>dito tarnybai pateikia kartu, kai siu</w:t>
      </w:r>
      <w:r>
        <w:rPr>
          <w:rFonts w:ascii="Times New Roman" w:hAnsi="Times New Roman"/>
          <w:sz w:val="24"/>
          <w:szCs w:val="24"/>
          <w:lang w:eastAsia="hi-IN" w:bidi="hi-IN"/>
        </w:rPr>
        <w:t>nčia ataskaitas Lietuvos Respublikos finansų ministerijai;“</w:t>
      </w:r>
    </w:p>
    <w:p w:rsidR="00000000" w:rsidRDefault="001F4546">
      <w:pPr>
        <w:pStyle w:val="ListParagraph"/>
        <w:numPr>
          <w:ilvl w:val="0"/>
          <w:numId w:val="1"/>
        </w:numPr>
        <w:tabs>
          <w:tab w:val="left" w:pos="1086"/>
        </w:tabs>
        <w:spacing w:after="0" w:line="100" w:lineRule="atLeast"/>
        <w:ind w:left="0" w:firstLine="720"/>
        <w:jc w:val="both"/>
        <w:rPr>
          <w:rFonts w:ascii="Times New Roman" w:hAnsi="Times New Roman"/>
          <w:sz w:val="24"/>
          <w:szCs w:val="24"/>
          <w:lang w:eastAsia="hi-IN" w:bidi="hi-IN"/>
        </w:rPr>
      </w:pPr>
      <w:r>
        <w:rPr>
          <w:rFonts w:ascii="Times New Roman" w:hAnsi="Times New Roman"/>
          <w:sz w:val="24"/>
          <w:szCs w:val="24"/>
          <w:lang w:eastAsia="hi-IN" w:bidi="hi-IN"/>
        </w:rPr>
        <w:t>pakeisti 183 punktą ir jį išdėstyti taip:</w:t>
      </w:r>
    </w:p>
    <w:p w:rsidR="00000000" w:rsidRDefault="001F4546">
      <w:pPr>
        <w:pStyle w:val="ListParagraph"/>
        <w:spacing w:after="0" w:line="100" w:lineRule="atLeast"/>
        <w:ind w:left="0" w:firstLine="720"/>
        <w:jc w:val="both"/>
        <w:rPr>
          <w:rFonts w:ascii="Times New Roman" w:hAnsi="Times New Roman"/>
          <w:sz w:val="24"/>
          <w:szCs w:val="24"/>
          <w:lang w:eastAsia="hi-IN" w:bidi="hi-IN"/>
        </w:rPr>
      </w:pPr>
      <w:r>
        <w:rPr>
          <w:rFonts w:ascii="Times New Roman" w:hAnsi="Times New Roman"/>
          <w:sz w:val="24"/>
          <w:szCs w:val="24"/>
          <w:lang w:eastAsia="hi-IN" w:bidi="hi-IN"/>
        </w:rPr>
        <w:t>„</w:t>
      </w:r>
      <w:r>
        <w:rPr>
          <w:rFonts w:ascii="Times New Roman" w:hAnsi="Times New Roman"/>
          <w:sz w:val="24"/>
          <w:szCs w:val="24"/>
          <w:lang w:eastAsia="hi-IN" w:bidi="hi-IN"/>
        </w:rPr>
        <w:t xml:space="preserve">183. Savivaldybės kontrolės ir audito tarnybos veiklos ataskaita turi būti pateikta iki rugpjūčio </w:t>
      </w:r>
      <w:r>
        <w:rPr>
          <w:rFonts w:ascii="Times New Roman" w:hAnsi="Times New Roman"/>
          <w:sz w:val="24"/>
          <w:szCs w:val="24"/>
          <w:lang w:eastAsia="hi-IN" w:bidi="hi-IN"/>
        </w:rPr>
        <w:br/>
        <w:t>1 dienos, mero ir</w:t>
      </w:r>
      <w:r>
        <w:rPr>
          <w:rFonts w:ascii="Times New Roman" w:hAnsi="Times New Roman"/>
          <w:sz w:val="24"/>
          <w:szCs w:val="24"/>
          <w:lang w:eastAsia="hi-IN" w:bidi="hi-IN"/>
        </w:rPr>
        <w:t xml:space="preserve"> administracijos direktoriaus ataskaitos – iki gegužės 1 dienos.“</w:t>
      </w:r>
    </w:p>
    <w:p w:rsidR="00000000" w:rsidRDefault="001F4546">
      <w:pPr>
        <w:pStyle w:val="ListParagraph"/>
        <w:numPr>
          <w:ilvl w:val="0"/>
          <w:numId w:val="1"/>
        </w:numPr>
        <w:tabs>
          <w:tab w:val="left" w:pos="1057"/>
        </w:tabs>
        <w:spacing w:after="0" w:line="100" w:lineRule="atLeast"/>
        <w:ind w:left="0" w:firstLine="720"/>
        <w:jc w:val="both"/>
        <w:rPr>
          <w:rFonts w:ascii="Times New Roman" w:hAnsi="Times New Roman"/>
          <w:sz w:val="24"/>
          <w:szCs w:val="24"/>
          <w:lang w:eastAsia="hi-IN" w:bidi="hi-IN"/>
        </w:rPr>
      </w:pPr>
      <w:r>
        <w:rPr>
          <w:rFonts w:ascii="Times New Roman" w:hAnsi="Times New Roman"/>
          <w:sz w:val="24"/>
          <w:szCs w:val="24"/>
          <w:lang w:eastAsia="hi-IN" w:bidi="hi-IN"/>
        </w:rPr>
        <w:t xml:space="preserve">pripažinti netekusiu galios 25.47 punktą. </w:t>
      </w:r>
    </w:p>
    <w:p w:rsidR="00000000" w:rsidRDefault="001F4546">
      <w:pPr>
        <w:pStyle w:val="ListParagraph"/>
        <w:spacing w:after="0" w:line="100" w:lineRule="atLeast"/>
        <w:ind w:left="0" w:firstLine="720"/>
        <w:jc w:val="both"/>
        <w:rPr>
          <w:rFonts w:ascii="Times New Roman" w:hAnsi="Times New Roman"/>
          <w:sz w:val="24"/>
          <w:szCs w:val="24"/>
          <w:lang w:eastAsia="hi-IN" w:bidi="hi-IN"/>
        </w:rPr>
      </w:pPr>
    </w:p>
    <w:p w:rsidR="00000000" w:rsidRDefault="001F4546">
      <w:pPr>
        <w:pStyle w:val="ListParagraph"/>
        <w:tabs>
          <w:tab w:val="left" w:pos="709"/>
        </w:tabs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:rsidR="00000000" w:rsidRDefault="001F4546">
      <w:pPr>
        <w:pStyle w:val="ListParagraph"/>
        <w:tabs>
          <w:tab w:val="left" w:pos="709"/>
        </w:tabs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:rsidR="00000000" w:rsidRDefault="001F4546">
      <w:pPr>
        <w:pStyle w:val="ListParagraph"/>
        <w:tabs>
          <w:tab w:val="left" w:pos="709"/>
        </w:tabs>
        <w:spacing w:after="0" w:line="10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>Savivaldybės meras</w:t>
      </w:r>
      <w:r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ab/>
        <w:t xml:space="preserve">Povilas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>Žagunis</w:t>
      </w:r>
      <w:proofErr w:type="spellEnd"/>
    </w:p>
    <w:p w:rsidR="00000000" w:rsidRDefault="001F4546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1F4546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1F4546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1F4546">
      <w:pPr>
        <w:spacing w:after="0" w:line="100" w:lineRule="atLeast"/>
        <w:jc w:val="both"/>
      </w:pPr>
    </w:p>
    <w:p w:rsidR="001F4546" w:rsidRDefault="001F4546">
      <w:pPr>
        <w:shd w:val="clear" w:color="auto" w:fill="FFFFFF"/>
        <w:spacing w:after="0" w:line="100" w:lineRule="atLeast"/>
        <w:ind w:firstLine="720"/>
        <w:jc w:val="both"/>
      </w:pPr>
    </w:p>
    <w:sectPr w:rsidR="001F4546" w:rsidSect="00A92A03">
      <w:headerReference w:type="first" r:id="rId7"/>
      <w:pgSz w:w="11906" w:h="16838" w:code="9"/>
      <w:pgMar w:top="1134" w:right="567" w:bottom="1134" w:left="1701" w:header="1134" w:footer="567" w:gutter="0"/>
      <w:cols w:space="1296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546" w:rsidRDefault="001F4546" w:rsidP="00A92A03">
      <w:pPr>
        <w:spacing w:after="0" w:line="240" w:lineRule="auto"/>
      </w:pPr>
      <w:r>
        <w:separator/>
      </w:r>
    </w:p>
  </w:endnote>
  <w:endnote w:type="continuationSeparator" w:id="0">
    <w:p w:rsidR="001F4546" w:rsidRDefault="001F4546" w:rsidP="00A92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charset w:val="BA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LT"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546" w:rsidRDefault="001F4546" w:rsidP="00A92A03">
      <w:pPr>
        <w:spacing w:after="0" w:line="240" w:lineRule="auto"/>
      </w:pPr>
      <w:r>
        <w:separator/>
      </w:r>
    </w:p>
  </w:footnote>
  <w:footnote w:type="continuationSeparator" w:id="0">
    <w:p w:rsidR="001F4546" w:rsidRDefault="001F4546" w:rsidP="00A92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D20" w:rsidRDefault="00A92A03" w:rsidP="00576D20">
    <w:pPr>
      <w:widowControl w:val="0"/>
      <w:tabs>
        <w:tab w:val="center" w:pos="4153"/>
        <w:tab w:val="right" w:pos="8306"/>
      </w:tabs>
      <w:spacing w:after="0" w:line="100" w:lineRule="atLeast"/>
      <w:jc w:val="center"/>
      <w:rPr>
        <w:rFonts w:ascii="Times New Roman" w:eastAsia="SimSun" w:hAnsi="Times New Roman"/>
        <w:b/>
        <w:sz w:val="28"/>
        <w:szCs w:val="28"/>
        <w:lang w:eastAsia="hi-IN" w:bidi="hi-IN"/>
      </w:rPr>
    </w:pPr>
    <w:r>
      <w:rPr>
        <w:noProof/>
        <w:lang w:eastAsia="lt-LT"/>
      </w:rPr>
      <w:drawing>
        <wp:inline distT="0" distB="0" distL="0" distR="0" wp14:anchorId="342AD955" wp14:editId="6AE070A9">
          <wp:extent cx="542925" cy="6477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76D20" w:rsidRDefault="00576D20" w:rsidP="00576D20">
    <w:pPr>
      <w:widowControl w:val="0"/>
      <w:tabs>
        <w:tab w:val="center" w:pos="4153"/>
        <w:tab w:val="right" w:pos="8306"/>
      </w:tabs>
      <w:spacing w:after="0" w:line="100" w:lineRule="atLeast"/>
      <w:jc w:val="center"/>
      <w:rPr>
        <w:rFonts w:ascii="Times New Roman" w:eastAsia="SimSun" w:hAnsi="Times New Roman"/>
        <w:b/>
        <w:sz w:val="28"/>
        <w:szCs w:val="28"/>
        <w:lang w:eastAsia="hi-IN" w:bidi="hi-IN"/>
      </w:rPr>
    </w:pPr>
  </w:p>
  <w:p w:rsidR="00A92A03" w:rsidRDefault="00A92A03" w:rsidP="00576D20">
    <w:pPr>
      <w:widowControl w:val="0"/>
      <w:tabs>
        <w:tab w:val="center" w:pos="4153"/>
        <w:tab w:val="right" w:pos="8306"/>
      </w:tabs>
      <w:spacing w:after="0" w:line="100" w:lineRule="atLeast"/>
      <w:jc w:val="center"/>
      <w:rPr>
        <w:rFonts w:ascii="Times New Roman" w:eastAsia="SimSun" w:hAnsi="Times New Roman"/>
        <w:b/>
        <w:sz w:val="28"/>
        <w:szCs w:val="28"/>
        <w:lang w:eastAsia="hi-IN" w:bidi="hi-IN"/>
      </w:rPr>
    </w:pPr>
    <w:r>
      <w:rPr>
        <w:rFonts w:ascii="Times New Roman" w:eastAsia="SimSun" w:hAnsi="Times New Roman"/>
        <w:b/>
        <w:sz w:val="28"/>
        <w:szCs w:val="28"/>
        <w:lang w:eastAsia="hi-IN" w:bidi="hi-IN"/>
      </w:rPr>
      <w:t>PANEVĖŽIO RAJONO SAVIVALDYBĖS TARYBA</w:t>
    </w:r>
  </w:p>
  <w:p w:rsidR="00A92A03" w:rsidRDefault="00A92A03" w:rsidP="00576D20">
    <w:pPr>
      <w:widowControl w:val="0"/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SimSun" w:hAnsi="Times New Roman"/>
        <w:b/>
        <w:sz w:val="28"/>
        <w:szCs w:val="28"/>
        <w:lang w:eastAsia="hi-IN" w:bidi="hi-IN"/>
      </w:rPr>
    </w:pPr>
  </w:p>
  <w:p w:rsidR="00A92A03" w:rsidRDefault="00A92A03" w:rsidP="00A92A03">
    <w:pPr>
      <w:widowControl w:val="0"/>
      <w:tabs>
        <w:tab w:val="center" w:pos="4153"/>
        <w:tab w:val="right" w:pos="8306"/>
      </w:tabs>
      <w:spacing w:after="0" w:line="100" w:lineRule="atLeast"/>
      <w:jc w:val="center"/>
    </w:pPr>
    <w:r>
      <w:rPr>
        <w:rFonts w:ascii="Times New Roman" w:eastAsia="SimSun" w:hAnsi="Times New Roman"/>
        <w:b/>
        <w:sz w:val="28"/>
        <w:szCs w:val="28"/>
        <w:lang w:eastAsia="hi-IN" w:bidi="hi-IN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eastAsia="SimSun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5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5C"/>
    <w:rsid w:val="001F4546"/>
    <w:rsid w:val="0048795C"/>
    <w:rsid w:val="00576D20"/>
    <w:rsid w:val="00A9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5:chartTrackingRefBased/>
  <w15:docId w15:val="{D72B3684-0325-4CBB-8B9B-C6601739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4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customStyle="1" w:styleId="DebesliotekstasDiagrama">
    <w:name w:val="Debesėlio tekstas Diagrama"/>
    <w:basedOn w:val="DefaultParagraphFont0"/>
    <w:rPr>
      <w:rFonts w:ascii="Segoe UI" w:eastAsia="Calibri" w:hAnsi="Segoe UI" w:cs="Segoe UI"/>
      <w:sz w:val="18"/>
      <w:szCs w:val="18"/>
    </w:rPr>
  </w:style>
  <w:style w:type="character" w:customStyle="1" w:styleId="statymoNr">
    <w:name w:val="Įstatymo Nr."/>
    <w:rPr>
      <w:rFonts w:ascii="HelveticaLT" w:hAnsi="HelveticaLT"/>
    </w:rPr>
  </w:style>
  <w:style w:type="character" w:customStyle="1" w:styleId="Datamnuo">
    <w:name w:val="Data_mënuo"/>
    <w:rPr>
      <w:rFonts w:ascii="HelveticaLT" w:hAnsi="HelveticaLT"/>
      <w:sz w:val="24"/>
    </w:rPr>
  </w:style>
  <w:style w:type="character" w:customStyle="1" w:styleId="Datametai">
    <w:name w:val="Data_metai"/>
    <w:basedOn w:val="DefaultParagraphFont0"/>
  </w:style>
  <w:style w:type="character" w:customStyle="1" w:styleId="bold1">
    <w:name w:val="bold1"/>
    <w:basedOn w:val="DefaultParagraphFont0"/>
    <w:rPr>
      <w:b/>
      <w:bCs/>
    </w:rPr>
  </w:style>
  <w:style w:type="character" w:customStyle="1" w:styleId="ListLabel1">
    <w:name w:val="ListLabel 1"/>
    <w:rPr>
      <w:rFonts w:eastAsia="SimSun"/>
      <w:color w:val="00000A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Times New Roman" w:cs="Times New Roman"/>
      <w:color w:val="00000A"/>
    </w:rPr>
  </w:style>
  <w:style w:type="character" w:customStyle="1" w:styleId="ListLabel4">
    <w:name w:val="ListLabel 4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spacing w:line="252" w:lineRule="auto"/>
      <w:ind w:left="720"/>
    </w:pPr>
  </w:style>
  <w:style w:type="paragraph" w:styleId="BalloonText">
    <w:name w:val="Balloon Text"/>
    <w:basedOn w:val="Normal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statymopavad">
    <w:name w:val="Įstatymo pavad."/>
    <w:basedOn w:val="Normal"/>
    <w:pPr>
      <w:spacing w:after="0" w:line="360" w:lineRule="auto"/>
      <w:ind w:firstLine="720"/>
      <w:jc w:val="center"/>
    </w:pPr>
    <w:rPr>
      <w:rFonts w:ascii="TimesLT" w:eastAsia="Times New Roman" w:hAnsi="TimesLT" w:cs="Arial"/>
      <w:caps/>
      <w:sz w:val="20"/>
      <w:szCs w:val="20"/>
    </w:rPr>
  </w:style>
  <w:style w:type="paragraph" w:customStyle="1" w:styleId="ListParagraph1">
    <w:name w:val="List Paragraph1"/>
    <w:basedOn w:val="Normal"/>
    <w:pPr>
      <w:spacing w:after="200" w:line="276" w:lineRule="auto"/>
      <w:ind w:left="720" w:firstLine="720"/>
    </w:pPr>
    <w:rPr>
      <w:rFonts w:cs="Arial"/>
    </w:rPr>
  </w:style>
  <w:style w:type="paragraph" w:customStyle="1" w:styleId="tactin">
    <w:name w:val="tactin"/>
    <w:basedOn w:val="Normal"/>
    <w:pPr>
      <w:spacing w:before="28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tajtip">
    <w:name w:val="tajtip"/>
    <w:basedOn w:val="Normal"/>
    <w:pPr>
      <w:spacing w:before="28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2A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A03"/>
    <w:rPr>
      <w:rFonts w:ascii="Calibri" w:eastAsia="Calibri" w:hAnsi="Calibri"/>
      <w:kern w:val="1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92A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A03"/>
    <w:rPr>
      <w:rFonts w:ascii="Calibri" w:eastAsia="Calibri" w:hAnsi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1206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cp:lastModifiedBy>Visvaldas Beinaras</cp:lastModifiedBy>
  <cp:revision>4</cp:revision>
  <cp:lastPrinted>2015-08-21T07:51:00Z</cp:lastPrinted>
  <dcterms:created xsi:type="dcterms:W3CDTF">2015-08-21T08:02:00Z</dcterms:created>
  <dcterms:modified xsi:type="dcterms:W3CDTF">2015-08-21T08:08:00Z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