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8D55ED">
      <w:pPr>
        <w:pStyle w:val="Header"/>
        <w:jc w:val="center"/>
        <w:rPr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492579830" r:id="rId6"/>
        </w:object>
      </w:r>
    </w:p>
    <w:p w:rsidR="00000000" w:rsidRDefault="008D55ED">
      <w:pPr>
        <w:pStyle w:val="Header"/>
        <w:jc w:val="center"/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</w:t>
      </w:r>
    </w:p>
    <w:p w:rsidR="00000000" w:rsidRDefault="008D55ED">
      <w:pPr>
        <w:pStyle w:val="Header"/>
        <w:jc w:val="center"/>
        <w:rPr>
          <w:b/>
          <w:sz w:val="24"/>
        </w:rPr>
      </w:pPr>
      <w:r>
        <w:rPr>
          <w:b/>
          <w:sz w:val="28"/>
          <w:szCs w:val="28"/>
        </w:rPr>
        <w:t>PANEVĖŽIO RAJONO SAVIVALDYBĖS TARYBA</w:t>
      </w:r>
    </w:p>
    <w:p w:rsidR="00000000" w:rsidRDefault="008D55ED">
      <w:pPr>
        <w:pStyle w:val="Header"/>
        <w:jc w:val="center"/>
        <w:rPr>
          <w:b/>
          <w:sz w:val="24"/>
        </w:rPr>
      </w:pPr>
    </w:p>
    <w:p w:rsidR="00000000" w:rsidRDefault="008D55ED">
      <w:pPr>
        <w:pStyle w:val="Header"/>
        <w:jc w:val="center"/>
        <w:rPr>
          <w:b/>
          <w:sz w:val="24"/>
          <w:szCs w:val="24"/>
        </w:rPr>
      </w:pPr>
    </w:p>
    <w:p w:rsidR="00000000" w:rsidRDefault="008D55ED">
      <w:pPr>
        <w:pStyle w:val="Header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>SPRENDIMAS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DĖL ETIKOS KOMISIJOS SUDARYMO IR VEIKLOS NUOSTATŲ PATVIRTINIMO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</w:t>
      </w:r>
      <w:r>
        <w:rPr>
          <w:rFonts w:ascii="Times New Roman" w:hAnsi="Times New Roman"/>
          <w:sz w:val="24"/>
          <w:szCs w:val="24"/>
        </w:rPr>
        <w:t xml:space="preserve">gegužės 7 </w:t>
      </w:r>
      <w:r>
        <w:rPr>
          <w:rFonts w:ascii="Times New Roman" w:hAnsi="Times New Roman"/>
          <w:sz w:val="24"/>
          <w:szCs w:val="24"/>
          <w:lang w:val="de-DE"/>
        </w:rPr>
        <w:t>d.</w:t>
      </w:r>
      <w:r>
        <w:rPr>
          <w:rFonts w:ascii="Times New Roman" w:hAnsi="Times New Roman"/>
          <w:sz w:val="24"/>
          <w:szCs w:val="24"/>
        </w:rPr>
        <w:t xml:space="preserve"> Nr. T-98</w:t>
      </w:r>
    </w:p>
    <w:p w:rsidR="00000000" w:rsidRDefault="008D55ED">
      <w:pPr>
        <w:spacing w:after="0"/>
        <w:jc w:val="center"/>
        <w:rPr>
          <w:sz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:rsidR="00000000" w:rsidRDefault="008D55ED">
      <w:pPr>
        <w:autoSpaceDE w:val="0"/>
        <w:spacing w:after="0" w:line="240" w:lineRule="auto"/>
        <w:jc w:val="both"/>
        <w:rPr>
          <w:sz w:val="24"/>
        </w:rPr>
      </w:pPr>
    </w:p>
    <w:p w:rsidR="00000000" w:rsidRDefault="008D5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adovaudamasi Lietuvos Respublikos valstybės politikų elgesio kodekso, patvirti</w:t>
      </w:r>
      <w:r>
        <w:rPr>
          <w:rFonts w:ascii="Times New Roman" w:hAnsi="Times New Roman"/>
          <w:color w:val="000000"/>
          <w:sz w:val="24"/>
          <w:szCs w:val="24"/>
        </w:rPr>
        <w:t>nto Lietuvos Respublikos valstybės politikų elgesio kodekso patvirtinimo, įsigaliojimo ir įgyvendinimo įstatymu,        6 straipsnio 1 dalies 2 punktu, Lietuvos Respubliko</w:t>
      </w:r>
      <w:r>
        <w:rPr>
          <w:rFonts w:ascii="Times New Roman" w:hAnsi="Times New Roman"/>
          <w:color w:val="000000"/>
          <w:sz w:val="24"/>
          <w:szCs w:val="24"/>
        </w:rPr>
        <w:t>s vietos savivaldos įstatymo 15 straipsnio 1 dalimi ir  6 dalimi, Panevėžio rajono sa</w:t>
      </w:r>
      <w:r>
        <w:rPr>
          <w:rFonts w:ascii="Times New Roman" w:hAnsi="Times New Roman"/>
          <w:color w:val="000000"/>
          <w:sz w:val="24"/>
          <w:szCs w:val="24"/>
        </w:rPr>
        <w:t>vivaldybės tarybos 2015 m. kovo 27 d. sprendimo Nr. T-57 „Dėl Panevėžio rajono savivaldybės tarybos 2011 m. rugpjūčio 25 d. sprendimo Nr. T-163 „Dėl Panevėžio rajono savivaldybės tarybos veiklos reglamento patvirtinimo“ pakeitimo“ 1.7 punktu bei atsižvelgd</w:t>
      </w:r>
      <w:r>
        <w:rPr>
          <w:rFonts w:ascii="Times New Roman" w:hAnsi="Times New Roman"/>
          <w:color w:val="000000"/>
          <w:sz w:val="24"/>
          <w:szCs w:val="24"/>
        </w:rPr>
        <w:t>ama į Panevėžio rajono bendruomenių sąjungos 2015 m. balan</w:t>
      </w:r>
      <w:r>
        <w:rPr>
          <w:rFonts w:ascii="Times New Roman" w:hAnsi="Times New Roman"/>
          <w:color w:val="000000"/>
          <w:sz w:val="24"/>
          <w:szCs w:val="24"/>
        </w:rPr>
        <w:t xml:space="preserve">džio 30 d. </w:t>
      </w:r>
      <w:r>
        <w:rPr>
          <w:rFonts w:ascii="Times New Roman" w:hAnsi="Times New Roman"/>
          <w:color w:val="000000"/>
          <w:sz w:val="24"/>
          <w:szCs w:val="24"/>
        </w:rPr>
        <w:t>raštą N</w:t>
      </w:r>
      <w:r>
        <w:rPr>
          <w:rFonts w:ascii="Times New Roman" w:hAnsi="Times New Roman"/>
          <w:color w:val="000000"/>
          <w:sz w:val="24"/>
          <w:szCs w:val="24"/>
        </w:rPr>
        <w:t xml:space="preserve">r. 4-07 „Dėl atstovų delegavimo“, </w:t>
      </w:r>
      <w:r>
        <w:rPr>
          <w:rFonts w:ascii="Times New Roman" w:hAnsi="Times New Roman"/>
          <w:color w:val="000000"/>
          <w:sz w:val="24"/>
          <w:szCs w:val="24"/>
        </w:rPr>
        <w:t xml:space="preserve">Savivaldybės taryba n u s p r e n d ž i a: </w:t>
      </w:r>
    </w:p>
    <w:p w:rsidR="00000000" w:rsidRDefault="008D5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Sudaryti šios sudėties Etikos komisiją savo įgaliojimų laikui valstybės politikų elgesio tyrimui: 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Odeta Baltramiejūnienė – Panevėžio rajono gyventojų bendruomenės „Upytės žemė“ narė;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Kazimieras Binkis – Panevėžio rajono bendruomenių sąjungos pirmininkas; 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Dalius Dirsė – Tarybos narė;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1.4. Jūratė Januškienė – Tarybos narė; 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1.5. Jonas Kau</w:t>
      </w:r>
      <w:r>
        <w:rPr>
          <w:rFonts w:ascii="Times New Roman" w:hAnsi="Times New Roman"/>
          <w:color w:val="000000"/>
          <w:sz w:val="24"/>
          <w:szCs w:val="24"/>
        </w:rPr>
        <w:t>šakys – Tarybos narys;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1.6. Vitalija Kuliešienė – Tarybos narė;</w:t>
      </w:r>
    </w:p>
    <w:p w:rsidR="00000000" w:rsidRDefault="008D55ED">
      <w:pPr>
        <w:tabs>
          <w:tab w:val="left" w:pos="1110"/>
        </w:tabs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1.7. Jonas Masiokas – Tarybos narys; 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1.8. Angelė Narbutienė – Tarybos narė; 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1.9. Povilas Nemanis – Tarybos narys;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1.10. Marija Povilonienė – Panevėžio rajono bendruomenių sąjungos pirmininko</w:t>
      </w:r>
      <w:r>
        <w:rPr>
          <w:rFonts w:ascii="Times New Roman" w:hAnsi="Times New Roman"/>
          <w:color w:val="000000"/>
          <w:sz w:val="24"/>
          <w:szCs w:val="24"/>
        </w:rPr>
        <w:t xml:space="preserve"> pavaduotoja;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1.11. Jurga Švagždienė – Miežiškių gyventojų bendruomenės narė.</w:t>
      </w:r>
    </w:p>
    <w:p w:rsidR="00000000" w:rsidRDefault="008D5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Skirti:</w:t>
      </w:r>
    </w:p>
    <w:p w:rsidR="00000000" w:rsidRDefault="008D5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Joną Masioką Etikos komisijos pirmininku; </w:t>
      </w:r>
    </w:p>
    <w:p w:rsidR="00000000" w:rsidRDefault="008D5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Dalių Dirsę Etikos komisijos pirmininko pavaduotoju. </w:t>
      </w:r>
    </w:p>
    <w:p w:rsidR="00000000" w:rsidRDefault="008D55ED">
      <w:pPr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Patvirtin</w:t>
      </w:r>
      <w:r>
        <w:rPr>
          <w:rFonts w:ascii="Times New Roman" w:hAnsi="Times New Roman"/>
          <w:color w:val="000000"/>
          <w:sz w:val="24"/>
          <w:szCs w:val="24"/>
        </w:rPr>
        <w:t>ti Etikos komisijos veiklos nuostatus (pridedama</w:t>
      </w:r>
      <w:r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000000" w:rsidRDefault="008D5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Pripažinti netekusiu galios Panevėžio rajono savivaldybės tarybos 2011 m. gegužės 6 d. sprendimo Nr. T-81 „Dėl etikos komisijos sudarymo ir veiklos nuostatų patvirtinimo“ 4 punktą.</w:t>
      </w:r>
    </w:p>
    <w:p w:rsidR="00000000" w:rsidRDefault="008D5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Povilas Žagunis</w:t>
      </w:r>
    </w:p>
    <w:p w:rsidR="00000000" w:rsidRDefault="008D55ED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pageBreakBefore/>
        <w:autoSpaceDE w:val="0"/>
        <w:spacing w:after="0" w:line="240" w:lineRule="auto"/>
        <w:ind w:left="534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 xml:space="preserve">PATVIRTINTA </w:t>
      </w:r>
    </w:p>
    <w:p w:rsidR="00000000" w:rsidRDefault="008D55ED">
      <w:pPr>
        <w:autoSpaceDE w:val="0"/>
        <w:spacing w:after="0" w:line="240" w:lineRule="auto"/>
        <w:ind w:left="60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Pane</w:t>
      </w:r>
      <w:r>
        <w:rPr>
          <w:rFonts w:ascii="Times New Roman" w:hAnsi="Times New Roman"/>
          <w:color w:val="000000"/>
          <w:sz w:val="24"/>
          <w:szCs w:val="24"/>
        </w:rPr>
        <w:t xml:space="preserve">vėžio rajono savivaldybės </w:t>
      </w:r>
    </w:p>
    <w:p w:rsidR="00000000" w:rsidRDefault="008D55ED">
      <w:pPr>
        <w:autoSpaceDE w:val="0"/>
        <w:spacing w:after="0" w:line="240" w:lineRule="auto"/>
        <w:ind w:left="60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tarybos 2015 m. gegužės 7 d. </w:t>
      </w:r>
    </w:p>
    <w:p w:rsidR="00000000" w:rsidRDefault="008D55ED">
      <w:pPr>
        <w:autoSpaceDE w:val="0"/>
        <w:spacing w:after="0" w:line="240" w:lineRule="auto"/>
        <w:ind w:left="60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sprendimu Nr. T-98</w:t>
      </w:r>
    </w:p>
    <w:p w:rsidR="00000000" w:rsidRDefault="008D55ED">
      <w:pPr>
        <w:autoSpaceDE w:val="0"/>
        <w:spacing w:after="0" w:line="240" w:lineRule="auto"/>
        <w:ind w:left="6060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ETIKOS KOMISIJOS VEIKLOS NUOSTATAI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I. BENDROSIOS NUOSTATOS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Šie Etikos komisijos veiklos nuostatai nustato Etikos komisijos sudarymą, darbo organizavimą, komisijos teises be</w:t>
      </w:r>
      <w:r>
        <w:rPr>
          <w:rFonts w:ascii="Times New Roman" w:hAnsi="Times New Roman"/>
          <w:color w:val="000000"/>
          <w:sz w:val="24"/>
          <w:szCs w:val="24"/>
        </w:rPr>
        <w:t xml:space="preserve">i pareigas, sprendimų priėmimo tvarką.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</w:rPr>
        <w:t>2. Etikos komisijos paskirtis – valstybės politikų elgesio, kuriuo pažeidžiami Lietuvos Respublikos valstybės politikų elgesio kodekse nustatyti valstybės politikų elgesio principai ir nuostatos, kiti įstatymai ir te</w:t>
      </w:r>
      <w:r>
        <w:rPr>
          <w:rFonts w:ascii="Times New Roman" w:hAnsi="Times New Roman"/>
          <w:color w:val="000000"/>
          <w:sz w:val="24"/>
          <w:szCs w:val="24"/>
        </w:rPr>
        <w:t xml:space="preserve">isės aktai, reglamentuojantys valstybės politikų veiklą, savivaldybės tarybos veiklos reglamentas, tyrimas.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3. Etikos komisija savo veikloje vadovaujasi Lietuvos Respublikos Konstitucija, Lietuvos Respublikos valstybės politikų elgesio kodeksu ir šiais nu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ostatais.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 xml:space="preserve">II. ETIKOS KOMISIJOS SUDARYMAS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4. Etikos komisija savivaldybės tarybos kadencijos laikotarpiui sudaroma tarybos sprendimu.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5. Etikos komisi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ja sudaroma iš savivaldybės tarybos narių frakcijų atstovų ir gyvenamųjų vietovių bendruomenių atstovų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. Kiekviena frakcija į Etikos k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omisiją gali siūlyti po vieną kandidatą. Etikos komisijoje gyvenamųjų vietovių bendruomenių atstovai turi sudaryti ne mažiau kaip 1/3 komisijos narių.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6.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Etikos komisijos pirmininkas mero teikimu skiriamas iš tarybos narių,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kurie pasiūlyti į Etikos komisiją. </w:t>
      </w:r>
      <w:r>
        <w:rPr>
          <w:rFonts w:ascii="Times New Roman" w:hAnsi="Times New Roman"/>
          <w:color w:val="000000"/>
          <w:sz w:val="24"/>
          <w:szCs w:val="24"/>
        </w:rPr>
        <w:t>Jeigu yra paskelbta savivaldybės tarybos mažuma (opozicija), Etikos komisijos pirmininko kandidatūrą meras teikia savivaldybės tarybos mažumos (opozicijos) siūlymu. Tą pačią kandidatūrą savivaldybės tarybos mažuma (opozic</w:t>
      </w:r>
      <w:r>
        <w:rPr>
          <w:rFonts w:ascii="Times New Roman" w:hAnsi="Times New Roman"/>
          <w:color w:val="000000"/>
          <w:sz w:val="24"/>
          <w:szCs w:val="24"/>
        </w:rPr>
        <w:t xml:space="preserve">ija) gali siūlyti du kartus. Tarybai nepritarus pasiūlytai kandidatūrai, savivaldybės tarybos mažuma (opozicija) turi siūlyti kitą kandidatą į šias pareigas. Jeigu savivaldybės tarybos mažuma (opozicija) nepasiūlo Etikos komisijos pirmininko kandidatūros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rba jeigu nėra paskelbta savivaldybės tarybos mažuma (opozicija)</w:t>
      </w:r>
      <w:r>
        <w:rPr>
          <w:rFonts w:ascii="Times New Roman" w:hAnsi="Times New Roman"/>
          <w:color w:val="000000"/>
          <w:sz w:val="24"/>
          <w:szCs w:val="24"/>
        </w:rPr>
        <w:t xml:space="preserve">, Etikos komisijos pirmininką savivaldybės taryba skiria mero teikimu.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Komisijos atsakingojo sekretoriaus pareigas atlieka savivaldybės administracijos direktoriaus paskirtas valstybės tarnaut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ojas, kuris nėra komisijos narys.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 xml:space="preserve">III. ETIKOS KOMISIJOS FUNKCIJOS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7. Etikos komisija: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7.1. prižiūri, kaip savivaldybės tarybos nariai laikosi Vietos savivaldos įstatymo, Valstybės politikų elgesio kodekso, reglamento, kitų teisės aktų, reglamentuojanč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ių savivaldybės tarybos narių veiklą ir elgesį, reikalavimų;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7.2. analizuoja savivaldybės tarybos narių nedalyvavimo savivaldybės tarybos, komitetų ir komisijų posėdžiuose ir šio įstatymo nustatytų pareigų nevykdymo priežastis;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7.3. nagrinėja gautą infor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maciją dėl savivaldybės tarybos nario veiklos ar jo viešųjų ir privačių interesų nesuderinamumo;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7.4. nagrinėja savivaldybės bendruomenės narių, valstybės institucijų, gyvenamųjų vietovių bendruomenių ar bendruomeninių organizacijų atstovų siūlymus ir pas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tabas dėl savivaldybės tarybos narių veiklos skaidrumo;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7.5. teikia Vyriausiajai rinkimų komisijai siūlymą dėl savivaldybės tarybos nario įgaliojimų nutraukimo, jeigu šis tarybos narys yra praleidęs iš eilės tris savivaldybės tarybos posėdžius be pateisina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mos priežasties.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lastRenderedPageBreak/>
        <w:t>2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 xml:space="preserve">IV. ETIKOS KOMISIJOS TEISĖS IR PAREIGOS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8. Etikos komisija, atlikdama tyrimą, turi teisę: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8.1. apklausti valstybės politiką, kurio elgesys tiriamas, bei kitus asmenis, susijusius su valstybės politiko tiriamu elgesiu ar politine vei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kla; </w:t>
      </w:r>
    </w:p>
    <w:p w:rsidR="00000000" w:rsidRDefault="008D55ED">
      <w:pPr>
        <w:tabs>
          <w:tab w:val="left" w:pos="435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8.2. apklausti skundo autorių ir išsiaiškinti apie jo žinomą informaciją apie valstybės politiko galimai padarytą Lietuvos Respublikos valstybės politikų elgesio kodekse nustatytų valstybės politikų elgesio principų, nuostatų ar institucijos, kurioje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politikas eina pareigas, veiklą reglamentuojančiuose teisės aktuose valstybės politikui nustatytų reikalavimų pažeidimą;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8.3. teisės aktų nustatyta tvarka susipažinti su reikiamais dokumentais ir gauti jų nuorašus (kopijas) bei kitą tyrimui reikalingą in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formaciją;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8.4. prireikus išvykti į įvykio vietą;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8.5. pasitelkti specialistų.</w:t>
      </w:r>
      <w:r>
        <w:rPr>
          <w:rFonts w:ascii="Courier New" w:hAnsi="Courier New" w:cs="Courier New"/>
          <w:color w:val="000000"/>
          <w:sz w:val="24"/>
          <w:szCs w:val="24"/>
          <w:lang w:val="de-DE"/>
        </w:rPr>
        <w:t xml:space="preserve"> </w:t>
      </w:r>
    </w:p>
    <w:p w:rsidR="00000000" w:rsidRDefault="008D55ED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9. Atlikdami tyrimą, Etikos komisijos nariai privalo: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9.1. vadovautis Lietuvos Respublikos Konstitucija, įstatymais, kitais teisės aktais;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9.2. laikyti paslaptyje duomenis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ar žinias, kuriuos jie sužinojo vykdydami tyrimą, jeigu tokie duomenys ar žinios sudaro valstybės, komercinę, banko, tarnybos arba kitą įstatymų saugomą paslaptį;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9.3. nenaudoti 8.2 punkte nurodytų duomenų ar žinių asmeninei ar kitų asmenų naudai;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9.4. k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ol komisija nebaigia tyrimo, niekam neteikti jokios informacijos apie vykdomo tyrimo aplinkybes, su tyrimu susijusius asmenis, turimą medžiagą, duomenis.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10. Veiklos nuostatų 8 punkto nuostatos taikomos ir Etikos komisiją aptarnaujantiems darbuotojams, ir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pasitelktiems specialistams.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 xml:space="preserve">V. ETIKOS KOMISIJOS DARBO ORGANIZAVIMAS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11. Etikos komisijos pagrindinė veikos forma – posėdis.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12. Etikos komisijos posėdžius šaukia komisijos pirmininkas arba, jam nesant, pirmininko pavaduotojas.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13. Posėdžiai šaukiam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i esant bent vienam iš šių pagrindų: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13.1. fizinio ar juridinio asmens skundui, kreipimuisi ar pranešimui apie valstybės politiko galimai padarytą Lietuvos Respublikos valstybės politikų elgesio kodekse nustatytų valstybės politikų elgesio principų, nuost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atų ar institucijos, kurioje politikas eina pareigas, veiklą reglamentuojančiuose teisės aktuose valstybės politikui nustatytų reikalavimų pažeidimą;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13.2. visuomenės informavimo priemonėse paskelbtai pagrįstai informacijai apie valstybės politiko galimai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padarytą pažeidimą.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14. Etikos komisijos posėdžiui pirminkauja komisijos pirmininkas arba, jam nesant, pirmininko pavaduotojas. Jei nėra nei komisijos pirmininko, nei pirmininko pavaduotojo, komisijos narių sutarimu posėdžiui pirmininkauja komisijos nary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15. Etikos komisijos posėdžiai teisėti, jeigu juose dalyvauja ne mažiau kaip pusė komisijos narių.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16. Etikos komisijos posėdžiai protokoluojami. Posėdžius protokoluoja savivaldybės administracijos darbuotojas.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17. Posėdžio protokolą pasirašo posėdži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o pirmininkas ir posėdį protokolavęs asmuo.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 xml:space="preserve">VI. ETIKOS KOMISIJOS SPRENDIMŲ PRIĖMIMAS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18. Etikos komisijos atliekamas pažeidimo tyrimas turi būti baigtas ne vėliau kaip per 30 dienų nuo tyrimo pradžios. Prireikus Etikos komisija gali, bet ne ilgiau kiap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dviem mėnesiams, pratęsti 30 dienų tyrimo terminą.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19. Etikos komisija, atlikusi tyrimą, gali priimti šiuos sprendimus: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lastRenderedPageBreak/>
        <w:t>3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19.1. konstatuoti, kad valstybės politikas nepažeidė Lietuvos Respublikos valstybės politikų elgesio kodekse ar institucijos, kur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ioje jis eina pareigas, veiklą reglamentuojančiuose įstatymuose ar kituose teisės aktuose nustatytų valstybės politiko elgesio principų ar reikalavimų;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19.2. apsiriboti svarstymu Etikos komisijoje;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19.3. konstatuoti, kad valstybės politikas pažeidė Lietu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vos Respublikos valstybės politikų elgesio kodekse ar institucijos, kurioje jis eina pareigas, veiklą reglamentuojančiuose įstatymuose ar kituose teisės aktuose nustatytus valstybės politiko elgesio principus ar reikalavimus;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19.4. rekomenduoti valstybės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politikui suderinti savo elgesį ar veiklą su Lietuvos Respublikos valstybės politikų elgesio kodekse ar institucijos, kurioje valstybės politikas eina pareigas, veiklą reglamentuojančiuose įstatymuose ar kituose teisės aktuose nustatytais valstybės politik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o elgesio principais ar reikalavimais;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19.5. rekomenduoti viešai atsiprašyti;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19.6. įtarus esant nusikalstamos veikos požymių, perduoti medžiagą ikiteisminio tyrimo įstaigoms ar prokuratūrai.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20. Etikos komisija gali nutraukti tyrimą, jeigu iki tyrimo p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abaigos valstybės politikas savo elgesį ar veiklą pripažino neetiškais, nesuderinamais su savo pareigomis ar institucija, kurioje jis eina pareigas, ir dėl to viešai atsiprašė.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21. Po kiekvieno Etikos komisijos posėdžio gali būti parengiamas pranešimas vi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suomenės informavimo priemonėms. Pranešimą raštu arba žodžiu gali pateikti tik Etikos komisijos pirmininkas ar Etikos komisijos įgaliotas jos narys ir tik tokį, kokį įgaliojo pateikti Etikos komisija.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22. Etikos komisijos sprendimai priimami posėdyje daly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vaujančių komisijos narių balsų dauguma. Jei balsai pasiskirsto po lygiai, lemia posėdžio pirmininko balsas.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23. Etikos komisijos sprendimai yra galutiniai ir neskundžiami.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24. Apie Etikos komisijos priimtą sprendimą pranešama asmeniui, pateikusiam skund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ą Komisijai, ir valstybės politikui, dėl kurio yra priimtas sprendimas.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25. Etikos komisijos priimti sprendimai yra vieši ir turi būti skelbiami „Valstybės žinių“ priede „Informaciniai pranešimai“ ir institucijos, kurioje politikas eina pareigas, internet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o tinklalapyje ir informaciniame leidinyje, jeigu toks leidinys yra leidžiamas.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26. Informaciją apie Etikos komisijos sprendimus visuomenės informavimo priemonėms teikia Etikos komisijos pirmininkas arba jo įgaliotas Etikos komisijos narys. Etikos komisij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os nariai, posėdyje pareiškę atskirąją nuomonę dėl tyrimo išvadų, turi teisę apie tai pateikti informaciją.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 xml:space="preserve">VII. ATSAKOMYBĖ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27. Etikos komisijos nariai, Etikos komisiją aptarnaujantys darbuotojai ir pasitelkti specialistai už            8 punkte nustat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ytų pareigų pažeidimą atsako įstatymų nustatyta tvarka.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de-DE"/>
        </w:rPr>
        <w:t xml:space="preserve">VIII. BAIGIAMOSIOS NUOSTATOS </w:t>
      </w:r>
    </w:p>
    <w:p w:rsidR="00000000" w:rsidRDefault="008D55E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28. Teismuose ar kitose institucijose Etikos komisijai atstovauja komisijos pirmininkas arba komisijos pirmininko įgaliotas komisijos narys. </w:t>
      </w:r>
    </w:p>
    <w:p w:rsidR="00000000" w:rsidRDefault="008D55E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29. Etikos komisija yra a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tskaitinga Tarybai. Etikos komisijos pirmininkas teikia Tarybai informaciją bei ataskaitą apie savo darbą vieną kartą per metus. </w:t>
      </w:r>
    </w:p>
    <w:p w:rsidR="00000000" w:rsidRDefault="008D55ED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30. Etikos komisija sudaroma, keičiama, naikinama bei jos veiklos nuostatai tvirtinami, keičiami ir pripažįstami netekusiais g</w:t>
      </w:r>
      <w:r>
        <w:rPr>
          <w:rFonts w:ascii="Times New Roman" w:hAnsi="Times New Roman"/>
          <w:color w:val="000000"/>
          <w:sz w:val="24"/>
          <w:szCs w:val="24"/>
        </w:rPr>
        <w:t>alios Tarybos sprendimu.</w:t>
      </w:r>
    </w:p>
    <w:p w:rsidR="00000000" w:rsidRDefault="008D55ED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_________________</w:t>
      </w:r>
    </w:p>
    <w:p w:rsidR="008D55ED" w:rsidRDefault="008D55ED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D55ED">
      <w:pgSz w:w="12240" w:h="15840"/>
      <w:pgMar w:top="850" w:right="706" w:bottom="850" w:left="1382" w:header="567" w:footer="567" w:gutter="0"/>
      <w:cols w:space="1296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10"/>
    <w:rsid w:val="000E2010"/>
    <w:rsid w:val="008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F50EC0DD-043A-4017-84DD-75204023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LT" w:eastAsia="Times New Roman" w:hAnsi="TimesLT" w:cs="TimesLT"/>
      <w:sz w:val="24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WW-Default"/>
    <w:next w:val="WW-Default"/>
    <w:qFormat/>
    <w:pPr>
      <w:numPr>
        <w:ilvl w:val="3"/>
        <w:numId w:val="1"/>
      </w:numPr>
      <w:outlineLvl w:val="3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lang w:val="en-US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DefaultParagraphFont0">
    <w:name w:val="Default Paragraph Font"/>
  </w:style>
  <w:style w:type="character" w:customStyle="1" w:styleId="Heading2Char">
    <w:name w:val="Heading 2 Char"/>
    <w:basedOn w:val="DefaultParagraphFont0"/>
    <w:rPr>
      <w:rFonts w:ascii="TimesLT" w:eastAsia="Times New Roman" w:hAnsi="TimesLT" w:cs="TimesLT"/>
      <w:sz w:val="24"/>
    </w:rPr>
  </w:style>
  <w:style w:type="character" w:customStyle="1" w:styleId="Heading3Char">
    <w:name w:val="Heading 3 Char"/>
    <w:basedOn w:val="DefaultParagraphFont0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0"/>
    <w:rPr>
      <w:rFonts w:ascii="Times New Roman" w:eastAsia="Times New Roman" w:hAnsi="Times New Roman" w:cs="Times New Roman"/>
      <w:lang w:val="lt-LT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WW-Default"/>
    <w:next w:val="WW-Default"/>
    <w:rPr>
      <w:color w:val="aut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sz w:val="24"/>
      <w:szCs w:val="24"/>
      <w:lang w:val="en-US" w:eastAsia="ar-SA"/>
    </w:rPr>
  </w:style>
  <w:style w:type="paragraph" w:styleId="Title">
    <w:name w:val="Title"/>
    <w:basedOn w:val="WW-Default"/>
    <w:next w:val="WW-Default"/>
    <w:qFormat/>
    <w:rPr>
      <w:color w:val="auto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WW-Default"/>
    <w:next w:val="WW-Default"/>
    <w:rPr>
      <w:color w:val="auto"/>
    </w:rPr>
  </w:style>
  <w:style w:type="paragraph" w:styleId="BodyTextIndent2">
    <w:name w:val="Body Text Indent 2"/>
    <w:basedOn w:val="WW-Default"/>
    <w:next w:val="WW-Default"/>
    <w:rPr>
      <w:color w:val="auto"/>
    </w:rPr>
  </w:style>
  <w:style w:type="paragraph" w:styleId="BodyTextIndent">
    <w:name w:val="Body Text Indent"/>
    <w:basedOn w:val="WW-Default"/>
    <w:next w:val="WW-Default"/>
    <w:rPr>
      <w:color w:val="auto"/>
    </w:rPr>
  </w:style>
  <w:style w:type="paragraph" w:styleId="HTMLPreformatted">
    <w:name w:val="HTML Preformatted"/>
    <w:basedOn w:val="WW-Default"/>
    <w:next w:val="WW-Default"/>
    <w:rPr>
      <w:color w:val="auto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7365</Words>
  <Characters>4199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cp:lastPrinted>2015-05-07T10:35:00Z</cp:lastPrinted>
  <dcterms:created xsi:type="dcterms:W3CDTF">2015-05-08T05:44:00Z</dcterms:created>
  <dcterms:modified xsi:type="dcterms:W3CDTF">2015-05-08T05:44:00Z</dcterms:modified>
</cp:coreProperties>
</file>