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1E" w:rsidRDefault="003B7A7F">
      <w:pPr>
        <w:pStyle w:val="Textbodyindent"/>
        <w:ind w:left="0"/>
        <w:jc w:val="center"/>
      </w:pPr>
      <w:r>
        <w:object w:dxaOrig="858" w:dyaOrig="1016" w14:anchorId="7FFBD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0.65pt;visibility:visible;mso-wrap-style:square" o:ole="">
            <v:imagedata r:id="rId7" o:title=""/>
          </v:shape>
          <o:OLEObject Type="Embed" ProgID="Unknown" ShapeID="Objektas1" DrawAspect="Content" ObjectID="_1478004893" r:id="rId8"/>
        </w:object>
      </w:r>
    </w:p>
    <w:p w:rsidR="0098101E" w:rsidRDefault="003B7A7F">
      <w:pPr>
        <w:pStyle w:val="Header"/>
        <w:jc w:val="center"/>
      </w:pPr>
      <w:r>
        <w:tab/>
      </w:r>
      <w:r>
        <w:tab/>
      </w:r>
    </w:p>
    <w:p w:rsidR="0098101E" w:rsidRDefault="0098101E">
      <w:pPr>
        <w:pStyle w:val="Header"/>
        <w:jc w:val="center"/>
      </w:pPr>
    </w:p>
    <w:p w:rsidR="0098101E" w:rsidRDefault="003B7A7F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8101E" w:rsidRDefault="0098101E">
      <w:pPr>
        <w:pStyle w:val="Header"/>
        <w:rPr>
          <w:b/>
          <w:caps/>
          <w:sz w:val="24"/>
        </w:rPr>
      </w:pPr>
    </w:p>
    <w:p w:rsidR="0098101E" w:rsidRDefault="003B7A7F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98101E" w:rsidRDefault="003B7A7F">
      <w:pPr>
        <w:pStyle w:val="Betarp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SAVIVALDYBĖS TARYBOS 2012 M. VASARIO 23 D. SPRENDIMO</w:t>
      </w:r>
    </w:p>
    <w:p w:rsidR="0098101E" w:rsidRDefault="003B7A7F">
      <w:pPr>
        <w:pStyle w:val="Heading1"/>
        <w:rPr>
          <w:b/>
          <w:bCs/>
          <w:szCs w:val="24"/>
        </w:rPr>
      </w:pPr>
      <w:r>
        <w:rPr>
          <w:b/>
          <w:bCs/>
          <w:szCs w:val="24"/>
        </w:rPr>
        <w:t xml:space="preserve"> NR. T-27 „DĖL PANEVĖŽIO RAJONO SAVIVALDYBĖS SMULKAUS </w:t>
      </w:r>
      <w:r>
        <w:rPr>
          <w:b/>
          <w:bCs/>
          <w:szCs w:val="24"/>
        </w:rPr>
        <w:t>IR VIDUTINIO VERSLO RĖMIMO NUOSTATŲ PATVIRTINIMO“ PAKEITIMO</w:t>
      </w:r>
    </w:p>
    <w:p w:rsidR="0098101E" w:rsidRPr="00C81EE0" w:rsidRDefault="0098101E">
      <w:pPr>
        <w:pStyle w:val="Betarp"/>
        <w:jc w:val="center"/>
        <w:rPr>
          <w:bCs/>
          <w:sz w:val="24"/>
          <w:szCs w:val="24"/>
        </w:rPr>
      </w:pPr>
    </w:p>
    <w:p w:rsidR="0098101E" w:rsidRDefault="003B7A7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2014 m. lapkričio 20 d. Nr. T-196</w:t>
      </w:r>
    </w:p>
    <w:p w:rsidR="0098101E" w:rsidRDefault="003B7A7F">
      <w:pPr>
        <w:pStyle w:val="Heading1"/>
      </w:pPr>
      <w:r>
        <w:t>Panevėžys</w:t>
      </w:r>
    </w:p>
    <w:p w:rsidR="0098101E" w:rsidRDefault="0098101E">
      <w:pPr>
        <w:pStyle w:val="Standard"/>
      </w:pPr>
    </w:p>
    <w:p w:rsidR="0098101E" w:rsidRDefault="003B7A7F">
      <w:pPr>
        <w:pStyle w:val="Pagrindinistekstas3"/>
        <w:widowControl/>
        <w:tabs>
          <w:tab w:val="left" w:pos="720"/>
        </w:tabs>
        <w:ind w:firstLine="709"/>
        <w:jc w:val="both"/>
      </w:pPr>
      <w:r>
        <w:t>Vadovaudamasi Lietuvos Respublikos vietos savivaldos įstatymo 18 straipsnio 1 dalimi, Lietuvos Respublikos euro įvedimo Lietuvos Respublikoje įstatymu</w:t>
      </w:r>
      <w:r>
        <w:t>, Pasirengimo euro įvedimui priemonių planu, patvirtintu Panevėžio rajono savivaldybės tarybos 2014 m. gegužės 8 d. sprendimu Nr. T-91 „Dėl Prisijungimo prie geros verslo praktikos memorandumo ir pasirengimo euro įvedimui priemonių plano patvirtinimo“, Sav</w:t>
      </w:r>
      <w:r>
        <w:t>ivaldybės taryba n u s p r e n d ž i a:</w:t>
      </w:r>
    </w:p>
    <w:p w:rsidR="0098101E" w:rsidRDefault="003B7A7F">
      <w:pPr>
        <w:pStyle w:val="Pagrindinistekstas3"/>
        <w:widowControl/>
        <w:tabs>
          <w:tab w:val="left" w:pos="720"/>
        </w:tabs>
        <w:ind w:firstLine="709"/>
        <w:jc w:val="both"/>
      </w:pPr>
      <w:r>
        <w:t>1. Pakeisti Panevėžio rajono savivaldybės smulkaus ir vidutinio verslo rėmimo nuostatų, patvirtintų Savivaldybės tarybos 2012 m. vasario 23 d. sprendimu Nr. T-27 „Dėl Panevėžio rajono savivaldybės smulkaus ir vidutin</w:t>
      </w:r>
      <w:r>
        <w:t>io verslo rėmimo nuostatų patvirtinimo“, 11 punktą ir jį išdėstyti taip:</w:t>
      </w:r>
    </w:p>
    <w:p w:rsidR="0098101E" w:rsidRDefault="003B7A7F">
      <w:pPr>
        <w:pStyle w:val="Pagrindinistekstas3"/>
        <w:widowControl/>
        <w:tabs>
          <w:tab w:val="left" w:pos="720"/>
        </w:tabs>
        <w:ind w:firstLine="709"/>
        <w:jc w:val="both"/>
      </w:pPr>
      <w:r>
        <w:t>„11. Paramos rūšys:</w:t>
      </w:r>
    </w:p>
    <w:p w:rsidR="0098101E" w:rsidRDefault="003B7A7F">
      <w:pPr>
        <w:pStyle w:val="Standard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palūkanų kompensavimas įmonėms ir ūkininkams (toliau – Ūkio subjektai), gavusiems kreditą iš kredito įstaigos (-ų) ar lizingo bendrovės (-ių) – kai </w:t>
      </w:r>
      <w:r>
        <w:rPr>
          <w:sz w:val="24"/>
          <w:szCs w:val="24"/>
        </w:rPr>
        <w:t>įsipareigojama kompensuoti priskaičiuotas ir sumokėtas palūkanas. Ūkininko ūkis turi būti įregistruotas ne vėliau kaip prieš penkerius metus. Palūkanų kompensavimas gali būti vykdomas ne ilgiau kaip dvejus metus nuo sutarties (-čių) su Savivaldybės adminis</w:t>
      </w:r>
      <w:r>
        <w:rPr>
          <w:sz w:val="24"/>
          <w:szCs w:val="24"/>
        </w:rPr>
        <w:t>tracija sudarymo. Maksimalus paramos dydis – 868,86 euro. Ūkio subjektams po sutarties su Savivaldybės administracija pasibaigimo 2 metus ši paramos rūšis negali būti taikoma;</w:t>
      </w:r>
    </w:p>
    <w:p w:rsidR="0098101E" w:rsidRDefault="003B7A7F">
      <w:pPr>
        <w:pStyle w:val="Standard"/>
        <w:ind w:right="72" w:firstLine="709"/>
        <w:jc w:val="both"/>
      </w:pPr>
      <w:r>
        <w:rPr>
          <w:sz w:val="24"/>
        </w:rPr>
        <w:t xml:space="preserve">11.2. </w:t>
      </w:r>
      <w:r>
        <w:rPr>
          <w:sz w:val="24"/>
          <w:szCs w:val="24"/>
        </w:rPr>
        <w:t>Ūkio subjektų</w:t>
      </w:r>
      <w:r>
        <w:rPr>
          <w:sz w:val="24"/>
        </w:rPr>
        <w:t xml:space="preserve"> investicinių projektų finansinei paramai iš ES ir kitų fond</w:t>
      </w:r>
      <w:r>
        <w:rPr>
          <w:sz w:val="24"/>
        </w:rPr>
        <w:t xml:space="preserve">ų gauti rengimo išlaidoms iki 75 proc. padengti. </w:t>
      </w:r>
      <w:r>
        <w:rPr>
          <w:sz w:val="24"/>
          <w:szCs w:val="24"/>
        </w:rPr>
        <w:t xml:space="preserve">Ūkininko ūkis turi būti įregistruotas ne vėliau kaip prieš penkerius metus. </w:t>
      </w:r>
      <w:r>
        <w:rPr>
          <w:sz w:val="24"/>
        </w:rPr>
        <w:t>Maksimalus paramos dydis – 579,24 euro kalendoriniais metais;</w:t>
      </w:r>
    </w:p>
    <w:p w:rsidR="0098101E" w:rsidRDefault="003B7A7F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Ūkio subjektų darbuotojų mokymo, konsultavimo, kvalifikacijos </w:t>
      </w:r>
      <w:r>
        <w:rPr>
          <w:sz w:val="24"/>
          <w:szCs w:val="24"/>
        </w:rPr>
        <w:t>įgijimo, kėlimo ar perkvalifikavimo kursų, organizuojamų Lietuvos Respublikoje, 50 proc. išlaidoms padengti. Ūkininko ūkis turi būti įregistruotas ne vėliau kaip prieš penkerius metus. Maksimalus paramos dydis – 579,24 euro kalendoriniais metais;</w:t>
      </w:r>
    </w:p>
    <w:p w:rsidR="0098101E" w:rsidRDefault="003B7A7F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Ūki</w:t>
      </w:r>
      <w:r>
        <w:rPr>
          <w:sz w:val="24"/>
          <w:szCs w:val="24"/>
        </w:rPr>
        <w:t>o subjektų seminarų, mugių, parodų ir kitų renginių, skirtų verslui skatinti ir plėtoti, išlaidoms padengti. Maksimalus paramos dydis – 579,24 euro kalendoriniais metais;</w:t>
      </w:r>
    </w:p>
    <w:p w:rsidR="0098101E" w:rsidRDefault="003B7A7F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11.5. naujų įregistruotų įmonių įsteigimo išlaidoms padengti, jei verslo subjektas kr</w:t>
      </w:r>
      <w:r>
        <w:rPr>
          <w:sz w:val="24"/>
          <w:szCs w:val="24"/>
        </w:rPr>
        <w:t>eipiasi nuo įmonės įregistravimo dienos per vienerius metus. Maksimalus paramos dydis – 115,85 euro;</w:t>
      </w:r>
    </w:p>
    <w:p w:rsidR="0098101E" w:rsidRDefault="003B7A7F">
      <w:pPr>
        <w:pStyle w:val="Standard"/>
        <w:ind w:firstLine="709"/>
        <w:jc w:val="both"/>
      </w:pPr>
      <w:r>
        <w:rPr>
          <w:sz w:val="24"/>
          <w:szCs w:val="24"/>
        </w:rPr>
        <w:t xml:space="preserve">11.6. vietinės rinkliavos už leidimo įrengti išorinę reklamą Panevėžio rajono savivaldybės teritorijoje išdavimą 50 proc. išlaidoms padengti. </w:t>
      </w:r>
      <w:r>
        <w:rPr>
          <w:sz w:val="24"/>
        </w:rPr>
        <w:t>Maksimalus pa</w:t>
      </w:r>
      <w:r>
        <w:rPr>
          <w:sz w:val="24"/>
        </w:rPr>
        <w:t xml:space="preserve">ramos dydis – 86,87 euro kalendoriniais metais.“          </w:t>
      </w:r>
    </w:p>
    <w:p w:rsidR="0098101E" w:rsidRDefault="003B7A7F">
      <w:pPr>
        <w:pStyle w:val="Pagrindinistekstas3"/>
        <w:widowControl/>
        <w:tabs>
          <w:tab w:val="left" w:pos="720"/>
        </w:tabs>
        <w:ind w:firstLine="709"/>
        <w:jc w:val="both"/>
        <w:rPr>
          <w:szCs w:val="24"/>
        </w:rPr>
      </w:pPr>
      <w:r>
        <w:rPr>
          <w:szCs w:val="24"/>
        </w:rPr>
        <w:t xml:space="preserve">2. Pripažinti netekusiu galios Savivaldybės tarybos 2012 m. gruodžio 13 d. sprendimo </w:t>
      </w:r>
      <w:r>
        <w:rPr>
          <w:szCs w:val="24"/>
        </w:rPr>
        <w:br/>
      </w:r>
      <w:r>
        <w:rPr>
          <w:szCs w:val="24"/>
        </w:rPr>
        <w:t>Nr. T-216 „Dėl Savivaldybės tarybos 2012 m. vasario 23 d. sprendimo Nr. T-27 „Dėl Panevėžio rajono savivaldybės</w:t>
      </w:r>
      <w:r>
        <w:rPr>
          <w:szCs w:val="24"/>
        </w:rPr>
        <w:t xml:space="preserve"> smulkaus ir vidutinio verslo rėmimo nuostatų patvirtinimo“ pakeitimo“ </w:t>
      </w:r>
      <w:r>
        <w:rPr>
          <w:szCs w:val="24"/>
        </w:rPr>
        <w:br/>
      </w:r>
      <w:r>
        <w:rPr>
          <w:szCs w:val="24"/>
        </w:rPr>
        <w:t>2 punktą.</w:t>
      </w:r>
    </w:p>
    <w:p w:rsidR="0098101E" w:rsidRDefault="003B7A7F">
      <w:pPr>
        <w:pStyle w:val="Pagrindinistekstas3"/>
        <w:widowControl/>
        <w:tabs>
          <w:tab w:val="left" w:pos="720"/>
        </w:tabs>
        <w:ind w:firstLine="709"/>
        <w:jc w:val="both"/>
        <w:rPr>
          <w:szCs w:val="24"/>
        </w:rPr>
      </w:pPr>
      <w:r>
        <w:rPr>
          <w:szCs w:val="24"/>
        </w:rPr>
        <w:t>3. Nustatyti, kad šis sprendimas įsigalioja 2015 m. sausio 1 d.</w:t>
      </w:r>
    </w:p>
    <w:p w:rsidR="0098101E" w:rsidRDefault="003B7A7F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</w:t>
      </w:r>
      <w:r>
        <w:rPr>
          <w:sz w:val="24"/>
          <w:szCs w:val="24"/>
        </w:rPr>
        <w:t>rka.</w:t>
      </w:r>
    </w:p>
    <w:p w:rsidR="0098101E" w:rsidRDefault="0098101E">
      <w:pPr>
        <w:pStyle w:val="Standard"/>
        <w:ind w:firstLine="709"/>
        <w:jc w:val="both"/>
        <w:rPr>
          <w:sz w:val="24"/>
          <w:szCs w:val="24"/>
        </w:rPr>
      </w:pPr>
    </w:p>
    <w:p w:rsidR="0098101E" w:rsidRDefault="0013030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Savivaldybės</w:t>
      </w:r>
      <w:bookmarkStart w:id="0" w:name="_GoBack"/>
      <w:bookmarkEnd w:id="0"/>
      <w:r w:rsidR="003B7A7F">
        <w:rPr>
          <w:sz w:val="24"/>
          <w:szCs w:val="24"/>
        </w:rPr>
        <w:t xml:space="preserve"> meras</w:t>
      </w:r>
      <w:r w:rsidR="003B7A7F">
        <w:rPr>
          <w:sz w:val="24"/>
          <w:szCs w:val="24"/>
        </w:rPr>
        <w:tab/>
      </w:r>
      <w:r w:rsidR="003B7A7F">
        <w:rPr>
          <w:sz w:val="24"/>
          <w:szCs w:val="24"/>
        </w:rPr>
        <w:tab/>
      </w:r>
      <w:r w:rsidR="003B7A7F">
        <w:rPr>
          <w:sz w:val="24"/>
          <w:szCs w:val="24"/>
        </w:rPr>
        <w:tab/>
        <w:t xml:space="preserve">                                        Povilas Žagunis</w:t>
      </w:r>
    </w:p>
    <w:p w:rsidR="0098101E" w:rsidRDefault="003B7A7F">
      <w:pPr>
        <w:pStyle w:val="Standard"/>
        <w:jc w:val="both"/>
      </w:pPr>
      <w:r>
        <w:rPr>
          <w:sz w:val="24"/>
          <w:szCs w:val="24"/>
        </w:rPr>
        <w:tab/>
      </w:r>
    </w:p>
    <w:p w:rsidR="0098101E" w:rsidRDefault="0098101E">
      <w:pPr>
        <w:pStyle w:val="Standard"/>
        <w:ind w:firstLine="720"/>
        <w:jc w:val="both"/>
      </w:pPr>
    </w:p>
    <w:sectPr w:rsidR="0098101E">
      <w:pgSz w:w="11906" w:h="16838"/>
      <w:pgMar w:top="885" w:right="567" w:bottom="8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7F" w:rsidRDefault="003B7A7F">
      <w:r>
        <w:separator/>
      </w:r>
    </w:p>
  </w:endnote>
  <w:endnote w:type="continuationSeparator" w:id="0">
    <w:p w:rsidR="003B7A7F" w:rsidRDefault="003B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7F" w:rsidRDefault="003B7A7F">
      <w:r>
        <w:rPr>
          <w:color w:val="000000"/>
        </w:rPr>
        <w:separator/>
      </w:r>
    </w:p>
  </w:footnote>
  <w:footnote w:type="continuationSeparator" w:id="0">
    <w:p w:rsidR="003B7A7F" w:rsidRDefault="003B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41102"/>
    <w:multiLevelType w:val="multilevel"/>
    <w:tmpl w:val="5EBA84C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101E"/>
    <w:rsid w:val="00130309"/>
    <w:rsid w:val="003B7A7F"/>
    <w:rsid w:val="0098101E"/>
    <w:rsid w:val="00C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03B73E-C462-4C82-8174-1F94F64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Antrat1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pPr>
      <w:ind w:left="1440"/>
    </w:pPr>
    <w:rPr>
      <w:b/>
      <w:sz w:val="24"/>
    </w:rPr>
  </w:style>
  <w:style w:type="paragraph" w:customStyle="1" w:styleId="HTMLiankstoformatuotas">
    <w:name w:val="HTML iš anksto formatuotas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Standard"/>
    <w:pPr>
      <w:spacing w:after="120"/>
      <w:ind w:left="283"/>
    </w:pPr>
    <w:rPr>
      <w:sz w:val="16"/>
      <w:szCs w:val="16"/>
    </w:rPr>
  </w:style>
  <w:style w:type="paragraph" w:customStyle="1" w:styleId="Debesliotekstas">
    <w:name w:val="Debesėlio tekstas"/>
    <w:basedOn w:val="Standard"/>
    <w:rPr>
      <w:rFonts w:ascii="Tahoma" w:hAnsi="Tahoma" w:cs="Tahoma"/>
      <w:sz w:val="16"/>
      <w:szCs w:val="16"/>
    </w:rPr>
  </w:style>
  <w:style w:type="paragraph" w:customStyle="1" w:styleId="prastasiniatinklio">
    <w:name w:val="Įprastas (žiniatinklio)"/>
    <w:basedOn w:val="Standard"/>
    <w:pPr>
      <w:spacing w:before="280" w:after="280"/>
    </w:pPr>
    <w:rPr>
      <w:sz w:val="24"/>
      <w:szCs w:val="24"/>
      <w:lang w:val="en-US"/>
    </w:rPr>
  </w:style>
  <w:style w:type="paragraph" w:customStyle="1" w:styleId="Betarp">
    <w:name w:val="Be tarpų"/>
    <w:pPr>
      <w:widowControl/>
    </w:pPr>
    <w:rPr>
      <w:rFonts w:eastAsia="Arial" w:cs="Times New Roman"/>
      <w:sz w:val="20"/>
      <w:szCs w:val="20"/>
      <w:lang w:bidi="ar-SA"/>
    </w:rPr>
  </w:style>
  <w:style w:type="paragraph" w:customStyle="1" w:styleId="Default">
    <w:name w:val="Default"/>
    <w:pPr>
      <w:widowControl/>
      <w:autoSpaceDE w:val="0"/>
    </w:pPr>
    <w:rPr>
      <w:rFonts w:eastAsia="Arial" w:cs="Times New Roman"/>
      <w:color w:val="000000"/>
      <w:lang w:bidi="ar-SA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paragraph" w:customStyle="1" w:styleId="PreformattedText">
    <w:name w:val="Preformatted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Numatytasispastraiposriftas">
    <w:name w:val="Numatytasis pastraipos šriftas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Vjuriste</dc:creator>
  <cp:lastModifiedBy>Microsoft account</cp:lastModifiedBy>
  <cp:revision>3</cp:revision>
  <cp:lastPrinted>2014-11-04T10:30:00Z</cp:lastPrinted>
  <dcterms:created xsi:type="dcterms:W3CDTF">2014-11-20T14:07:00Z</dcterms:created>
  <dcterms:modified xsi:type="dcterms:W3CDTF">2014-11-20T14:08:00Z</dcterms:modified>
</cp:coreProperties>
</file>