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17F1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C1FC5" w:rsidRDefault="003C1FC5" w:rsidP="003C1FC5">
      <w:pPr>
        <w:pStyle w:val="Pagrindinistekstas"/>
      </w:pPr>
      <w:r>
        <w:t>DĖL PANEVĖŽIO RAJONO SAVIVALDYBĖS BIUDŽETINIŲ ĮSTAIGŲ DARBUOTOJŲ, DIRBANČIŲ PAGAL DARBO SUTARTIS, TARNYBINIŲ ATLYGINIMŲ SCHEMŲ (KOEFICIENTAIS) PATVIRTINIMO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2014 m. gruodžio 22   d.  Nr. T-</w:t>
      </w:r>
      <w:r w:rsidR="00F463B0">
        <w:rPr>
          <w:sz w:val="24"/>
          <w:lang w:val="lt-LT"/>
        </w:rPr>
        <w:t>243</w:t>
      </w:r>
    </w:p>
    <w:p w:rsidR="003C1FC5" w:rsidRDefault="003C1FC5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3C1FC5" w:rsidRDefault="001D18F7" w:rsidP="003C1FC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Vadovaudamasi</w:t>
      </w:r>
      <w:r w:rsidR="003C1FC5">
        <w:rPr>
          <w:sz w:val="24"/>
          <w:lang w:val="lt-LT"/>
        </w:rPr>
        <w:t xml:space="preserve"> Lietuvos Respublikos Vyriausybės 1993 m. lie</w:t>
      </w:r>
      <w:r w:rsidR="00D35C33">
        <w:rPr>
          <w:sz w:val="24"/>
          <w:lang w:val="lt-LT"/>
        </w:rPr>
        <w:t>pos 8 d. nutarimu Nr. 511 „Dėl B</w:t>
      </w:r>
      <w:r w:rsidR="003C1FC5">
        <w:rPr>
          <w:sz w:val="24"/>
          <w:lang w:val="lt-LT"/>
        </w:rPr>
        <w:t xml:space="preserve">iudžetinių įstaigų ir organizacijų darbo apmokėjimo tvarkos tobulinimo“, Socialinį darbą dirbančių darbuotojų darbo apmokėjimo </w:t>
      </w:r>
      <w:r w:rsidR="009023C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 xml:space="preserve">tvarkos aprašu, patvirtintu Lietuvos Respublikos socialinės apsaugos ir darbo ministro </w:t>
      </w:r>
      <w:r w:rsidR="0050572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>2009</w:t>
      </w:r>
      <w:r w:rsidR="0050572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 xml:space="preserve"> m.</w:t>
      </w:r>
      <w:r w:rsidR="0050572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 xml:space="preserve"> sausi</w:t>
      </w:r>
      <w:r w:rsidR="00D35C33">
        <w:rPr>
          <w:sz w:val="24"/>
          <w:lang w:val="lt-LT"/>
        </w:rPr>
        <w:t>o 20 d. įsakymu Nr. A1-22 „Dėl S</w:t>
      </w:r>
      <w:r w:rsidR="003C1FC5">
        <w:rPr>
          <w:sz w:val="24"/>
          <w:lang w:val="lt-LT"/>
        </w:rPr>
        <w:t>ocialinį darbą dirbančių darbuotojų darbo apmokėjimo tvarkos apra</w:t>
      </w:r>
      <w:r w:rsidR="0050572A">
        <w:rPr>
          <w:sz w:val="24"/>
          <w:lang w:val="lt-LT"/>
        </w:rPr>
        <w:t>šo patvirtinimo“,</w:t>
      </w:r>
      <w:r w:rsidR="009023C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>Kultūros įstaigų darbuotojų tarnybinių atlyginimų ir kitomis</w:t>
      </w:r>
      <w:r w:rsidR="0050572A">
        <w:rPr>
          <w:sz w:val="24"/>
          <w:lang w:val="lt-LT"/>
        </w:rPr>
        <w:t xml:space="preserve"> darbo</w:t>
      </w:r>
      <w:r w:rsidR="009023CA">
        <w:rPr>
          <w:sz w:val="24"/>
          <w:lang w:val="lt-LT"/>
        </w:rPr>
        <w:t xml:space="preserve"> </w:t>
      </w:r>
      <w:r w:rsidR="003C1FC5">
        <w:rPr>
          <w:sz w:val="24"/>
          <w:lang w:val="lt-LT"/>
        </w:rPr>
        <w:t xml:space="preserve">apmokėjimo sąlygomis, patvirtintomis Lietuvos Respublikos kultūros ministro </w:t>
      </w:r>
      <w:r w:rsidR="009023CA">
        <w:rPr>
          <w:sz w:val="24"/>
          <w:lang w:val="lt-LT"/>
        </w:rPr>
        <w:t>2012 m. spalio 9 d. įsakymu Nr. ĮV-677 „Dėl kultūros įsta</w:t>
      </w:r>
      <w:r w:rsidR="00D35C33">
        <w:rPr>
          <w:sz w:val="24"/>
          <w:lang w:val="lt-LT"/>
        </w:rPr>
        <w:t>igų darbuotojų darbo apmokėjimo</w:t>
      </w:r>
      <w:r w:rsidR="009023CA">
        <w:rPr>
          <w:sz w:val="24"/>
          <w:lang w:val="lt-LT"/>
        </w:rPr>
        <w:t>“</w:t>
      </w:r>
      <w:r w:rsidR="00D35C33">
        <w:rPr>
          <w:sz w:val="24"/>
          <w:lang w:val="lt-LT"/>
        </w:rPr>
        <w:t xml:space="preserve">, </w:t>
      </w:r>
      <w:r w:rsidR="003C1FC5">
        <w:rPr>
          <w:sz w:val="24"/>
          <w:lang w:val="lt-LT"/>
        </w:rPr>
        <w:t xml:space="preserve">Savivaldybės taryba   n u s p r e n d ž i a: </w:t>
      </w:r>
    </w:p>
    <w:p w:rsidR="009023CA" w:rsidRPr="00D35C33" w:rsidRDefault="00D35C33" w:rsidP="009023CA">
      <w:pPr>
        <w:numPr>
          <w:ilvl w:val="0"/>
          <w:numId w:val="2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>Patvirtinti</w:t>
      </w:r>
      <w:r w:rsidR="00F70E89">
        <w:rPr>
          <w:sz w:val="24"/>
          <w:lang w:val="lt-LT"/>
        </w:rPr>
        <w:t xml:space="preserve"> </w:t>
      </w:r>
      <w:r>
        <w:rPr>
          <w:sz w:val="24"/>
          <w:lang w:val="lt-LT"/>
        </w:rPr>
        <w:t>pridedama</w:t>
      </w:r>
      <w:r w:rsidR="005A01B4">
        <w:rPr>
          <w:sz w:val="24"/>
          <w:lang w:val="lt-LT"/>
        </w:rPr>
        <w:t>s</w:t>
      </w:r>
      <w:r>
        <w:rPr>
          <w:sz w:val="24"/>
          <w:lang w:val="lt-LT"/>
        </w:rPr>
        <w:t>:</w:t>
      </w:r>
    </w:p>
    <w:p w:rsidR="005A01B4" w:rsidRDefault="0007454A" w:rsidP="0007454A">
      <w:pPr>
        <w:ind w:left="720"/>
        <w:jc w:val="both"/>
        <w:rPr>
          <w:sz w:val="24"/>
          <w:lang w:val="lt-LT"/>
        </w:rPr>
      </w:pPr>
      <w:r w:rsidRPr="0007454A">
        <w:rPr>
          <w:sz w:val="24"/>
          <w:lang w:val="lt-LT"/>
        </w:rPr>
        <w:t>1.</w:t>
      </w:r>
      <w:r>
        <w:rPr>
          <w:sz w:val="24"/>
          <w:lang w:val="lt-LT"/>
        </w:rPr>
        <w:t xml:space="preserve">1. </w:t>
      </w:r>
      <w:r w:rsidR="005A01B4">
        <w:rPr>
          <w:sz w:val="24"/>
          <w:lang w:val="lt-LT"/>
        </w:rPr>
        <w:t>Panevėžio</w:t>
      </w:r>
      <w:r>
        <w:rPr>
          <w:sz w:val="24"/>
          <w:lang w:val="lt-LT"/>
        </w:rPr>
        <w:t xml:space="preserve">  </w:t>
      </w:r>
      <w:r w:rsidR="005A01B4">
        <w:rPr>
          <w:sz w:val="24"/>
          <w:lang w:val="lt-LT"/>
        </w:rPr>
        <w:t xml:space="preserve"> rajono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savivaldybės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socialinių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>įstaigų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 darbuotojų, dirbančių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pagal darbo </w:t>
      </w:r>
    </w:p>
    <w:p w:rsidR="003C1FC5" w:rsidRDefault="005A01B4" w:rsidP="0007454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sutartis, tarnybinių atlyginimų schemą (koeficientais);</w:t>
      </w:r>
    </w:p>
    <w:p w:rsidR="005A01B4" w:rsidRDefault="0007454A" w:rsidP="0007454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1.2. </w:t>
      </w:r>
      <w:r w:rsidR="005A01B4">
        <w:rPr>
          <w:sz w:val="24"/>
          <w:lang w:val="lt-LT"/>
        </w:rPr>
        <w:t xml:space="preserve">Panevėžio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>rajono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 savivaldybės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 kultūros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įstaigų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darbuotojų,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dirbančių 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pagal </w:t>
      </w:r>
      <w:r>
        <w:rPr>
          <w:sz w:val="24"/>
          <w:lang w:val="lt-LT"/>
        </w:rPr>
        <w:t xml:space="preserve">  </w:t>
      </w:r>
      <w:r w:rsidR="005A01B4">
        <w:rPr>
          <w:sz w:val="24"/>
          <w:lang w:val="lt-LT"/>
        </w:rPr>
        <w:t xml:space="preserve">darbo </w:t>
      </w:r>
    </w:p>
    <w:p w:rsidR="005A01B4" w:rsidRDefault="005A01B4" w:rsidP="0007454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sutartis, tarnybinių atlyginimų schemą (koeficientais);</w:t>
      </w:r>
    </w:p>
    <w:p w:rsidR="005A01B4" w:rsidRDefault="0007454A" w:rsidP="0007454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1.3. </w:t>
      </w:r>
      <w:r w:rsidR="005A01B4">
        <w:rPr>
          <w:sz w:val="24"/>
          <w:lang w:val="lt-LT"/>
        </w:rPr>
        <w:t>Panevėžio</w:t>
      </w:r>
      <w:r>
        <w:rPr>
          <w:sz w:val="24"/>
          <w:lang w:val="lt-LT"/>
        </w:rPr>
        <w:t xml:space="preserve"> </w:t>
      </w:r>
      <w:r w:rsidR="005A01B4">
        <w:rPr>
          <w:sz w:val="24"/>
          <w:lang w:val="lt-LT"/>
        </w:rPr>
        <w:t xml:space="preserve">rajono </w:t>
      </w:r>
      <w:r w:rsidR="00D35C33">
        <w:rPr>
          <w:sz w:val="24"/>
          <w:lang w:val="lt-LT"/>
        </w:rPr>
        <w:t>s</w:t>
      </w:r>
      <w:r w:rsidR="005A01B4">
        <w:rPr>
          <w:sz w:val="24"/>
          <w:lang w:val="lt-LT"/>
        </w:rPr>
        <w:t xml:space="preserve">avivaldybės </w:t>
      </w:r>
      <w:r>
        <w:rPr>
          <w:sz w:val="24"/>
          <w:lang w:val="lt-LT"/>
        </w:rPr>
        <w:t xml:space="preserve">administracijos,  </w:t>
      </w:r>
      <w:r w:rsidRPr="0007454A">
        <w:rPr>
          <w:sz w:val="24"/>
          <w:lang w:val="lt-LT"/>
        </w:rPr>
        <w:t>Priešgaisrinės tarnybos</w:t>
      </w:r>
      <w:r w:rsidR="00CB3775">
        <w:rPr>
          <w:sz w:val="24"/>
          <w:lang w:val="lt-LT"/>
        </w:rPr>
        <w:t>,  Visuomenės  sveikatos biuro</w:t>
      </w:r>
      <w:r w:rsidR="005A01B4" w:rsidRPr="0007454A">
        <w:rPr>
          <w:sz w:val="24"/>
          <w:lang w:val="lt-LT"/>
        </w:rPr>
        <w:t xml:space="preserve"> darbuotojų, dirbančių pagal darbo sutartis, tarnybinių atlyginimų schemą (koeficientais)</w:t>
      </w:r>
      <w:r>
        <w:rPr>
          <w:sz w:val="24"/>
          <w:lang w:val="lt-LT"/>
        </w:rPr>
        <w:t>.</w:t>
      </w:r>
    </w:p>
    <w:p w:rsidR="003526F0" w:rsidRDefault="0007454A" w:rsidP="007F569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Nustatyti</w:t>
      </w:r>
      <w:r w:rsidR="00D35C33">
        <w:rPr>
          <w:sz w:val="24"/>
          <w:lang w:val="lt-LT"/>
        </w:rPr>
        <w:t>,</w:t>
      </w:r>
      <w:r w:rsidR="001D18F7">
        <w:rPr>
          <w:sz w:val="24"/>
          <w:lang w:val="lt-LT"/>
        </w:rPr>
        <w:t xml:space="preserve"> kad b</w:t>
      </w:r>
      <w:r w:rsidR="00D157E4">
        <w:rPr>
          <w:sz w:val="24"/>
          <w:lang w:val="lt-LT"/>
        </w:rPr>
        <w:t xml:space="preserve">iudžetinių įstaigų darbuotojams, dirbantiems pagal darbo sutartis, </w:t>
      </w:r>
      <w:r w:rsidR="00F70E89">
        <w:rPr>
          <w:sz w:val="24"/>
          <w:lang w:val="lt-LT"/>
        </w:rPr>
        <w:t>t</w:t>
      </w:r>
      <w:r w:rsidR="00D157E4">
        <w:rPr>
          <w:sz w:val="24"/>
          <w:lang w:val="lt-LT"/>
        </w:rPr>
        <w:t>arnybinių atlyginimų ko</w:t>
      </w:r>
      <w:r w:rsidR="006D4C80">
        <w:rPr>
          <w:sz w:val="24"/>
          <w:lang w:val="lt-LT"/>
        </w:rPr>
        <w:t>eficientai</w:t>
      </w:r>
      <w:r w:rsidR="001D18F7">
        <w:rPr>
          <w:sz w:val="24"/>
          <w:lang w:val="lt-LT"/>
        </w:rPr>
        <w:t xml:space="preserve">, </w:t>
      </w:r>
      <w:r w:rsidR="006D4C80">
        <w:rPr>
          <w:sz w:val="24"/>
          <w:lang w:val="lt-LT"/>
        </w:rPr>
        <w:t>atsižvelgiant į turimą darbuotojų kvalifikaciją</w:t>
      </w:r>
      <w:r w:rsidR="001D18F7">
        <w:rPr>
          <w:sz w:val="24"/>
          <w:lang w:val="lt-LT"/>
        </w:rPr>
        <w:t>,</w:t>
      </w:r>
      <w:r w:rsidR="006D4C80">
        <w:rPr>
          <w:sz w:val="24"/>
          <w:lang w:val="lt-LT"/>
        </w:rPr>
        <w:t xml:space="preserve"> d</w:t>
      </w:r>
      <w:r w:rsidR="001D18F7">
        <w:rPr>
          <w:sz w:val="24"/>
          <w:lang w:val="lt-LT"/>
        </w:rPr>
        <w:t xml:space="preserve">arbo stažą atitinkamoje srityje, </w:t>
      </w:r>
      <w:r w:rsidR="00864626">
        <w:rPr>
          <w:sz w:val="24"/>
          <w:lang w:val="lt-LT"/>
        </w:rPr>
        <w:t>įstaigos darbo pobūdį ir jų dydį, vykdomas funkcijas</w:t>
      </w:r>
      <w:r w:rsidR="00773F12">
        <w:rPr>
          <w:sz w:val="24"/>
          <w:lang w:val="lt-LT"/>
        </w:rPr>
        <w:t>, struktūrinių teritorinių padalinių – seniūnijų gyve</w:t>
      </w:r>
      <w:r w:rsidR="00D35C33">
        <w:rPr>
          <w:sz w:val="24"/>
          <w:lang w:val="lt-LT"/>
        </w:rPr>
        <w:t xml:space="preserve">ntojų skaičių </w:t>
      </w:r>
      <w:r w:rsidR="001D18F7">
        <w:rPr>
          <w:sz w:val="24"/>
          <w:lang w:val="lt-LT"/>
        </w:rPr>
        <w:t xml:space="preserve">gali būti didinami iki 45 procentų, </w:t>
      </w:r>
      <w:r w:rsidR="00F12C7F">
        <w:rPr>
          <w:sz w:val="24"/>
          <w:lang w:val="lt-LT"/>
        </w:rPr>
        <w:t>neviršijant įstaigai darbo užmokesčiui skirtų asignavimų</w:t>
      </w:r>
      <w:r w:rsidR="001D18F7">
        <w:rPr>
          <w:sz w:val="24"/>
          <w:lang w:val="lt-LT"/>
        </w:rPr>
        <w:t>.</w:t>
      </w:r>
    </w:p>
    <w:p w:rsidR="00BF281B" w:rsidRDefault="001D18F7" w:rsidP="005A01B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Sprendimas įsigalioja nuo 2015 m. sausio 1 d.</w:t>
      </w:r>
      <w:r w:rsidR="00D4507D">
        <w:rPr>
          <w:sz w:val="24"/>
          <w:lang w:val="lt-LT"/>
        </w:rPr>
        <w:tab/>
      </w:r>
    </w:p>
    <w:p w:rsidR="00F07CEE" w:rsidRDefault="00F07CEE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Pr="00F463B0" w:rsidRDefault="00F463B0" w:rsidP="0007454A">
      <w:pPr>
        <w:pStyle w:val="Betarp"/>
        <w:rPr>
          <w:sz w:val="24"/>
          <w:szCs w:val="24"/>
          <w:lang w:val="lt-LT"/>
        </w:rPr>
      </w:pPr>
      <w:r w:rsidRPr="00F463B0">
        <w:rPr>
          <w:sz w:val="24"/>
          <w:szCs w:val="24"/>
          <w:lang w:val="lt-LT"/>
        </w:rPr>
        <w:t xml:space="preserve">Savivaldybės meras              </w:t>
      </w:r>
      <w:r w:rsidRPr="00F463B0">
        <w:rPr>
          <w:sz w:val="24"/>
          <w:szCs w:val="24"/>
          <w:lang w:val="lt-LT"/>
        </w:rPr>
        <w:tab/>
      </w:r>
      <w:r w:rsidRPr="00F463B0">
        <w:rPr>
          <w:sz w:val="24"/>
          <w:szCs w:val="24"/>
          <w:lang w:val="lt-LT"/>
        </w:rPr>
        <w:tab/>
      </w:r>
      <w:r w:rsidRPr="00F463B0">
        <w:rPr>
          <w:sz w:val="24"/>
          <w:szCs w:val="24"/>
          <w:lang w:val="lt-LT"/>
        </w:rPr>
        <w:tab/>
      </w:r>
      <w:r w:rsidRPr="00F463B0">
        <w:rPr>
          <w:sz w:val="24"/>
          <w:szCs w:val="24"/>
          <w:lang w:val="lt-LT"/>
        </w:rPr>
        <w:tab/>
      </w:r>
      <w:r w:rsidRPr="00F463B0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                        </w:t>
      </w:r>
      <w:r w:rsidRPr="00F463B0">
        <w:rPr>
          <w:sz w:val="24"/>
          <w:szCs w:val="24"/>
          <w:lang w:val="lt-LT"/>
        </w:rPr>
        <w:t xml:space="preserve">Povilas </w:t>
      </w:r>
      <w:proofErr w:type="spellStart"/>
      <w:r w:rsidRPr="00F463B0">
        <w:rPr>
          <w:sz w:val="24"/>
          <w:szCs w:val="24"/>
          <w:lang w:val="lt-LT"/>
        </w:rPr>
        <w:t>Žagunis</w:t>
      </w:r>
      <w:proofErr w:type="spellEnd"/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50572A" w:rsidRDefault="0050572A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F463B0" w:rsidRDefault="00F463B0" w:rsidP="0007454A">
      <w:pPr>
        <w:pStyle w:val="Betarp"/>
        <w:rPr>
          <w:sz w:val="24"/>
          <w:szCs w:val="24"/>
          <w:lang w:val="lt-LT"/>
        </w:rPr>
      </w:pPr>
    </w:p>
    <w:p w:rsidR="00F463B0" w:rsidRDefault="00F463B0" w:rsidP="0007454A">
      <w:pPr>
        <w:pStyle w:val="Betarp"/>
        <w:rPr>
          <w:sz w:val="24"/>
          <w:szCs w:val="24"/>
          <w:lang w:val="lt-LT"/>
        </w:rPr>
      </w:pPr>
    </w:p>
    <w:p w:rsidR="00F463B0" w:rsidRPr="00E70D98" w:rsidRDefault="00F463B0" w:rsidP="0007454A">
      <w:pPr>
        <w:pStyle w:val="Betarp"/>
        <w:rPr>
          <w:sz w:val="24"/>
          <w:szCs w:val="24"/>
          <w:lang w:val="lt-LT"/>
        </w:rPr>
      </w:pPr>
    </w:p>
    <w:p w:rsidR="00F07CEE" w:rsidRDefault="00F07CEE" w:rsidP="0007454A">
      <w:pPr>
        <w:pStyle w:val="Betarp"/>
        <w:rPr>
          <w:lang w:val="lt-LT"/>
        </w:rPr>
      </w:pPr>
    </w:p>
    <w:p w:rsidR="00F07CEE" w:rsidRPr="00DD5282" w:rsidRDefault="00F07CEE" w:rsidP="0007454A">
      <w:pPr>
        <w:pStyle w:val="Betarp"/>
        <w:rPr>
          <w:sz w:val="24"/>
          <w:szCs w:val="24"/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DD5282">
        <w:rPr>
          <w:sz w:val="24"/>
          <w:szCs w:val="24"/>
          <w:lang w:val="lt-LT"/>
        </w:rPr>
        <w:t>PATVIRTINTA</w:t>
      </w:r>
    </w:p>
    <w:p w:rsidR="00F07CEE" w:rsidRPr="00DD5282" w:rsidRDefault="00F07CEE" w:rsidP="0007454A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F07CEE" w:rsidRPr="00DD5282" w:rsidRDefault="00F07CEE" w:rsidP="0007454A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 xml:space="preserve">tarybos </w:t>
      </w:r>
      <w:r w:rsidR="00DD5282" w:rsidRPr="00DD5282">
        <w:rPr>
          <w:sz w:val="24"/>
          <w:szCs w:val="24"/>
          <w:lang w:val="lt-LT"/>
        </w:rPr>
        <w:t>2014</w:t>
      </w:r>
      <w:r w:rsidR="00E70D98">
        <w:rPr>
          <w:sz w:val="24"/>
          <w:szCs w:val="24"/>
          <w:lang w:val="lt-LT"/>
        </w:rPr>
        <w:t xml:space="preserve"> m. gruodžio 22 d.</w:t>
      </w:r>
    </w:p>
    <w:p w:rsidR="00DD5282" w:rsidRPr="00DD5282" w:rsidRDefault="00DD5282" w:rsidP="00DD5282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 w:rsidR="00F463B0">
        <w:rPr>
          <w:sz w:val="24"/>
          <w:szCs w:val="24"/>
          <w:lang w:val="lt-LT"/>
        </w:rPr>
        <w:t>243</w:t>
      </w:r>
    </w:p>
    <w:p w:rsidR="0050572A" w:rsidRDefault="0050572A" w:rsidP="003C1FC5">
      <w:pPr>
        <w:jc w:val="both"/>
        <w:rPr>
          <w:sz w:val="24"/>
          <w:lang w:val="lt-LT"/>
        </w:rPr>
      </w:pPr>
    </w:p>
    <w:p w:rsidR="0050572A" w:rsidRDefault="0050572A" w:rsidP="003C1FC5">
      <w:pPr>
        <w:jc w:val="both"/>
        <w:rPr>
          <w:sz w:val="24"/>
          <w:lang w:val="lt-LT"/>
        </w:rPr>
      </w:pPr>
    </w:p>
    <w:p w:rsidR="003C1FC5" w:rsidRPr="00DD5282" w:rsidRDefault="00DD5282" w:rsidP="00DD5282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>PANEVĖŽIO RAJONO SAVIVALDYBĖS SOCIALINIŲ ĮSTAIGŲ DARBUOTOJŲ, DIRBANČIŲ PAGAL DARBO SUTARTIS, TARNYBINIŲ ATLYGINIMŲ SCHEMA (KOEFICIENTAIS)</w:t>
      </w:r>
    </w:p>
    <w:p w:rsidR="0050572A" w:rsidRDefault="0050572A" w:rsidP="003C1FC5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700"/>
      </w:tblGrid>
      <w:tr w:rsidR="003C1FC5" w:rsidRPr="00E803BE" w:rsidTr="006735AC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5A01B4" w:rsidP="006735AC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3C1FC5" w:rsidRPr="00E803BE" w:rsidRDefault="003C1FC5" w:rsidP="006735AC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5A01B4" w:rsidP="006735AC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3C1FC5" w:rsidP="006735AC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vadovai: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6735AC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D4507D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urintys aukštąjį universitetinį išsilavinimą  ir daugiau nei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13,38–23,0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D4507D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urintys aukštąjį neuniversitetinį išsilavinimą  ir daugiau nei 5 metų vadovavimo socialinių</w:t>
            </w:r>
            <w:r w:rsidR="00E70D98">
              <w:rPr>
                <w:sz w:val="26"/>
                <w:szCs w:val="26"/>
                <w:lang w:val="lt-LT" w:eastAsia="lt-LT" w:bidi="ar-SA"/>
              </w:rPr>
              <w:t xml:space="preserve"> paslaugų įstaigai darbo stažą ar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išsilavinimą  ir iki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12,88–22,2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vadovų pavaduotojai socialiniams reikalams: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D4507D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urintys aukštąjį universitetinį socialinio darbo ar jam prilygintą išsilavinimą  ir daugiau nei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12,09–20,0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D4507D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urintys aukštąjį neuniversitetinį socialinio darbo ar jam prilygintą išsilavinimą  ir daugiau nei</w:t>
            </w:r>
            <w:r w:rsidR="00E70D98">
              <w:rPr>
                <w:sz w:val="26"/>
                <w:szCs w:val="26"/>
                <w:lang w:val="lt-LT" w:eastAsia="lt-LT" w:bidi="ar-SA"/>
              </w:rPr>
              <w:t xml:space="preserve"> 5 metų socialinio darbo stažą ar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11,7–19,7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E70D98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</w:t>
            </w:r>
            <w:r w:rsidR="003C1FC5" w:rsidRPr="00E803BE">
              <w:rPr>
                <w:sz w:val="26"/>
                <w:szCs w:val="26"/>
                <w:lang w:val="lt-LT" w:eastAsia="lt-LT" w:bidi="ar-SA"/>
              </w:rPr>
              <w:t>urintys aukštąjį neuniversitetinį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11,57–19,3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Įstaigų vadovų pavaduotojai ūkio ir bendriesiems klausimams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MMA–16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Pr="00E803BE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FC5" w:rsidRPr="00E803BE" w:rsidRDefault="003C1FC5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MMA–18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Turintys aukštąjį universitetinį socialinio darbo</w:t>
            </w:r>
            <w:r w:rsidR="0050572A">
              <w:rPr>
                <w:sz w:val="26"/>
                <w:szCs w:val="26"/>
                <w:lang w:val="lt-LT" w:eastAsia="lt-LT" w:bidi="ar-SA"/>
              </w:rPr>
              <w:t xml:space="preserve"> ar jam prilygintą išsilavinimą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ir daugiau nei 5 metų socialinio darbo stažą</w:t>
            </w:r>
            <w:r w:rsidR="0012197F"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12197F" w:rsidRDefault="0012197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padalinių vadovai</w:t>
            </w:r>
          </w:p>
          <w:p w:rsidR="0012197F" w:rsidRDefault="0012197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12197F" w:rsidRDefault="0012197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12197F" w:rsidRPr="0012197F" w:rsidRDefault="0012197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2197F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12197F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12197F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12,09–16,2</w:t>
            </w:r>
          </w:p>
          <w:p w:rsidR="0012197F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11,84–15,76</w:t>
            </w:r>
          </w:p>
          <w:p w:rsidR="0012197F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11,39–15,76</w:t>
            </w:r>
          </w:p>
          <w:p w:rsidR="0012197F" w:rsidRPr="00E803BE" w:rsidRDefault="0012197F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Turintys aukštąjį neuniversitetinį socialinio darbo ar jam prilygintą išsilavinimą  ir daugiau nei 5 metų s</w:t>
            </w:r>
            <w:r w:rsidR="005C2B3D">
              <w:rPr>
                <w:sz w:val="26"/>
                <w:szCs w:val="26"/>
                <w:lang w:val="lt-LT" w:eastAsia="lt-LT" w:bidi="ar-SA"/>
              </w:rPr>
              <w:t>ocialinio darbo stažą a</w:t>
            </w:r>
            <w:r w:rsidR="00927C20">
              <w:rPr>
                <w:sz w:val="26"/>
                <w:szCs w:val="26"/>
                <w:lang w:val="lt-LT" w:eastAsia="lt-LT" w:bidi="ar-SA"/>
              </w:rPr>
              <w:t>r</w:t>
            </w:r>
            <w:r w:rsidRPr="00E803BE">
              <w:rPr>
                <w:sz w:val="26"/>
                <w:szCs w:val="26"/>
                <w:lang w:val="lt-LT" w:eastAsia="lt-LT" w:bidi="ar-SA"/>
              </w:rPr>
              <w:t xml:space="preserve"> aukštąjį universitetinį socialinio darbo ar jam prilygintą išsilavinimą  ir iki 5 metų socialinio darbo stažą</w:t>
            </w:r>
            <w:r w:rsidR="00C4269F"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C4269F" w:rsidRDefault="00C4269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C4269F" w:rsidRDefault="00C4269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C4269F" w:rsidRDefault="00C4269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C4269F" w:rsidRPr="00E803BE" w:rsidRDefault="00C4269F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1E94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11,7–15,9</w:t>
            </w:r>
          </w:p>
          <w:p w:rsidR="00861E94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11,51–15,25</w:t>
            </w:r>
          </w:p>
          <w:p w:rsidR="00861E94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11,06–15,25</w:t>
            </w:r>
          </w:p>
          <w:p w:rsidR="003C1FC5" w:rsidRPr="00E803BE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3C1FC5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FC5" w:rsidRDefault="003C1FC5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lastRenderedPageBreak/>
              <w:t>Turintys aukštąjį neuniversitetinį socialinio darbo ar jam prilygintą išsilavinimą  ir iki 5 metų socialinio darbo stažą</w:t>
            </w:r>
            <w:r w:rsidR="00861E94">
              <w:rPr>
                <w:sz w:val="26"/>
                <w:szCs w:val="26"/>
                <w:lang w:val="lt-LT" w:eastAsia="lt-LT" w:bidi="ar-SA"/>
              </w:rPr>
              <w:t>: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61E94" w:rsidRPr="00E803BE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1E94" w:rsidRPr="00927C20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11,57–15,5</w:t>
            </w:r>
          </w:p>
          <w:p w:rsidR="00861E94" w:rsidRPr="00927C20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11,51–14,3</w:t>
            </w:r>
          </w:p>
          <w:p w:rsidR="00861E94" w:rsidRPr="00927C20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11,06–14,3</w:t>
            </w:r>
          </w:p>
          <w:p w:rsidR="003C1FC5" w:rsidRPr="00E803BE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 w:rsidRPr="00927C20"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861E94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1E94" w:rsidRDefault="00861E94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universitetinį (išskyrus socialinio darbo ar jam prilygintą)</w:t>
            </w:r>
            <w:r w:rsidR="00927C20">
              <w:rPr>
                <w:sz w:val="26"/>
                <w:szCs w:val="26"/>
                <w:lang w:val="lt-LT" w:eastAsia="lt-LT" w:bidi="ar-SA"/>
              </w:rPr>
              <w:t xml:space="preserve"> išsilavinimą</w:t>
            </w:r>
            <w:r>
              <w:rPr>
                <w:sz w:val="26"/>
                <w:szCs w:val="26"/>
                <w:lang w:val="lt-LT" w:eastAsia="lt-LT" w:bidi="ar-SA"/>
              </w:rPr>
              <w:t xml:space="preserve"> ir daugiau nei 5 metų socialinio darbo stažą: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861E94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861E94" w:rsidRPr="00E803BE" w:rsidRDefault="00861E94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61E94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10,79–15,6</w:t>
            </w:r>
          </w:p>
          <w:p w:rsidR="00861E94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10,56–14,58</w:t>
            </w:r>
          </w:p>
          <w:p w:rsidR="00861E94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10,15–14,58</w:t>
            </w:r>
          </w:p>
          <w:p w:rsidR="00861E94" w:rsidRPr="00E803BE" w:rsidRDefault="00861E94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3C11EE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1EE" w:rsidRDefault="003C11EE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universitetinį (išskyrus socialinio darbo ar jam prilygintą)</w:t>
            </w:r>
            <w:r w:rsidR="00927C20">
              <w:rPr>
                <w:sz w:val="26"/>
                <w:szCs w:val="26"/>
                <w:lang w:val="lt-LT" w:eastAsia="lt-LT" w:bidi="ar-SA"/>
              </w:rPr>
              <w:t xml:space="preserve"> išsilavinimą</w:t>
            </w:r>
            <w:r>
              <w:rPr>
                <w:sz w:val="26"/>
                <w:szCs w:val="26"/>
                <w:lang w:val="lt-LT" w:eastAsia="lt-LT" w:bidi="ar-SA"/>
              </w:rPr>
              <w:t xml:space="preserve"> ir iki 5 metų socialinio darbo stažą</w:t>
            </w:r>
            <w:r w:rsidR="00927C20">
              <w:rPr>
                <w:sz w:val="26"/>
                <w:szCs w:val="26"/>
                <w:lang w:val="lt-LT" w:eastAsia="lt-LT" w:bidi="ar-SA"/>
              </w:rPr>
              <w:t xml:space="preserve"> ar</w:t>
            </w:r>
            <w:r>
              <w:rPr>
                <w:sz w:val="26"/>
                <w:szCs w:val="26"/>
                <w:lang w:val="lt-LT" w:eastAsia="lt-LT" w:bidi="ar-SA"/>
              </w:rPr>
              <w:t xml:space="preserve"> aukštąjį neuniversitetinį (išskyrus socialinio darbo ar jam prilygintą)</w:t>
            </w:r>
            <w:r w:rsidR="00927C20">
              <w:rPr>
                <w:sz w:val="26"/>
                <w:szCs w:val="26"/>
                <w:lang w:val="lt-LT" w:eastAsia="lt-LT" w:bidi="ar-SA"/>
              </w:rPr>
              <w:t xml:space="preserve"> išsilavinimą</w:t>
            </w:r>
            <w:r>
              <w:rPr>
                <w:sz w:val="26"/>
                <w:szCs w:val="26"/>
                <w:lang w:val="lt-LT" w:eastAsia="lt-LT" w:bidi="ar-SA"/>
              </w:rPr>
              <w:t xml:space="preserve"> ir daugiau nei 5 metų socialinio darbo stažą:</w:t>
            </w:r>
          </w:p>
          <w:p w:rsidR="003C11EE" w:rsidRDefault="003C11EE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3C11EE" w:rsidRDefault="003C11EE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3C11EE" w:rsidRDefault="003C11EE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3C11EE" w:rsidRPr="00E803BE" w:rsidRDefault="003C11EE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1EE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10,66–15,5</w:t>
            </w:r>
          </w:p>
          <w:p w:rsidR="003C11EE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10,41–14,44</w:t>
            </w:r>
          </w:p>
          <w:p w:rsidR="003C11EE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10,01–14,44</w:t>
            </w:r>
          </w:p>
          <w:p w:rsidR="003C11EE" w:rsidRPr="00E803BE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10,3–11,2</w:t>
            </w:r>
          </w:p>
        </w:tc>
      </w:tr>
      <w:tr w:rsidR="003C11EE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1EE" w:rsidRDefault="003C11EE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aukštąjį neuniversitetinį (išskyrus socialinio darbo ar jam prilygintą)</w:t>
            </w:r>
            <w:r w:rsidR="00927C20">
              <w:rPr>
                <w:sz w:val="26"/>
                <w:szCs w:val="26"/>
                <w:lang w:val="lt-LT" w:eastAsia="lt-LT" w:bidi="ar-SA"/>
              </w:rPr>
              <w:t xml:space="preserve"> išsilavinimą</w:t>
            </w:r>
            <w:r>
              <w:rPr>
                <w:sz w:val="26"/>
                <w:szCs w:val="26"/>
                <w:lang w:val="lt-LT" w:eastAsia="lt-LT" w:bidi="ar-SA"/>
              </w:rPr>
              <w:t xml:space="preserve"> ir iki 5 metų socialinio darbo stažą</w:t>
            </w:r>
            <w:r w:rsidR="005C2B3D">
              <w:rPr>
                <w:sz w:val="26"/>
                <w:szCs w:val="26"/>
                <w:lang w:val="lt-LT" w:eastAsia="lt-LT" w:bidi="ar-SA"/>
              </w:rPr>
              <w:t xml:space="preserve"> ar</w:t>
            </w:r>
            <w:r>
              <w:rPr>
                <w:sz w:val="26"/>
                <w:szCs w:val="26"/>
                <w:lang w:val="lt-LT" w:eastAsia="lt-LT" w:bidi="ar-SA"/>
              </w:rPr>
              <w:t xml:space="preserve"> aukštesnįjį </w:t>
            </w:r>
            <w:r w:rsidR="00927C20">
              <w:rPr>
                <w:sz w:val="26"/>
                <w:szCs w:val="26"/>
                <w:lang w:val="lt-LT" w:eastAsia="lt-LT" w:bidi="ar-SA"/>
              </w:rPr>
              <w:t>išsilavinimą ir daugiau nei 5 metų socialinio darbo stažą:</w:t>
            </w:r>
          </w:p>
          <w:p w:rsidR="00927C20" w:rsidRDefault="00927C20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927C20" w:rsidRDefault="00927C20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927C20" w:rsidRDefault="00927C20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3C11EE" w:rsidRPr="00E803BE" w:rsidRDefault="00927C20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27C20" w:rsidRPr="00927C20" w:rsidRDefault="00927C20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10,53–15,5</w:t>
            </w:r>
          </w:p>
          <w:p w:rsidR="00927C20" w:rsidRPr="00927C20" w:rsidRDefault="00927C20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10,28–14,29</w:t>
            </w:r>
          </w:p>
          <w:p w:rsidR="00927C20" w:rsidRPr="00927C20" w:rsidRDefault="00927C20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9,89–14,29</w:t>
            </w:r>
          </w:p>
          <w:p w:rsidR="003C11EE" w:rsidRPr="00E803BE" w:rsidRDefault="00927C20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9,3–10,24</w:t>
            </w:r>
          </w:p>
        </w:tc>
      </w:tr>
      <w:tr w:rsidR="00927C20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7C20" w:rsidRDefault="00927C20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aukštesnįjį išsilavinimą ir iki 5 metų socialinio darbo stažą</w:t>
            </w:r>
            <w:r w:rsidR="005C2B3D">
              <w:rPr>
                <w:sz w:val="26"/>
                <w:szCs w:val="26"/>
                <w:lang w:val="lt-LT" w:eastAsia="lt-LT" w:bidi="ar-SA"/>
              </w:rPr>
              <w:t xml:space="preserve"> ar</w:t>
            </w:r>
            <w:r>
              <w:rPr>
                <w:sz w:val="26"/>
                <w:szCs w:val="26"/>
                <w:lang w:val="lt-LT" w:eastAsia="lt-LT" w:bidi="ar-SA"/>
              </w:rPr>
              <w:t xml:space="preserve"> pagrindinį, bendrąjį vidurinį, profesinį, specialųjį vidurinį</w:t>
            </w:r>
            <w:r w:rsidR="005C2B3D">
              <w:rPr>
                <w:sz w:val="26"/>
                <w:szCs w:val="26"/>
                <w:lang w:val="lt-LT" w:eastAsia="lt-LT" w:bidi="ar-SA"/>
              </w:rPr>
              <w:t xml:space="preserve"> išsilavinimą</w:t>
            </w:r>
            <w:r>
              <w:rPr>
                <w:sz w:val="26"/>
                <w:szCs w:val="26"/>
                <w:lang w:val="lt-LT" w:eastAsia="lt-LT" w:bidi="ar-SA"/>
              </w:rPr>
              <w:t xml:space="preserve"> ir daugiau nei 5 metų socialinio darbo stažą:</w:t>
            </w:r>
          </w:p>
          <w:p w:rsidR="005C2B3D" w:rsidRDefault="005C2B3D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5C2B3D" w:rsidRDefault="005C2B3D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</w:t>
            </w:r>
          </w:p>
          <w:p w:rsidR="005C2B3D" w:rsidRDefault="005C2B3D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927C20" w:rsidRPr="00E803BE" w:rsidRDefault="005C2B3D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C2B3D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5C2B3D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5C2B3D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  <w:p w:rsidR="005C2B3D" w:rsidRPr="00927C20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10,01–15,3</w:t>
            </w:r>
          </w:p>
          <w:p w:rsidR="005C2B3D" w:rsidRPr="005C2B3D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9,75–13,84</w:t>
            </w:r>
          </w:p>
          <w:p w:rsidR="005C2B3D" w:rsidRPr="00927C20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9,38–13,84</w:t>
            </w:r>
          </w:p>
          <w:p w:rsidR="00927C20" w:rsidRPr="00E803BE" w:rsidRDefault="005C2B3D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9,3–10,24</w:t>
            </w:r>
          </w:p>
        </w:tc>
      </w:tr>
      <w:tr w:rsidR="00927C20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C2B3D" w:rsidRDefault="005C2B3D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Turintys pagrindinį, bendrąjį vidurinį, profesinį, specialųjį vidurinį išsilavinimą ir iki 5 metų socialinio darbo stažą:</w:t>
            </w:r>
          </w:p>
          <w:p w:rsidR="001612A3" w:rsidRDefault="001612A3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Socialinių paslaugų įstaigų užimtumo specialistai</w:t>
            </w:r>
          </w:p>
          <w:p w:rsidR="00927C20" w:rsidRPr="00E803BE" w:rsidRDefault="001612A3" w:rsidP="001776DA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612A3" w:rsidRPr="00927C20" w:rsidRDefault="001612A3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9,17–12,27</w:t>
            </w:r>
          </w:p>
          <w:p w:rsidR="00927C20" w:rsidRPr="00E803BE" w:rsidRDefault="001612A3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9,3–10,24</w:t>
            </w:r>
          </w:p>
        </w:tc>
      </w:tr>
      <w:tr w:rsidR="003C11EE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1EE" w:rsidRPr="00E803BE" w:rsidRDefault="003C11EE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1EE" w:rsidRPr="00E803BE" w:rsidRDefault="001612A3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</w:t>
            </w:r>
          </w:p>
        </w:tc>
      </w:tr>
      <w:tr w:rsidR="003C11EE" w:rsidRPr="00E803BE" w:rsidTr="006735AC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C11EE" w:rsidRPr="00E803BE" w:rsidRDefault="003C11EE" w:rsidP="001776DA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Darbininkai</w:t>
            </w:r>
            <w:r w:rsidR="006573E4">
              <w:rPr>
                <w:sz w:val="26"/>
                <w:szCs w:val="26"/>
                <w:lang w:val="lt-LT" w:eastAsia="lt-LT" w:bidi="ar-SA"/>
              </w:rPr>
              <w:t xml:space="preserve"> (netaikomas specialus išsilavinimo reikalavimas)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11EE" w:rsidRPr="00E803BE" w:rsidRDefault="003C11EE" w:rsidP="001776D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3C1FC5" w:rsidRPr="00E803BE" w:rsidRDefault="003C1FC5" w:rsidP="003C1FC5">
      <w:pPr>
        <w:suppressAutoHyphens w:val="0"/>
        <w:autoSpaceDE w:val="0"/>
        <w:autoSpaceDN w:val="0"/>
        <w:adjustRightInd w:val="0"/>
        <w:rPr>
          <w:sz w:val="24"/>
          <w:szCs w:val="24"/>
          <w:lang w:val="lt-LT" w:eastAsia="lt-LT" w:bidi="ar-SA"/>
        </w:rPr>
      </w:pPr>
    </w:p>
    <w:p w:rsidR="003C1FC5" w:rsidRPr="00E803BE" w:rsidRDefault="003C1FC5" w:rsidP="003C1FC5">
      <w:pPr>
        <w:suppressAutoHyphens w:val="0"/>
        <w:rPr>
          <w:sz w:val="22"/>
          <w:szCs w:val="22"/>
          <w:lang w:val="lt-LT" w:eastAsia="lt-LT" w:bidi="ar-SA"/>
        </w:rPr>
      </w:pPr>
    </w:p>
    <w:p w:rsidR="00B07407" w:rsidRPr="001776DA" w:rsidRDefault="00E70D98" w:rsidP="001776DA">
      <w:pPr>
        <w:suppressAutoHyphens w:val="0"/>
        <w:rPr>
          <w:sz w:val="22"/>
          <w:szCs w:val="22"/>
          <w:lang w:val="lt-LT" w:eastAsia="lt-LT" w:bidi="ar-SA"/>
        </w:rPr>
      </w:pPr>
      <w:r>
        <w:rPr>
          <w:sz w:val="22"/>
          <w:szCs w:val="22"/>
          <w:lang w:val="lt-LT" w:eastAsia="lt-LT" w:bidi="ar-SA"/>
        </w:rPr>
        <w:tab/>
      </w:r>
      <w:r>
        <w:rPr>
          <w:sz w:val="22"/>
          <w:szCs w:val="22"/>
          <w:lang w:val="lt-LT" w:eastAsia="lt-LT" w:bidi="ar-SA"/>
        </w:rPr>
        <w:tab/>
      </w:r>
      <w:r>
        <w:rPr>
          <w:sz w:val="22"/>
          <w:szCs w:val="22"/>
          <w:lang w:val="lt-LT" w:eastAsia="lt-LT" w:bidi="ar-SA"/>
        </w:rPr>
        <w:tab/>
      </w:r>
      <w:r>
        <w:rPr>
          <w:sz w:val="22"/>
          <w:szCs w:val="22"/>
          <w:lang w:val="lt-LT" w:eastAsia="lt-LT" w:bidi="ar-SA"/>
        </w:rPr>
        <w:tab/>
        <w:t>__________________________________________________</w:t>
      </w:r>
    </w:p>
    <w:p w:rsidR="00C17F13" w:rsidRDefault="00C17F13" w:rsidP="00E70D98">
      <w:pPr>
        <w:pStyle w:val="Betarp"/>
        <w:ind w:left="5760" w:firstLine="720"/>
        <w:rPr>
          <w:sz w:val="24"/>
          <w:szCs w:val="24"/>
          <w:lang w:val="lt-LT"/>
        </w:rPr>
      </w:pPr>
    </w:p>
    <w:p w:rsidR="00C17F13" w:rsidRDefault="00C17F13" w:rsidP="00E70D98">
      <w:pPr>
        <w:pStyle w:val="Betarp"/>
        <w:ind w:left="5760" w:firstLine="720"/>
        <w:rPr>
          <w:sz w:val="24"/>
          <w:szCs w:val="24"/>
          <w:lang w:val="lt-LT"/>
        </w:rPr>
      </w:pPr>
    </w:p>
    <w:p w:rsidR="00C17F13" w:rsidRDefault="00C17F13" w:rsidP="00E70D98">
      <w:pPr>
        <w:pStyle w:val="Betarp"/>
        <w:ind w:left="5760" w:firstLine="720"/>
        <w:rPr>
          <w:sz w:val="24"/>
          <w:szCs w:val="24"/>
          <w:lang w:val="lt-LT"/>
        </w:rPr>
      </w:pPr>
    </w:p>
    <w:p w:rsidR="00E70D98" w:rsidRPr="00DD5282" w:rsidRDefault="00E70D98" w:rsidP="00E70D98">
      <w:pPr>
        <w:pStyle w:val="Betarp"/>
        <w:ind w:left="5760" w:firstLine="720"/>
        <w:rPr>
          <w:sz w:val="24"/>
          <w:szCs w:val="24"/>
          <w:lang w:val="lt-LT"/>
        </w:rPr>
      </w:pPr>
      <w:bookmarkStart w:id="0" w:name="_GoBack"/>
      <w:bookmarkEnd w:id="0"/>
      <w:r w:rsidRPr="00DD5282">
        <w:rPr>
          <w:sz w:val="24"/>
          <w:szCs w:val="24"/>
          <w:lang w:val="lt-LT"/>
        </w:rPr>
        <w:lastRenderedPageBreak/>
        <w:t>PATVIRTINTA</w:t>
      </w:r>
    </w:p>
    <w:p w:rsidR="00E70D98" w:rsidRPr="00DD5282" w:rsidRDefault="00E70D98" w:rsidP="00E70D98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E70D98" w:rsidRPr="00DD5282" w:rsidRDefault="00E70D98" w:rsidP="00E70D98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tarybos 2014</w:t>
      </w:r>
      <w:r>
        <w:rPr>
          <w:sz w:val="24"/>
          <w:szCs w:val="24"/>
          <w:lang w:val="lt-LT"/>
        </w:rPr>
        <w:t xml:space="preserve"> m. gruodžio 22 d.</w:t>
      </w:r>
    </w:p>
    <w:p w:rsidR="00E70D98" w:rsidRPr="00DD5282" w:rsidRDefault="00E70D98" w:rsidP="00E70D98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 w:rsidR="00F463B0">
        <w:rPr>
          <w:sz w:val="24"/>
          <w:szCs w:val="24"/>
          <w:lang w:val="lt-LT"/>
        </w:rPr>
        <w:t>243</w:t>
      </w:r>
    </w:p>
    <w:p w:rsidR="00E70D98" w:rsidRPr="00DD5282" w:rsidRDefault="00E70D98" w:rsidP="00E70D98">
      <w:pPr>
        <w:pStyle w:val="Betarp"/>
        <w:rPr>
          <w:sz w:val="24"/>
          <w:szCs w:val="24"/>
          <w:lang w:val="lt-LT"/>
        </w:rPr>
      </w:pPr>
    </w:p>
    <w:p w:rsidR="00E70D98" w:rsidRDefault="00E70D98" w:rsidP="00E70D98">
      <w:pPr>
        <w:jc w:val="both"/>
        <w:rPr>
          <w:sz w:val="24"/>
          <w:lang w:val="lt-LT"/>
        </w:rPr>
      </w:pPr>
    </w:p>
    <w:p w:rsidR="00E70D98" w:rsidRPr="00DD5282" w:rsidRDefault="00E70D98" w:rsidP="00E70D98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 xml:space="preserve">PANEVĖŽIO RAJONO SAVIVALDYBĖS </w:t>
      </w:r>
      <w:r>
        <w:rPr>
          <w:b/>
          <w:sz w:val="24"/>
          <w:lang w:val="lt-LT"/>
        </w:rPr>
        <w:t>KULTŪROS</w:t>
      </w:r>
      <w:r w:rsidRPr="00DD5282">
        <w:rPr>
          <w:b/>
          <w:sz w:val="24"/>
          <w:lang w:val="lt-LT"/>
        </w:rPr>
        <w:t xml:space="preserve"> ĮSTAIGŲ DARBUOTOJŲ, DIRBANČIŲ PAGAL DARBO SUTARTIS, TARNYBINIŲ ATLYGINIMŲ SCHEMA (KOEFICIENTAIS)</w:t>
      </w:r>
    </w:p>
    <w:p w:rsidR="00E70D98" w:rsidRDefault="00E70D98" w:rsidP="00E70D98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992"/>
        <w:gridCol w:w="977"/>
        <w:gridCol w:w="866"/>
        <w:gridCol w:w="992"/>
        <w:gridCol w:w="1498"/>
      </w:tblGrid>
      <w:tr w:rsidR="00E709EB" w:rsidRPr="00E803BE" w:rsidTr="00E709EB">
        <w:trPr>
          <w:cantSplit/>
          <w:trHeight w:val="600"/>
        </w:trPr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E709EB" w:rsidRPr="00E803BE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Default="00E709EB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</w:p>
          <w:p w:rsidR="00E709EB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  <w:p w:rsidR="00E709EB" w:rsidRPr="00E803BE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E709EB" w:rsidRPr="00E803BE" w:rsidTr="00E709EB">
        <w:trPr>
          <w:cantSplit/>
          <w:trHeight w:val="300"/>
        </w:trPr>
        <w:tc>
          <w:tcPr>
            <w:tcW w:w="445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Default="00E709EB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Kultūros centrai</w:t>
            </w:r>
            <w:r w:rsidR="001B7C7A">
              <w:rPr>
                <w:sz w:val="26"/>
                <w:szCs w:val="26"/>
                <w:lang w:val="lt-LT" w:eastAsia="lt-LT" w:bidi="ar-SA"/>
              </w:rPr>
              <w:t xml:space="preserve"> (kategorijos)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709EB" w:rsidRDefault="00E709EB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Biblioteka</w:t>
            </w:r>
          </w:p>
        </w:tc>
      </w:tr>
      <w:tr w:rsidR="00E709EB" w:rsidRPr="00E803BE" w:rsidTr="00E709EB">
        <w:trPr>
          <w:cantSplit/>
          <w:trHeight w:val="300"/>
        </w:trPr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Default="00E709EB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573E4" w:rsidRDefault="0041567C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proofErr w:type="spellStart"/>
            <w:r>
              <w:rPr>
                <w:sz w:val="26"/>
                <w:szCs w:val="26"/>
                <w:lang w:val="lt-LT" w:eastAsia="lt-LT" w:bidi="ar-SA"/>
              </w:rPr>
              <w:t>Aukš</w:t>
            </w:r>
            <w:proofErr w:type="spellEnd"/>
          </w:p>
          <w:p w:rsidR="00E709EB" w:rsidRDefault="0041567C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proofErr w:type="spellStart"/>
            <w:r>
              <w:rPr>
                <w:sz w:val="26"/>
                <w:szCs w:val="26"/>
                <w:lang w:val="lt-LT" w:eastAsia="lt-LT" w:bidi="ar-SA"/>
              </w:rPr>
              <w:t>čiausia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9EB" w:rsidRDefault="001B7C7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Pirma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9EB" w:rsidRDefault="001B7C7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Antra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9EB" w:rsidRDefault="001B7C7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Trečia</w:t>
            </w: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9EB" w:rsidRDefault="00E709EB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E709EB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10,2–23,5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10,2–21,2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10,2–21,2</w:t>
            </w: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Vadovų pavaduotojai, priskiriami kultūros ir meno darbuotojams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10,2–21,5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10,2–20,5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10,2–19,8</w:t>
            </w: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MMA–17,8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MMA–16,2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MMA–14,1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MMA–16,2</w:t>
            </w: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Vadovų pavaduotojai ūkio ir bendriesiems klausimams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MMA–16,0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MMA–14,3</w:t>
            </w: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Struktūrinių padalinių vadovai: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E709EB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E709EB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E709EB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E709EB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E709EB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priskiriami kultūros ir meno darbuotojams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10,2–19,0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10,2–18,7</w:t>
            </w:r>
          </w:p>
        </w:tc>
      </w:tr>
      <w:tr w:rsidR="00E709EB" w:rsidRPr="00E803BE" w:rsidTr="00E709EB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709EB" w:rsidRPr="00E803BE" w:rsidRDefault="001B7C7A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nepriskiriami kultūros ir meno darbuotojams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1B7C7A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709EB" w:rsidRPr="00E803BE" w:rsidRDefault="00AD781D" w:rsidP="00DC03E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MMA–11,3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Specialistai, priskiriami kultūros ir meno darbuotojams:</w:t>
            </w:r>
          </w:p>
        </w:tc>
        <w:tc>
          <w:tcPr>
            <w:tcW w:w="532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10,2–18,8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neuniversitetinį išsilavinimą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10,2–15,4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10,2–12,0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Specialistai, nepriskiriami kultūros ir meno darbuotojams: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MMA–11,4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aukštąjį neuniversitetinį išsilavinimą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MMA–10,5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1776DA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MMA–9,6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2F782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lastRenderedPageBreak/>
              <w:t>Tarnautojai, išskyrus vadovus ir specialistus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MMA–9,0</w:t>
            </w:r>
          </w:p>
        </w:tc>
      </w:tr>
      <w:tr w:rsidR="002F7822" w:rsidRPr="00E803BE" w:rsidTr="00414A15">
        <w:trPr>
          <w:cantSplit/>
        </w:trPr>
        <w:tc>
          <w:tcPr>
            <w:tcW w:w="4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7822" w:rsidRPr="00E803BE" w:rsidRDefault="002F7822" w:rsidP="002F782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Darbininkai (netaikomas specialus išsilavinimo reikalavimas)</w:t>
            </w:r>
          </w:p>
        </w:tc>
        <w:tc>
          <w:tcPr>
            <w:tcW w:w="532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F7822" w:rsidRPr="00E803BE" w:rsidRDefault="002F7822" w:rsidP="002F7822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B07407" w:rsidRDefault="00B07407">
      <w:pPr>
        <w:rPr>
          <w:sz w:val="24"/>
          <w:lang w:val="lt-LT"/>
        </w:rPr>
      </w:pPr>
    </w:p>
    <w:p w:rsidR="00AD781D" w:rsidRDefault="00AD781D">
      <w:pPr>
        <w:rPr>
          <w:sz w:val="24"/>
          <w:lang w:val="lt-LT"/>
        </w:rPr>
      </w:pPr>
      <w:r>
        <w:rPr>
          <w:sz w:val="24"/>
          <w:lang w:val="lt-LT"/>
        </w:rPr>
        <w:t xml:space="preserve">      </w:t>
      </w:r>
      <w:r w:rsidR="00372C7A">
        <w:rPr>
          <w:sz w:val="24"/>
          <w:lang w:val="lt-LT"/>
        </w:rPr>
        <w:t xml:space="preserve">      </w:t>
      </w:r>
      <w:r>
        <w:rPr>
          <w:sz w:val="24"/>
          <w:lang w:val="lt-LT"/>
        </w:rPr>
        <w:t>Pastabos:</w:t>
      </w:r>
    </w:p>
    <w:p w:rsidR="00AD781D" w:rsidRPr="00372C7A" w:rsidRDefault="00372C7A" w:rsidP="00414A15">
      <w:pPr>
        <w:jc w:val="both"/>
        <w:rPr>
          <w:sz w:val="24"/>
          <w:lang w:val="lt-LT"/>
        </w:rPr>
      </w:pPr>
      <w:r w:rsidRPr="00372C7A">
        <w:rPr>
          <w:sz w:val="24"/>
          <w:lang w:val="lt-LT"/>
        </w:rPr>
        <w:tab/>
        <w:t>1</w:t>
      </w:r>
      <w:r>
        <w:rPr>
          <w:sz w:val="24"/>
          <w:lang w:val="lt-LT"/>
        </w:rPr>
        <w:t xml:space="preserve">. </w:t>
      </w:r>
      <w:r w:rsidR="00AD781D">
        <w:rPr>
          <w:sz w:val="24"/>
          <w:lang w:val="lt-LT"/>
        </w:rPr>
        <w:t>Bibliotekų ir muziejų specialistams, neturintiems aukšte</w:t>
      </w:r>
      <w:r>
        <w:rPr>
          <w:sz w:val="24"/>
          <w:lang w:val="lt-LT"/>
        </w:rPr>
        <w:t xml:space="preserve">sniojo išsilavinimo, nustatomas </w:t>
      </w:r>
      <w:r w:rsidR="00AD781D" w:rsidRPr="00372C7A">
        <w:rPr>
          <w:sz w:val="24"/>
          <w:lang w:val="lt-LT"/>
        </w:rPr>
        <w:t>tarnybinio atlyginimo koeficientas –10,2</w:t>
      </w:r>
      <w:r>
        <w:rPr>
          <w:sz w:val="24"/>
          <w:lang w:val="lt-LT"/>
        </w:rPr>
        <w:t>.</w:t>
      </w:r>
    </w:p>
    <w:p w:rsidR="0042450A" w:rsidRDefault="00372C7A" w:rsidP="00414A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 Aukštos kvalifikacijos darbininkams, dirbantiems atsakingus darbus, galima nustatyti tarn</w:t>
      </w:r>
      <w:r w:rsidR="00DC03EE">
        <w:rPr>
          <w:sz w:val="24"/>
          <w:lang w:val="lt-LT"/>
        </w:rPr>
        <w:t>ybinį atlyginimą</w:t>
      </w:r>
      <w:r>
        <w:rPr>
          <w:sz w:val="24"/>
          <w:lang w:val="lt-LT"/>
        </w:rPr>
        <w:t xml:space="preserve"> iki 8,8</w:t>
      </w:r>
      <w:r w:rsidR="00414A15">
        <w:rPr>
          <w:sz w:val="24"/>
          <w:lang w:val="lt-LT"/>
        </w:rPr>
        <w:t xml:space="preserve"> koeficiento</w:t>
      </w:r>
      <w:r>
        <w:rPr>
          <w:sz w:val="24"/>
          <w:lang w:val="lt-LT"/>
        </w:rPr>
        <w:t>.</w:t>
      </w:r>
    </w:p>
    <w:p w:rsidR="00414A15" w:rsidRDefault="00372C7A" w:rsidP="00414A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Kultūros ir meno darbuotojų, dirbančių su meno </w:t>
      </w:r>
      <w:r w:rsidR="00B32069">
        <w:rPr>
          <w:sz w:val="24"/>
          <w:lang w:val="lt-LT"/>
        </w:rPr>
        <w:t xml:space="preserve">mėgėjų </w:t>
      </w:r>
      <w:r>
        <w:rPr>
          <w:sz w:val="24"/>
          <w:lang w:val="lt-LT"/>
        </w:rPr>
        <w:t>kolektyvais (Mė</w:t>
      </w:r>
      <w:r w:rsidR="00DC03EE">
        <w:rPr>
          <w:sz w:val="24"/>
          <w:lang w:val="lt-LT"/>
        </w:rPr>
        <w:t xml:space="preserve">gėjų meno kolektyvų </w:t>
      </w:r>
      <w:r w:rsidR="00B32069">
        <w:rPr>
          <w:sz w:val="24"/>
          <w:lang w:val="lt-LT"/>
        </w:rPr>
        <w:t>kategorijo</w:t>
      </w:r>
      <w:r>
        <w:rPr>
          <w:sz w:val="24"/>
          <w:lang w:val="lt-LT"/>
        </w:rPr>
        <w:t>s pagal meninį lygį, v</w:t>
      </w:r>
      <w:r w:rsidR="00B32069">
        <w:rPr>
          <w:sz w:val="24"/>
          <w:lang w:val="lt-LT"/>
        </w:rPr>
        <w:t>eiklą ir rezultatus, patvirtinto</w:t>
      </w:r>
      <w:r>
        <w:rPr>
          <w:sz w:val="24"/>
          <w:lang w:val="lt-LT"/>
        </w:rPr>
        <w:t xml:space="preserve">s </w:t>
      </w:r>
      <w:r w:rsidR="00B32069">
        <w:rPr>
          <w:sz w:val="24"/>
          <w:lang w:val="lt-LT"/>
        </w:rPr>
        <w:t>Lietuvos</w:t>
      </w:r>
      <w:r>
        <w:rPr>
          <w:sz w:val="24"/>
          <w:lang w:val="lt-LT"/>
        </w:rPr>
        <w:t xml:space="preserve"> liaudies k</w:t>
      </w:r>
      <w:r w:rsidR="00B32069">
        <w:rPr>
          <w:sz w:val="24"/>
          <w:lang w:val="lt-LT"/>
        </w:rPr>
        <w:t>ultūros centro direktoriaus 2014</w:t>
      </w:r>
      <w:r>
        <w:rPr>
          <w:sz w:val="24"/>
          <w:lang w:val="lt-LT"/>
        </w:rPr>
        <w:t xml:space="preserve"> m. spalio </w:t>
      </w:r>
      <w:r w:rsidR="00B32069">
        <w:rPr>
          <w:sz w:val="24"/>
          <w:lang w:val="lt-LT"/>
        </w:rPr>
        <w:t>24 įsakymu Nr. V-93</w:t>
      </w:r>
      <w:r w:rsidR="008751E8">
        <w:rPr>
          <w:sz w:val="24"/>
          <w:lang w:val="lt-LT"/>
        </w:rPr>
        <w:t xml:space="preserve"> ir 2012 m. spalio 17 d. įsakymu Nr. V-55</w:t>
      </w:r>
      <w:r>
        <w:rPr>
          <w:sz w:val="24"/>
          <w:lang w:val="lt-LT"/>
        </w:rPr>
        <w:t xml:space="preserve">) tarnybiniai </w:t>
      </w:r>
      <w:r w:rsidR="00DC03EE">
        <w:rPr>
          <w:sz w:val="24"/>
          <w:lang w:val="lt-LT"/>
        </w:rPr>
        <w:t>atlyginimai ir kitos apmokėjimo</w:t>
      </w:r>
      <w:r w:rsidR="00414A15">
        <w:rPr>
          <w:sz w:val="24"/>
          <w:lang w:val="lt-LT"/>
        </w:rPr>
        <w:t xml:space="preserve"> </w:t>
      </w:r>
      <w:r>
        <w:rPr>
          <w:sz w:val="24"/>
          <w:lang w:val="lt-LT"/>
        </w:rPr>
        <w:t>sąlygos</w:t>
      </w:r>
      <w:r w:rsidR="00414A15">
        <w:rPr>
          <w:sz w:val="24"/>
          <w:lang w:val="lt-LT"/>
        </w:rPr>
        <w:t xml:space="preserve"> </w:t>
      </w:r>
      <w:r>
        <w:rPr>
          <w:sz w:val="24"/>
          <w:lang w:val="lt-LT"/>
        </w:rPr>
        <w:t>nustatomos</w:t>
      </w:r>
      <w:r w:rsidR="00414A15">
        <w:rPr>
          <w:sz w:val="24"/>
          <w:lang w:val="lt-LT"/>
        </w:rPr>
        <w:t>, vadovaujantis Kultūros įstaigų darbuotojų tarnybinių atlyginimų ir kitų darbo apmokėjimo sąlygų, patvirtintų Lietuvos Respublikos kultūros ministro 20</w:t>
      </w:r>
      <w:r w:rsidR="008751E8">
        <w:rPr>
          <w:sz w:val="24"/>
          <w:lang w:val="lt-LT"/>
        </w:rPr>
        <w:t xml:space="preserve">12  m. spalio </w:t>
      </w:r>
      <w:r w:rsidR="00B32069">
        <w:rPr>
          <w:sz w:val="24"/>
          <w:lang w:val="lt-LT"/>
        </w:rPr>
        <w:t>9 d. įsakymu</w:t>
      </w:r>
      <w:r w:rsidR="00414A15">
        <w:rPr>
          <w:sz w:val="24"/>
          <w:lang w:val="lt-LT"/>
        </w:rPr>
        <w:t xml:space="preserve"> Nr. ĮV-677 „Dėl kultūros įstaigų darbuot</w:t>
      </w:r>
      <w:r w:rsidR="00B32069">
        <w:rPr>
          <w:sz w:val="24"/>
          <w:lang w:val="lt-LT"/>
        </w:rPr>
        <w:t>ojų darbo apmokėjimo “</w:t>
      </w:r>
      <w:r w:rsidR="00414A15">
        <w:rPr>
          <w:sz w:val="24"/>
          <w:lang w:val="lt-LT"/>
        </w:rPr>
        <w:t>, X skyriumi.</w:t>
      </w:r>
    </w:p>
    <w:p w:rsidR="00414A15" w:rsidRDefault="00414A15" w:rsidP="00414A15">
      <w:pPr>
        <w:jc w:val="both"/>
        <w:rPr>
          <w:sz w:val="24"/>
          <w:lang w:val="lt-LT"/>
        </w:rPr>
      </w:pPr>
    </w:p>
    <w:p w:rsidR="00414A15" w:rsidRDefault="00414A15" w:rsidP="00414A1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____________________________________________________</w:t>
      </w:r>
    </w:p>
    <w:p w:rsidR="00372C7A" w:rsidRDefault="00372C7A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14A15" w:rsidRDefault="00414A15" w:rsidP="0042450A">
      <w:pPr>
        <w:pStyle w:val="Betarp"/>
        <w:ind w:left="5760" w:firstLine="720"/>
        <w:rPr>
          <w:sz w:val="24"/>
          <w:szCs w:val="24"/>
          <w:lang w:val="lt-LT"/>
        </w:rPr>
      </w:pPr>
    </w:p>
    <w:p w:rsidR="0042450A" w:rsidRPr="00DD5282" w:rsidRDefault="0042450A" w:rsidP="0042450A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lastRenderedPageBreak/>
        <w:t>PATVIRTINTA</w:t>
      </w:r>
    </w:p>
    <w:p w:rsidR="0042450A" w:rsidRPr="00DD5282" w:rsidRDefault="0042450A" w:rsidP="0042450A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Panevėžio rajono savivaldybės</w:t>
      </w:r>
    </w:p>
    <w:p w:rsidR="0042450A" w:rsidRPr="00DD5282" w:rsidRDefault="0042450A" w:rsidP="0042450A">
      <w:pPr>
        <w:pStyle w:val="Betarp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</w:r>
      <w:r w:rsidRPr="00DD5282">
        <w:rPr>
          <w:sz w:val="24"/>
          <w:szCs w:val="24"/>
          <w:lang w:val="lt-LT"/>
        </w:rPr>
        <w:tab/>
        <w:t>tarybos 2014</w:t>
      </w:r>
      <w:r>
        <w:rPr>
          <w:sz w:val="24"/>
          <w:szCs w:val="24"/>
          <w:lang w:val="lt-LT"/>
        </w:rPr>
        <w:t xml:space="preserve"> m. gruodžio 22 d.</w:t>
      </w:r>
    </w:p>
    <w:p w:rsidR="0042450A" w:rsidRPr="00DD5282" w:rsidRDefault="0042450A" w:rsidP="0042450A">
      <w:pPr>
        <w:pStyle w:val="Betarp"/>
        <w:ind w:left="5760" w:firstLine="720"/>
        <w:rPr>
          <w:sz w:val="24"/>
          <w:szCs w:val="24"/>
          <w:lang w:val="lt-LT"/>
        </w:rPr>
      </w:pPr>
      <w:r w:rsidRPr="00DD5282">
        <w:rPr>
          <w:sz w:val="24"/>
          <w:szCs w:val="24"/>
          <w:lang w:val="lt-LT"/>
        </w:rPr>
        <w:t xml:space="preserve">sprendimu Nr. T- </w:t>
      </w:r>
      <w:r w:rsidR="00F463B0">
        <w:rPr>
          <w:sz w:val="24"/>
          <w:szCs w:val="24"/>
          <w:lang w:val="lt-LT"/>
        </w:rPr>
        <w:t>243</w:t>
      </w:r>
    </w:p>
    <w:p w:rsidR="0042450A" w:rsidRPr="00DD5282" w:rsidRDefault="0042450A" w:rsidP="0042450A">
      <w:pPr>
        <w:pStyle w:val="Betarp"/>
        <w:rPr>
          <w:sz w:val="24"/>
          <w:szCs w:val="24"/>
          <w:lang w:val="lt-LT"/>
        </w:rPr>
      </w:pPr>
    </w:p>
    <w:p w:rsidR="0042450A" w:rsidRDefault="0042450A" w:rsidP="0042450A">
      <w:pPr>
        <w:jc w:val="both"/>
        <w:rPr>
          <w:sz w:val="24"/>
          <w:lang w:val="lt-LT"/>
        </w:rPr>
      </w:pPr>
    </w:p>
    <w:p w:rsidR="0042450A" w:rsidRPr="00DD5282" w:rsidRDefault="0042450A" w:rsidP="0042450A">
      <w:pPr>
        <w:jc w:val="center"/>
        <w:rPr>
          <w:b/>
          <w:sz w:val="24"/>
          <w:lang w:val="lt-LT"/>
        </w:rPr>
      </w:pPr>
      <w:r w:rsidRPr="00DD5282">
        <w:rPr>
          <w:b/>
          <w:sz w:val="24"/>
          <w:lang w:val="lt-LT"/>
        </w:rPr>
        <w:t xml:space="preserve">PANEVĖŽIO RAJONO SAVIVALDYBĖS </w:t>
      </w:r>
      <w:r>
        <w:rPr>
          <w:b/>
          <w:sz w:val="24"/>
          <w:lang w:val="lt-LT"/>
        </w:rPr>
        <w:t>ADMINISTRACIJOS, PRIEŠGAISRINĖS TARNYBOS, VISUOMENĖS SVEIKATOS BIURO</w:t>
      </w:r>
      <w:r w:rsidRPr="00DD5282">
        <w:rPr>
          <w:b/>
          <w:sz w:val="24"/>
          <w:lang w:val="lt-LT"/>
        </w:rPr>
        <w:t xml:space="preserve"> DARBUOTOJŲ, DIRBANČIŲ PAGAL DARBO SUTARTIS, TARNYBINIŲ ATLYGINIMŲ SCHEMA (KOEFICIENTAIS)</w:t>
      </w:r>
    </w:p>
    <w:p w:rsidR="0042450A" w:rsidRDefault="0042450A" w:rsidP="0042450A">
      <w:pPr>
        <w:jc w:val="both"/>
        <w:rPr>
          <w:sz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728"/>
        <w:gridCol w:w="1674"/>
        <w:gridCol w:w="1782"/>
      </w:tblGrid>
      <w:tr w:rsidR="0042450A" w:rsidRPr="00E803BE" w:rsidTr="00C06FB2">
        <w:trPr>
          <w:cantSplit/>
          <w:trHeight w:val="450"/>
        </w:trPr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Pareigybės</w:t>
            </w:r>
          </w:p>
          <w:p w:rsidR="0042450A" w:rsidRPr="00E803BE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Koeficientai bazinės mėnesinės algos dydžiais</w:t>
            </w:r>
            <w:r w:rsidRPr="00E803BE">
              <w:rPr>
                <w:sz w:val="26"/>
                <w:szCs w:val="26"/>
                <w:lang w:val="lt-LT" w:eastAsia="lt-LT" w:bidi="ar-SA"/>
              </w:rPr>
              <w:t> </w:t>
            </w:r>
          </w:p>
          <w:p w:rsidR="0042450A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  <w:p w:rsidR="0042450A" w:rsidRPr="00E803BE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42450A" w:rsidRPr="00E803BE" w:rsidTr="003526F0">
        <w:trPr>
          <w:cantSplit/>
          <w:trHeight w:val="450"/>
        </w:trPr>
        <w:tc>
          <w:tcPr>
            <w:tcW w:w="45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Default="0042450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Savivaldybės administracija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50A" w:rsidRDefault="0042450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Priešgaisrinė tarnyba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50A" w:rsidRDefault="0042450A" w:rsidP="0042450A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Visuomenės sveikatos biuras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A86584" w:rsidP="008004BF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526F0" w:rsidRPr="00E803BE" w:rsidRDefault="003526F0" w:rsidP="003526F0">
            <w:pPr>
              <w:suppressAutoHyphens w:val="0"/>
              <w:jc w:val="both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 xml:space="preserve">   </w:t>
            </w:r>
            <w:r w:rsidR="00864626">
              <w:rPr>
                <w:sz w:val="26"/>
                <w:szCs w:val="26"/>
                <w:lang w:val="lt-LT" w:eastAsia="lt-LT" w:bidi="ar-SA"/>
              </w:rPr>
              <w:t xml:space="preserve">  </w:t>
            </w:r>
            <w:r>
              <w:rPr>
                <w:sz w:val="26"/>
                <w:szCs w:val="26"/>
                <w:lang w:val="lt-LT" w:eastAsia="lt-LT" w:bidi="ar-SA"/>
              </w:rPr>
              <w:t>MMA–16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A86584" w:rsidRDefault="003526F0" w:rsidP="008004BF">
            <w:pPr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MMA–</w:t>
            </w:r>
            <w:r w:rsidR="0041567C">
              <w:rPr>
                <w:sz w:val="24"/>
                <w:szCs w:val="24"/>
                <w:lang w:val="lt-LT" w:eastAsia="lt-LT" w:bidi="ar-SA"/>
              </w:rPr>
              <w:t>25,5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C718BE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Įstaigų vadovų pavaduotojai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A8658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41567C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MMA–14,3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41567C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MMA–22,8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42450A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Skyrių, kitų struktūrinių padalinių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C718BE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C718BE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41567C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MMA–18,2</w:t>
            </w:r>
          </w:p>
        </w:tc>
      </w:tr>
      <w:tr w:rsidR="00C718BE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718BE" w:rsidRDefault="00C718BE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Vyriausieji buhalteriai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C718BE" w:rsidRDefault="00A8658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8BE" w:rsidRPr="00E803BE" w:rsidRDefault="00C718BE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718BE" w:rsidRPr="00E803BE" w:rsidRDefault="00C718BE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MMA–18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1D6E70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 dirbantys sociali</w:t>
            </w:r>
            <w:r w:rsidR="00CB64A9">
              <w:rPr>
                <w:sz w:val="26"/>
                <w:szCs w:val="26"/>
                <w:lang w:val="lt-LT" w:eastAsia="lt-LT" w:bidi="ar-SA"/>
              </w:rPr>
              <w:t>nį darbą seniūnijose ir įgiję</w:t>
            </w:r>
            <w:r>
              <w:rPr>
                <w:sz w:val="26"/>
                <w:szCs w:val="26"/>
                <w:lang w:val="lt-LT" w:eastAsia="lt-LT" w:bidi="ar-SA"/>
              </w:rPr>
              <w:t xml:space="preserve"> aukštąjį </w:t>
            </w:r>
            <w:r w:rsidR="006573E4">
              <w:rPr>
                <w:sz w:val="26"/>
                <w:szCs w:val="26"/>
                <w:lang w:val="lt-LT" w:eastAsia="lt-LT" w:bidi="ar-SA"/>
              </w:rPr>
              <w:t xml:space="preserve">universitetinį </w:t>
            </w:r>
            <w:r>
              <w:rPr>
                <w:sz w:val="26"/>
                <w:szCs w:val="26"/>
                <w:lang w:val="lt-LT" w:eastAsia="lt-LT" w:bidi="ar-SA"/>
              </w:rPr>
              <w:t>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6573E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9,23–16,2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A86584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A8658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6573E4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73E4" w:rsidRDefault="006573E4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 dirbantys socialinį darbą seniūnijose ir įgiję aukštąjį neuniversitetinį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573E4" w:rsidRDefault="006573E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9,17–14,3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3E4" w:rsidRDefault="006573E4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73E4" w:rsidRDefault="006573E4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1D6E70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6E70" w:rsidRDefault="001D6E70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Socialiniai darbuotojai, teikiantys socialinę priežiūrą socialinės rizikos šeimoms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D6E70" w:rsidRPr="00E803BE" w:rsidRDefault="001D6E70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70" w:rsidRPr="00E803BE" w:rsidRDefault="001D6E70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70" w:rsidRPr="00E803BE" w:rsidRDefault="001D6E70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-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6584" w:rsidRPr="00E803BE" w:rsidRDefault="00787733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Specialistai: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42450A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42450A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42450A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CB64A9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</w:t>
            </w:r>
            <w:r w:rsidR="00787733">
              <w:rPr>
                <w:sz w:val="26"/>
                <w:szCs w:val="26"/>
                <w:lang w:val="lt-LT" w:eastAsia="lt-LT" w:bidi="ar-SA"/>
              </w:rPr>
              <w:t xml:space="preserve"> aukštąjį universitetinį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E932DB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MMA–11,4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MMA–16,5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CB64A9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</w:t>
            </w:r>
            <w:r w:rsidR="00787733">
              <w:rPr>
                <w:sz w:val="26"/>
                <w:szCs w:val="26"/>
                <w:lang w:val="lt-LT" w:eastAsia="lt-LT" w:bidi="ar-SA"/>
              </w:rPr>
              <w:t xml:space="preserve"> aukštąjį neuniversitetinį išsilavinimą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E932DB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MMA–10,5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MMA–14,7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CB64A9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įgiję</w:t>
            </w:r>
            <w:r w:rsidR="00787733">
              <w:rPr>
                <w:sz w:val="26"/>
                <w:szCs w:val="26"/>
                <w:lang w:val="lt-LT" w:eastAsia="lt-LT" w:bidi="ar-SA"/>
              </w:rPr>
              <w:t xml:space="preserve"> aukštesnįjį išsilavinimą ar iki 1995 metų įgiję specialųjį vidurinį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E932DB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MMA–9,6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MMA–13</w:t>
            </w:r>
          </w:p>
        </w:tc>
      </w:tr>
      <w:tr w:rsidR="0042450A" w:rsidRPr="00E803BE" w:rsidTr="003526F0">
        <w:trPr>
          <w:cantSplit/>
          <w:trHeight w:val="281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787733" w:rsidP="00C06FB2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MMA–9</w:t>
            </w:r>
          </w:p>
        </w:tc>
      </w:tr>
      <w:tr w:rsidR="0042450A" w:rsidRPr="00E803BE" w:rsidTr="003526F0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2450A" w:rsidRPr="00E803BE" w:rsidRDefault="00787733" w:rsidP="008004BF">
            <w:pPr>
              <w:suppressAutoHyphens w:val="0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Darbininkai</w:t>
            </w:r>
            <w:r w:rsidR="008004BF">
              <w:rPr>
                <w:sz w:val="26"/>
                <w:szCs w:val="26"/>
                <w:lang w:val="lt-LT" w:eastAsia="lt-LT" w:bidi="ar-SA"/>
              </w:rPr>
              <w:t xml:space="preserve"> (netaikomas specialus išsilavinimo reikalavimas)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3526F0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50A" w:rsidRPr="00E803BE" w:rsidRDefault="00787733" w:rsidP="00C718BE">
            <w:pPr>
              <w:suppressAutoHyphens w:val="0"/>
              <w:jc w:val="center"/>
              <w:rPr>
                <w:sz w:val="26"/>
                <w:szCs w:val="26"/>
                <w:lang w:val="lt-LT" w:eastAsia="lt-LT" w:bidi="ar-SA"/>
              </w:rPr>
            </w:pPr>
            <w:r>
              <w:rPr>
                <w:sz w:val="26"/>
                <w:szCs w:val="26"/>
                <w:lang w:val="lt-LT" w:eastAsia="lt-LT" w:bidi="ar-SA"/>
              </w:rPr>
              <w:t>MMA</w:t>
            </w:r>
          </w:p>
        </w:tc>
      </w:tr>
    </w:tbl>
    <w:p w:rsidR="0042450A" w:rsidRDefault="0042450A">
      <w:pPr>
        <w:rPr>
          <w:sz w:val="24"/>
          <w:lang w:val="lt-LT"/>
        </w:rPr>
      </w:pPr>
    </w:p>
    <w:p w:rsidR="00414A15" w:rsidRDefault="00414A15">
      <w:pPr>
        <w:rPr>
          <w:sz w:val="24"/>
          <w:lang w:val="lt-LT"/>
        </w:rPr>
      </w:pPr>
      <w:r>
        <w:rPr>
          <w:sz w:val="24"/>
          <w:lang w:val="lt-LT"/>
        </w:rPr>
        <w:tab/>
        <w:t xml:space="preserve">Pastaba. </w:t>
      </w:r>
    </w:p>
    <w:p w:rsidR="0042450A" w:rsidRDefault="00414A15" w:rsidP="00DC03E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Aukštos kvalifikacijos darbin</w:t>
      </w:r>
      <w:r w:rsidR="00DC03EE">
        <w:rPr>
          <w:sz w:val="24"/>
          <w:lang w:val="lt-LT"/>
        </w:rPr>
        <w:t>inkams, dirbantiems</w:t>
      </w:r>
      <w:r>
        <w:rPr>
          <w:sz w:val="24"/>
          <w:lang w:val="lt-LT"/>
        </w:rPr>
        <w:t xml:space="preserve"> atsakingus darbus, </w:t>
      </w:r>
      <w:r w:rsidR="00DC03EE">
        <w:rPr>
          <w:sz w:val="24"/>
          <w:lang w:val="lt-LT"/>
        </w:rPr>
        <w:t xml:space="preserve">tarnybinį atlyginimą </w:t>
      </w:r>
      <w:r>
        <w:rPr>
          <w:sz w:val="24"/>
          <w:lang w:val="lt-LT"/>
        </w:rPr>
        <w:t>galima nustatyti iki 12 koeficientų.</w:t>
      </w:r>
    </w:p>
    <w:p w:rsidR="00414A15" w:rsidRDefault="00414A15" w:rsidP="00DC03EE">
      <w:pPr>
        <w:jc w:val="both"/>
        <w:rPr>
          <w:sz w:val="24"/>
          <w:lang w:val="lt-LT"/>
        </w:rPr>
      </w:pPr>
    </w:p>
    <w:p w:rsidR="00414A15" w:rsidRDefault="00414A15">
      <w:pPr>
        <w:rPr>
          <w:sz w:val="24"/>
          <w:lang w:val="lt-LT"/>
        </w:rPr>
      </w:pPr>
    </w:p>
    <w:p w:rsidR="00B32069" w:rsidRDefault="00414A15" w:rsidP="00F463B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___________________________________________</w:t>
      </w:r>
    </w:p>
    <w:sectPr w:rsidR="00B32069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7454A"/>
    <w:rsid w:val="000772FE"/>
    <w:rsid w:val="00090F20"/>
    <w:rsid w:val="000B0152"/>
    <w:rsid w:val="00107734"/>
    <w:rsid w:val="0012197F"/>
    <w:rsid w:val="00133229"/>
    <w:rsid w:val="001612A3"/>
    <w:rsid w:val="001776DA"/>
    <w:rsid w:val="001B7C7A"/>
    <w:rsid w:val="001C2743"/>
    <w:rsid w:val="001D18F7"/>
    <w:rsid w:val="001D6E70"/>
    <w:rsid w:val="002035BF"/>
    <w:rsid w:val="00266048"/>
    <w:rsid w:val="002740C4"/>
    <w:rsid w:val="002E485C"/>
    <w:rsid w:val="002F7822"/>
    <w:rsid w:val="003526F0"/>
    <w:rsid w:val="00367A82"/>
    <w:rsid w:val="00372C7A"/>
    <w:rsid w:val="003913F2"/>
    <w:rsid w:val="003B2355"/>
    <w:rsid w:val="003C11EE"/>
    <w:rsid w:val="003C1FC5"/>
    <w:rsid w:val="003F392F"/>
    <w:rsid w:val="00414A15"/>
    <w:rsid w:val="0041567C"/>
    <w:rsid w:val="0042450A"/>
    <w:rsid w:val="00441B77"/>
    <w:rsid w:val="004831F7"/>
    <w:rsid w:val="0050572A"/>
    <w:rsid w:val="0053782D"/>
    <w:rsid w:val="005A01B4"/>
    <w:rsid w:val="005B727A"/>
    <w:rsid w:val="005C2B3D"/>
    <w:rsid w:val="006573E4"/>
    <w:rsid w:val="006573E7"/>
    <w:rsid w:val="00670426"/>
    <w:rsid w:val="006735AC"/>
    <w:rsid w:val="006737E7"/>
    <w:rsid w:val="006868B8"/>
    <w:rsid w:val="006D4C80"/>
    <w:rsid w:val="00727C89"/>
    <w:rsid w:val="00773F12"/>
    <w:rsid w:val="00787733"/>
    <w:rsid w:val="007B3AAD"/>
    <w:rsid w:val="007B6765"/>
    <w:rsid w:val="007F569E"/>
    <w:rsid w:val="008004BF"/>
    <w:rsid w:val="008142EE"/>
    <w:rsid w:val="00861E94"/>
    <w:rsid w:val="00864626"/>
    <w:rsid w:val="00874DE2"/>
    <w:rsid w:val="008751E8"/>
    <w:rsid w:val="009023CA"/>
    <w:rsid w:val="00927C20"/>
    <w:rsid w:val="00A1675D"/>
    <w:rsid w:val="00A35EB2"/>
    <w:rsid w:val="00A428D6"/>
    <w:rsid w:val="00A86584"/>
    <w:rsid w:val="00AD781D"/>
    <w:rsid w:val="00B07407"/>
    <w:rsid w:val="00B32069"/>
    <w:rsid w:val="00B37A57"/>
    <w:rsid w:val="00BF281B"/>
    <w:rsid w:val="00C06FB2"/>
    <w:rsid w:val="00C17F13"/>
    <w:rsid w:val="00C4269F"/>
    <w:rsid w:val="00C718BE"/>
    <w:rsid w:val="00C72940"/>
    <w:rsid w:val="00CA74CB"/>
    <w:rsid w:val="00CB3775"/>
    <w:rsid w:val="00CB64A9"/>
    <w:rsid w:val="00CE7BD6"/>
    <w:rsid w:val="00D157E4"/>
    <w:rsid w:val="00D35C33"/>
    <w:rsid w:val="00D4507D"/>
    <w:rsid w:val="00DC03EE"/>
    <w:rsid w:val="00DC1905"/>
    <w:rsid w:val="00DD5282"/>
    <w:rsid w:val="00E4183E"/>
    <w:rsid w:val="00E51087"/>
    <w:rsid w:val="00E56BEB"/>
    <w:rsid w:val="00E709EB"/>
    <w:rsid w:val="00E70D98"/>
    <w:rsid w:val="00E932DB"/>
    <w:rsid w:val="00F07CEE"/>
    <w:rsid w:val="00F12C7F"/>
    <w:rsid w:val="00F463B0"/>
    <w:rsid w:val="00F70E89"/>
    <w:rsid w:val="00F90FBD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F028F9-0812-46D4-9ADD-60C68DAE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6954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2014-12-22T11:25:00Z</cp:lastPrinted>
  <dcterms:created xsi:type="dcterms:W3CDTF">2014-12-23T09:50:00Z</dcterms:created>
  <dcterms:modified xsi:type="dcterms:W3CDTF">2014-12-23T09:56:00Z</dcterms:modified>
</cp:coreProperties>
</file>