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3C1" w:rsidRPr="002E64FA" w:rsidRDefault="003230DE">
      <w:pPr>
        <w:pStyle w:val="Header"/>
        <w:jc w:val="center"/>
      </w:pPr>
      <w:r w:rsidRPr="002E64FA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AA9" w:rsidRPr="002E64FA" w:rsidRDefault="00150AA9" w:rsidP="00150AA9">
      <w:pPr>
        <w:jc w:val="center"/>
        <w:rPr>
          <w:b/>
          <w:sz w:val="24"/>
          <w:szCs w:val="24"/>
        </w:rPr>
      </w:pP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</w:p>
    <w:p w:rsidR="00C953C1" w:rsidRPr="002E64FA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2E64FA">
        <w:rPr>
          <w:b/>
          <w:sz w:val="28"/>
        </w:rPr>
        <w:t xml:space="preserve">PANEVĖŽIO RAJONO SAVIVALDYBĖS TARYBA </w:t>
      </w:r>
    </w:p>
    <w:p w:rsidR="00C953C1" w:rsidRPr="002E64FA" w:rsidRDefault="00C953C1">
      <w:pPr>
        <w:pStyle w:val="Header"/>
        <w:jc w:val="center"/>
        <w:rPr>
          <w:b/>
          <w:sz w:val="28"/>
        </w:rPr>
      </w:pPr>
    </w:p>
    <w:p w:rsidR="00C953C1" w:rsidRPr="002E64FA" w:rsidRDefault="00387A2D" w:rsidP="007573BC">
      <w:pPr>
        <w:pStyle w:val="Header"/>
        <w:jc w:val="center"/>
        <w:outlineLvl w:val="0"/>
        <w:rPr>
          <w:b/>
          <w:sz w:val="24"/>
        </w:rPr>
      </w:pPr>
      <w:r w:rsidRPr="002E64FA">
        <w:rPr>
          <w:b/>
          <w:sz w:val="28"/>
        </w:rPr>
        <w:t>SPRENDIMAS</w:t>
      </w:r>
    </w:p>
    <w:p w:rsidR="008E7C73" w:rsidRPr="002E64FA" w:rsidRDefault="008E7C73" w:rsidP="008E7C73">
      <w:pPr>
        <w:pStyle w:val="Default"/>
        <w:ind w:right="-58"/>
        <w:jc w:val="center"/>
        <w:rPr>
          <w:strike/>
        </w:rPr>
      </w:pPr>
      <w:r w:rsidRPr="002E64FA">
        <w:rPr>
          <w:b/>
          <w:bCs/>
          <w:spacing w:val="-2"/>
        </w:rPr>
        <w:t xml:space="preserve">DĖL </w:t>
      </w:r>
      <w:r w:rsidRPr="002E64FA">
        <w:rPr>
          <w:b/>
          <w:bCs/>
        </w:rPr>
        <w:t>PROJEKTŲ, APMOKAMŲ IŠLAIDŲ KOMPENSAVIMO BŪDU, SĄRAŠO PATVIRTINIMO</w:t>
      </w:r>
    </w:p>
    <w:p w:rsidR="00C953C1" w:rsidRPr="002E64FA" w:rsidRDefault="00C953C1">
      <w:pPr>
        <w:jc w:val="center"/>
        <w:rPr>
          <w:sz w:val="24"/>
          <w:szCs w:val="24"/>
        </w:rPr>
      </w:pPr>
    </w:p>
    <w:p w:rsidR="00C953C1" w:rsidRPr="002E64FA" w:rsidRDefault="00C953C1">
      <w:pPr>
        <w:jc w:val="center"/>
        <w:rPr>
          <w:sz w:val="24"/>
        </w:rPr>
      </w:pPr>
    </w:p>
    <w:p w:rsidR="00150AA9" w:rsidRPr="002E64FA" w:rsidRDefault="00387A2D">
      <w:pPr>
        <w:jc w:val="center"/>
        <w:rPr>
          <w:sz w:val="24"/>
        </w:rPr>
      </w:pPr>
      <w:r w:rsidRPr="002E64FA">
        <w:rPr>
          <w:sz w:val="24"/>
        </w:rPr>
        <w:t xml:space="preserve">2014 m. </w:t>
      </w:r>
      <w:r w:rsidR="00011138" w:rsidRPr="002E64FA">
        <w:rPr>
          <w:sz w:val="24"/>
        </w:rPr>
        <w:t>birželio19</w:t>
      </w:r>
      <w:r w:rsidRPr="002E64FA">
        <w:rPr>
          <w:sz w:val="24"/>
        </w:rPr>
        <w:t xml:space="preserve"> d. Nr. T</w:t>
      </w:r>
      <w:r w:rsidR="00150AA9" w:rsidRPr="002E64FA">
        <w:rPr>
          <w:sz w:val="24"/>
        </w:rPr>
        <w:t>-</w:t>
      </w:r>
      <w:r w:rsidR="00B31310">
        <w:rPr>
          <w:sz w:val="24"/>
        </w:rPr>
        <w:t>128</w:t>
      </w:r>
    </w:p>
    <w:p w:rsidR="00C953C1" w:rsidRPr="002E64FA" w:rsidRDefault="00387A2D">
      <w:pPr>
        <w:jc w:val="center"/>
        <w:rPr>
          <w:sz w:val="24"/>
          <w:szCs w:val="24"/>
        </w:rPr>
      </w:pPr>
      <w:r w:rsidRPr="002E64FA">
        <w:rPr>
          <w:sz w:val="24"/>
          <w:szCs w:val="24"/>
        </w:rPr>
        <w:t>Panevėžys</w:t>
      </w: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8E7C73" w:rsidRPr="002E64FA" w:rsidRDefault="008E7C73" w:rsidP="008E7C73">
      <w:pPr>
        <w:ind w:right="-58" w:firstLine="720"/>
        <w:jc w:val="both"/>
        <w:rPr>
          <w:sz w:val="24"/>
          <w:szCs w:val="24"/>
        </w:rPr>
      </w:pPr>
      <w:r w:rsidRPr="002E64FA">
        <w:rPr>
          <w:sz w:val="24"/>
          <w:szCs w:val="24"/>
        </w:rPr>
        <w:t>Vadovaudamasi Lietuvos Respublikos vietos savivaldos įstatymo</w:t>
      </w:r>
      <w:r w:rsidRPr="002E64FA">
        <w:rPr>
          <w:rFonts w:ascii="TimesNewRoman" w:hAnsi="TimesNewRoman" w:cs="TimesNewRoman"/>
          <w:sz w:val="24"/>
          <w:szCs w:val="24"/>
        </w:rPr>
        <w:t xml:space="preserve"> 18 str</w:t>
      </w:r>
      <w:r w:rsidR="001A14B4" w:rsidRPr="002E64FA">
        <w:rPr>
          <w:rFonts w:ascii="TimesNewRoman" w:hAnsi="TimesNewRoman" w:cs="TimesNewRoman"/>
          <w:sz w:val="24"/>
          <w:szCs w:val="24"/>
        </w:rPr>
        <w:t>aipsnio</w:t>
      </w:r>
      <w:r w:rsidRPr="002E64FA">
        <w:rPr>
          <w:rFonts w:ascii="TimesNewRoman" w:hAnsi="TimesNewRoman" w:cs="TimesNewRoman"/>
          <w:sz w:val="24"/>
          <w:szCs w:val="24"/>
        </w:rPr>
        <w:t xml:space="preserve"> 1 d</w:t>
      </w:r>
      <w:r w:rsidR="001A14B4" w:rsidRPr="002E64FA">
        <w:rPr>
          <w:rFonts w:ascii="TimesNewRoman" w:hAnsi="TimesNewRoman" w:cs="TimesNewRoman"/>
          <w:sz w:val="24"/>
          <w:szCs w:val="24"/>
        </w:rPr>
        <w:t>alimi</w:t>
      </w:r>
      <w:r w:rsidRPr="002E64FA">
        <w:rPr>
          <w:rFonts w:ascii="TimesNewRoman" w:hAnsi="TimesNewRoman" w:cs="TimesNewRoman"/>
          <w:sz w:val="24"/>
          <w:szCs w:val="24"/>
        </w:rPr>
        <w:t xml:space="preserve"> ir </w:t>
      </w:r>
      <w:r w:rsidRPr="002E64FA">
        <w:rPr>
          <w:sz w:val="24"/>
          <w:szCs w:val="24"/>
        </w:rPr>
        <w:t xml:space="preserve">Lietuvos kaimo plėtros 2007–2013 metų programos priemonės „Kaimo atnaujinimas ir plėtra“ įgyvendinimo planavimo būdu taisyklėmis, patvirtintomis Lietuvos Respublikos žemės ūkio ministro 2009 m. kovo 19 d. įsakymu Nr. 3D-183 </w:t>
      </w:r>
      <w:r w:rsidR="001A14B4" w:rsidRPr="002E64FA">
        <w:rPr>
          <w:sz w:val="24"/>
          <w:szCs w:val="24"/>
        </w:rPr>
        <w:t>„</w:t>
      </w:r>
      <w:r w:rsidR="00262A70" w:rsidRPr="002E64FA">
        <w:rPr>
          <w:sz w:val="24"/>
          <w:szCs w:val="24"/>
        </w:rPr>
        <w:t>Dėl Lietuvos kaimo plėtros 2007–2013 metų programos priemonės „Kaimo atnaujinimas ir plėtra“ įgyvendinimo planavimo būdu taisyklių patvirtinimo</w:t>
      </w:r>
      <w:r w:rsidR="001A14B4" w:rsidRPr="002E64FA">
        <w:rPr>
          <w:sz w:val="24"/>
          <w:szCs w:val="24"/>
        </w:rPr>
        <w:t>“</w:t>
      </w:r>
      <w:r w:rsidRPr="002E64FA">
        <w:rPr>
          <w:sz w:val="24"/>
          <w:szCs w:val="24"/>
        </w:rPr>
        <w:t xml:space="preserve">, bei Lietuvos kaimo plėtros 2007–2013 metų programos priemonės „Kaimo atnaujinimas ir plėtra“ įgyvendinimo (Leader metodu) taisyklėmis, patvirtintomis Lietuvos Respublikos žemės ūkio ministro 2009 m. sausio 6 d. įsakymu Nr. 3D-6 </w:t>
      </w:r>
      <w:r w:rsidR="001A14B4" w:rsidRPr="002E64FA">
        <w:rPr>
          <w:sz w:val="24"/>
          <w:szCs w:val="24"/>
        </w:rPr>
        <w:t>„</w:t>
      </w:r>
      <w:r w:rsidR="00262A70" w:rsidRPr="002E64FA">
        <w:rPr>
          <w:sz w:val="24"/>
          <w:szCs w:val="24"/>
        </w:rPr>
        <w:t>Dėl Lietuvos kaimo plėtros 2007–2013 metų programos priemonės „Kaimo atnaujinimas ir plėtra“ įgyvendinimo (Leader metodu) taisyklių patvirtinimo</w:t>
      </w:r>
      <w:r w:rsidR="001A14B4" w:rsidRPr="002E64FA">
        <w:rPr>
          <w:sz w:val="24"/>
          <w:szCs w:val="24"/>
        </w:rPr>
        <w:t>“</w:t>
      </w:r>
      <w:r w:rsidRPr="002E64FA">
        <w:rPr>
          <w:sz w:val="24"/>
          <w:szCs w:val="24"/>
        </w:rPr>
        <w:t>, Savivaldybės taryba</w:t>
      </w:r>
      <w:r w:rsidR="002E64FA" w:rsidRPr="002E64FA">
        <w:rPr>
          <w:sz w:val="24"/>
          <w:szCs w:val="24"/>
        </w:rPr>
        <w:t xml:space="preserve"> </w:t>
      </w:r>
      <w:r w:rsidRPr="002E64FA">
        <w:rPr>
          <w:sz w:val="24"/>
          <w:szCs w:val="24"/>
        </w:rPr>
        <w:t>n u s p r e n d ž i a:</w:t>
      </w:r>
    </w:p>
    <w:p w:rsidR="00C953C1" w:rsidRPr="002E64FA" w:rsidRDefault="001A14B4" w:rsidP="000E6878">
      <w:pPr>
        <w:ind w:firstLine="720"/>
        <w:jc w:val="both"/>
        <w:rPr>
          <w:color w:val="000000"/>
          <w:sz w:val="24"/>
          <w:szCs w:val="24"/>
        </w:rPr>
      </w:pPr>
      <w:r w:rsidRPr="002E64FA">
        <w:rPr>
          <w:color w:val="000000"/>
          <w:sz w:val="24"/>
          <w:szCs w:val="24"/>
        </w:rPr>
        <w:t xml:space="preserve">1. </w:t>
      </w:r>
      <w:r w:rsidR="008E7C73" w:rsidRPr="002E64FA">
        <w:rPr>
          <w:color w:val="000000"/>
          <w:sz w:val="24"/>
          <w:szCs w:val="24"/>
        </w:rPr>
        <w:t>Patvirtinti projektų, apmokamų išlaidų kompensavimo būdu, sąrašą nauja redakcija: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Eil. Nr.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Paramos gavėjas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3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0E6878">
            <w:pPr>
              <w:pStyle w:val="standard"/>
            </w:pPr>
            <w:r w:rsidRPr="002E64FA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4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5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Kūrybinio aktyvumo ir bendruomeniškumo užimtumo skatinimas Raguvos gimnazijoje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6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7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8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9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</w:t>
            </w:r>
            <w:r w:rsidR="008E7C73" w:rsidRPr="002E64FA">
              <w:rPr>
                <w:sz w:val="24"/>
                <w:szCs w:val="24"/>
              </w:rPr>
              <w:t>0.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lastRenderedPageBreak/>
              <w:t>11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8E7C73" w:rsidRPr="002E64FA" w:rsidTr="00701F50">
        <w:trPr>
          <w:trHeight w:val="867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12</w:t>
            </w:r>
            <w:r w:rsidR="008E7C73" w:rsidRPr="002E64F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8E7C73" w:rsidRPr="002E64FA" w:rsidTr="00701F50">
        <w:trPr>
          <w:trHeight w:val="695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13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8E7C73" w:rsidRPr="002E64FA" w:rsidTr="00701F50">
        <w:trPr>
          <w:trHeight w:val="705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14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Naujamiesčio kultūros centras-dailės galerija</w:t>
            </w:r>
          </w:p>
        </w:tc>
      </w:tr>
      <w:tr w:rsidR="008E7C73" w:rsidRPr="002E64FA" w:rsidTr="00701F50">
        <w:trPr>
          <w:trHeight w:val="1164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15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Kultūrinės-šviečiamosios veiklos vykdymas Panevėžio ir Velžio seniūnijose, į veiklas įtraukiant vietos jaunimą, moteris ir pagyvenusius žmones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8E7C73" w:rsidRPr="002E64FA" w:rsidTr="00701F50">
        <w:trPr>
          <w:trHeight w:val="647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16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Naujamiesčio piliečių draugija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„Aktyvi bendruomenė – gyvybingas kaimas“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Aukštadvario kaimo bendruomenė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„Bendruomenės namai“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Raguvos bendruomenė 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A9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 xml:space="preserve">„AdultEducationPathwaysTowards 2020 / Suaugusiųjų švietimo gairės artėjant </w:t>
            </w:r>
          </w:p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2020-iesiems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švietimo centras 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20.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„Bendruomenės paslaugų verslo kūrimas“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Naujamiesčio piliečių draugija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„Meno, grožio ir sveikatingumo mokymai“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Katinų kaimo gyventojų bendruomenės centras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„Jaunimo užimtumo programa „Ritmas</w:t>
            </w:r>
            <w:r w:rsidR="00150AA9" w:rsidRPr="002E64FA">
              <w:rPr>
                <w:color w:val="000000"/>
                <w:sz w:val="24"/>
                <w:szCs w:val="24"/>
              </w:rPr>
              <w:t>!“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Lietuvos varinių pučiamųjų instrumentų orkestrų asociacija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„StovyklAUKVelžyje“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Gyventojų bendruomenė „Naujasis Velžys“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„Vieninga bendruomenė – gyvybinga visuomenė“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Krekenavos Mykolo Antanaičio gimnazija</w:t>
            </w:r>
          </w:p>
        </w:tc>
      </w:tr>
    </w:tbl>
    <w:p w:rsidR="009F1973" w:rsidRPr="002E64FA" w:rsidRDefault="009F1973" w:rsidP="000E6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7" w:firstLine="720"/>
        <w:jc w:val="both"/>
        <w:rPr>
          <w:spacing w:val="-2"/>
          <w:sz w:val="24"/>
          <w:szCs w:val="24"/>
        </w:rPr>
      </w:pPr>
      <w:r w:rsidRPr="002E64FA">
        <w:rPr>
          <w:spacing w:val="-2"/>
          <w:sz w:val="24"/>
          <w:szCs w:val="24"/>
        </w:rPr>
        <w:t>2. Pripažinti netekusiu galios Panevėžio rajono savivaldybės tarybos 201</w:t>
      </w:r>
      <w:r w:rsidR="00B30E3B" w:rsidRPr="002E64FA">
        <w:rPr>
          <w:spacing w:val="-2"/>
          <w:sz w:val="24"/>
          <w:szCs w:val="24"/>
        </w:rPr>
        <w:t>4</w:t>
      </w:r>
      <w:r w:rsidRPr="002E64FA">
        <w:rPr>
          <w:spacing w:val="-2"/>
          <w:sz w:val="24"/>
          <w:szCs w:val="24"/>
        </w:rPr>
        <w:t xml:space="preserve"> m. </w:t>
      </w:r>
      <w:r w:rsidR="00B30E3B" w:rsidRPr="002E64FA">
        <w:rPr>
          <w:spacing w:val="-2"/>
          <w:sz w:val="24"/>
          <w:szCs w:val="24"/>
        </w:rPr>
        <w:t>gegužės8</w:t>
      </w:r>
      <w:r w:rsidRPr="002E64FA">
        <w:rPr>
          <w:spacing w:val="-2"/>
          <w:sz w:val="24"/>
          <w:szCs w:val="24"/>
        </w:rPr>
        <w:t xml:space="preserve"> d. sprendimo Nr. T-</w:t>
      </w:r>
      <w:r w:rsidR="00B30E3B" w:rsidRPr="002E64FA">
        <w:rPr>
          <w:spacing w:val="-2"/>
          <w:sz w:val="24"/>
          <w:szCs w:val="24"/>
        </w:rPr>
        <w:t>110</w:t>
      </w:r>
      <w:r w:rsidRPr="002E64FA">
        <w:rPr>
          <w:spacing w:val="-2"/>
          <w:sz w:val="24"/>
          <w:szCs w:val="24"/>
        </w:rPr>
        <w:t xml:space="preserve"> „Dėl projektų, apmokamų išlaidų kompensavimo būdu, sąrašo patvirtinimo“</w:t>
      </w:r>
      <w:r w:rsidR="000E6878" w:rsidRPr="002E64FA">
        <w:rPr>
          <w:spacing w:val="-2"/>
          <w:sz w:val="24"/>
          <w:szCs w:val="24"/>
        </w:rPr>
        <w:br/>
      </w:r>
      <w:r w:rsidRPr="002E64FA">
        <w:rPr>
          <w:spacing w:val="-2"/>
          <w:sz w:val="24"/>
          <w:szCs w:val="24"/>
        </w:rPr>
        <w:t>1 punktą.</w:t>
      </w:r>
    </w:p>
    <w:p w:rsidR="008E7C73" w:rsidRPr="002E64FA" w:rsidRDefault="008E7C73" w:rsidP="008E7C73">
      <w:pPr>
        <w:pStyle w:val="ListParagraph"/>
        <w:jc w:val="both"/>
        <w:rPr>
          <w:lang w:val="lt-LT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B31310" w:rsidRDefault="00B31310">
      <w:pPr>
        <w:rPr>
          <w:sz w:val="24"/>
          <w:szCs w:val="24"/>
        </w:rPr>
      </w:pPr>
    </w:p>
    <w:p w:rsidR="00C953C1" w:rsidRPr="002E64FA" w:rsidRDefault="00B31310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sectPr w:rsidR="00C953C1" w:rsidRPr="002E64FA" w:rsidSect="00B31310">
      <w:footerReference w:type="even" r:id="rId8"/>
      <w:headerReference w:type="first" r:id="rId9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5C" w:rsidRDefault="0017665C">
      <w:r>
        <w:separator/>
      </w:r>
    </w:p>
  </w:endnote>
  <w:endnote w:type="continuationSeparator" w:id="1">
    <w:p w:rsidR="0017665C" w:rsidRDefault="0017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Default="00841D02">
    <w:pPr>
      <w:pStyle w:val="Footer"/>
      <w:framePr w:wrap="around" w:vAnchor="text" w:hAnchor="margin" w:xAlign="center" w:y="1"/>
      <w:rPr>
        <w:rStyle w:val="PageNumber"/>
      </w:rPr>
    </w:pPr>
  </w:p>
  <w:p w:rsidR="00841D02" w:rsidRDefault="00841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5C" w:rsidRDefault="0017665C">
      <w:r>
        <w:separator/>
      </w:r>
    </w:p>
  </w:footnote>
  <w:footnote w:type="continuationSeparator" w:id="1">
    <w:p w:rsidR="0017665C" w:rsidRDefault="0017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Pr="00841D02" w:rsidRDefault="00841D02" w:rsidP="00841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2"/>
    <w:multiLevelType w:val="hybridMultilevel"/>
    <w:tmpl w:val="FAE27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2">
    <w:nsid w:val="235536FD"/>
    <w:multiLevelType w:val="hybridMultilevel"/>
    <w:tmpl w:val="164E25AA"/>
    <w:lvl w:ilvl="0" w:tplc="73A2890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11138"/>
    <w:rsid w:val="00042132"/>
    <w:rsid w:val="000D2630"/>
    <w:rsid w:val="000E6878"/>
    <w:rsid w:val="000F208B"/>
    <w:rsid w:val="00150AA9"/>
    <w:rsid w:val="00151234"/>
    <w:rsid w:val="0017665C"/>
    <w:rsid w:val="00194B5D"/>
    <w:rsid w:val="001A14B4"/>
    <w:rsid w:val="001A78F2"/>
    <w:rsid w:val="001C0DD6"/>
    <w:rsid w:val="00262A70"/>
    <w:rsid w:val="0028225E"/>
    <w:rsid w:val="002849CD"/>
    <w:rsid w:val="00285D6D"/>
    <w:rsid w:val="002C0A19"/>
    <w:rsid w:val="002C7A77"/>
    <w:rsid w:val="002E64FA"/>
    <w:rsid w:val="003202BB"/>
    <w:rsid w:val="003230DE"/>
    <w:rsid w:val="00345A0E"/>
    <w:rsid w:val="003537AB"/>
    <w:rsid w:val="00357D0E"/>
    <w:rsid w:val="00387A2D"/>
    <w:rsid w:val="003A528E"/>
    <w:rsid w:val="003B59B5"/>
    <w:rsid w:val="00423743"/>
    <w:rsid w:val="004321B0"/>
    <w:rsid w:val="00504833"/>
    <w:rsid w:val="0052094B"/>
    <w:rsid w:val="0052505E"/>
    <w:rsid w:val="00631B30"/>
    <w:rsid w:val="006441A2"/>
    <w:rsid w:val="00645DC9"/>
    <w:rsid w:val="006833EE"/>
    <w:rsid w:val="006E5E63"/>
    <w:rsid w:val="00714C6A"/>
    <w:rsid w:val="00724092"/>
    <w:rsid w:val="007573BC"/>
    <w:rsid w:val="007717CA"/>
    <w:rsid w:val="00787C29"/>
    <w:rsid w:val="007942D5"/>
    <w:rsid w:val="00841D02"/>
    <w:rsid w:val="008E4398"/>
    <w:rsid w:val="008E7C73"/>
    <w:rsid w:val="00906E8F"/>
    <w:rsid w:val="00923E90"/>
    <w:rsid w:val="00984E37"/>
    <w:rsid w:val="0098651D"/>
    <w:rsid w:val="009930CE"/>
    <w:rsid w:val="009B0D51"/>
    <w:rsid w:val="009D1071"/>
    <w:rsid w:val="009F1973"/>
    <w:rsid w:val="00A04746"/>
    <w:rsid w:val="00A0590D"/>
    <w:rsid w:val="00A70163"/>
    <w:rsid w:val="00A92BAE"/>
    <w:rsid w:val="00B22FD3"/>
    <w:rsid w:val="00B2301B"/>
    <w:rsid w:val="00B30E3B"/>
    <w:rsid w:val="00B31310"/>
    <w:rsid w:val="00BB595F"/>
    <w:rsid w:val="00C25583"/>
    <w:rsid w:val="00C378E2"/>
    <w:rsid w:val="00C643E1"/>
    <w:rsid w:val="00C953C1"/>
    <w:rsid w:val="00CA05CE"/>
    <w:rsid w:val="00D03253"/>
    <w:rsid w:val="00D47190"/>
    <w:rsid w:val="00D50D13"/>
    <w:rsid w:val="00D74A46"/>
    <w:rsid w:val="00DA5F70"/>
    <w:rsid w:val="00DD5DA9"/>
    <w:rsid w:val="00E83F48"/>
    <w:rsid w:val="00F12FF5"/>
    <w:rsid w:val="00F15FBA"/>
    <w:rsid w:val="00F5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C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3C1"/>
  </w:style>
  <w:style w:type="character" w:customStyle="1" w:styleId="Numatytasispastraiposriftas1">
    <w:name w:val="Numatytasis pastraipos šriftas1"/>
    <w:rsid w:val="00C953C1"/>
  </w:style>
  <w:style w:type="character" w:customStyle="1" w:styleId="WW-Absatz-Standardschriftart">
    <w:name w:val="WW-Absatz-Standardschriftart"/>
    <w:rsid w:val="00C953C1"/>
  </w:style>
  <w:style w:type="character" w:customStyle="1" w:styleId="WW-Absatz-Standardschriftart1">
    <w:name w:val="WW-Absatz-Standardschriftart1"/>
    <w:rsid w:val="00C953C1"/>
  </w:style>
  <w:style w:type="character" w:customStyle="1" w:styleId="WW-Absatz-Standardschriftart11">
    <w:name w:val="WW-Absatz-Standardschriftart11"/>
    <w:rsid w:val="00C953C1"/>
  </w:style>
  <w:style w:type="character" w:customStyle="1" w:styleId="WW-Absatz-Standardschriftart111">
    <w:name w:val="WW-Absatz-Standardschriftart111"/>
    <w:rsid w:val="00C953C1"/>
  </w:style>
  <w:style w:type="character" w:customStyle="1" w:styleId="WW-Absatz-Standardschriftart1111">
    <w:name w:val="WW-Absatz-Standardschriftart1111"/>
    <w:rsid w:val="00C953C1"/>
  </w:style>
  <w:style w:type="character" w:customStyle="1" w:styleId="Numatytasispastraiposriftas10">
    <w:name w:val="Numatytasis pastraipos šriftas1"/>
    <w:rsid w:val="00C953C1"/>
  </w:style>
  <w:style w:type="character" w:customStyle="1" w:styleId="WW-Absatz-Standardschriftart11111">
    <w:name w:val="WW-Absatz-Standardschriftart11111"/>
    <w:rsid w:val="00C953C1"/>
  </w:style>
  <w:style w:type="character" w:customStyle="1" w:styleId="WW-DefaultParagraphFont">
    <w:name w:val="WW-Default Paragraph Font"/>
    <w:rsid w:val="00C953C1"/>
  </w:style>
  <w:style w:type="character" w:styleId="PageNumber">
    <w:name w:val="page number"/>
    <w:basedOn w:val="WW-DefaultParagraphFont"/>
    <w:uiPriority w:val="99"/>
    <w:rsid w:val="00C953C1"/>
  </w:style>
  <w:style w:type="character" w:styleId="Hyperlink">
    <w:name w:val="Hyperlink"/>
    <w:rsid w:val="00C953C1"/>
    <w:rPr>
      <w:color w:val="0000FF"/>
      <w:u w:val="single"/>
    </w:rPr>
  </w:style>
  <w:style w:type="character" w:styleId="FollowedHyperlink">
    <w:name w:val="FollowedHyperlink"/>
    <w:rsid w:val="00C953C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953C1"/>
    <w:pPr>
      <w:spacing w:after="120"/>
    </w:pPr>
  </w:style>
  <w:style w:type="paragraph" w:styleId="List">
    <w:name w:val="List"/>
    <w:basedOn w:val="BodyText"/>
    <w:rsid w:val="00C953C1"/>
    <w:rPr>
      <w:rFonts w:cs="Mangal"/>
    </w:rPr>
  </w:style>
  <w:style w:type="paragraph" w:styleId="Caption">
    <w:name w:val="caption"/>
    <w:basedOn w:val="Normal"/>
    <w:qFormat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953C1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953C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53C1"/>
  </w:style>
  <w:style w:type="paragraph" w:styleId="Footer">
    <w:name w:val="footer"/>
    <w:basedOn w:val="Normal"/>
    <w:link w:val="FooterChar"/>
    <w:uiPriority w:val="99"/>
    <w:rsid w:val="00C953C1"/>
  </w:style>
  <w:style w:type="paragraph" w:styleId="BalloonText">
    <w:name w:val="Balloon Text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953C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C953C1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953C1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  <w:style w:type="paragraph" w:customStyle="1" w:styleId="DiagramaDiagrama3CharChar">
    <w:name w:val="Diagrama Diagrama3 Char Char"/>
    <w:basedOn w:val="Normal"/>
    <w:rsid w:val="00A7016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6441A2"/>
    <w:pPr>
      <w:suppressAutoHyphens w:val="0"/>
      <w:spacing w:after="200" w:line="276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standard">
    <w:name w:val="standard"/>
    <w:basedOn w:val="Normal"/>
    <w:uiPriority w:val="99"/>
    <w:rsid w:val="006441A2"/>
    <w:pPr>
      <w:suppressAutoHyphens w:val="0"/>
    </w:pPr>
    <w:rPr>
      <w:color w:val="000000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1D02"/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41D02"/>
    <w:rPr>
      <w:lang w:eastAsia="ar-SA"/>
    </w:rPr>
  </w:style>
  <w:style w:type="character" w:styleId="FootnoteReference">
    <w:name w:val="footnote reference"/>
    <w:basedOn w:val="DefaultParagraphFont"/>
    <w:rsid w:val="007942D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7942D5"/>
    <w:pPr>
      <w:suppressAutoHyphens w:val="0"/>
      <w:autoSpaceDE w:val="0"/>
      <w:autoSpaceDN w:val="0"/>
      <w:adjustRightInd w:val="0"/>
      <w:spacing w:before="100" w:after="100"/>
    </w:pPr>
    <w:rPr>
      <w:sz w:val="24"/>
      <w:szCs w:val="24"/>
      <w:lang w:val="en-GB" w:eastAsia="lt-LT"/>
    </w:rPr>
  </w:style>
  <w:style w:type="paragraph" w:customStyle="1" w:styleId="Hyperlink1">
    <w:name w:val="Hyperlink1"/>
    <w:rsid w:val="007942D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FootnoteText">
    <w:name w:val="footnote text"/>
    <w:aliases w:val="Footnote,Footnote Text Char Char,Fußnotentextf,Footnote Diagrama"/>
    <w:basedOn w:val="Normal"/>
    <w:link w:val="FootnoteTextChar"/>
    <w:rsid w:val="007942D5"/>
    <w:pPr>
      <w:suppressAutoHyphens w:val="0"/>
    </w:pPr>
    <w:rPr>
      <w:lang w:eastAsia="lt-LT"/>
    </w:rPr>
  </w:style>
  <w:style w:type="character" w:customStyle="1" w:styleId="FootnoteTextChar">
    <w:name w:val="Footnote Text Char"/>
    <w:aliases w:val="Footnote Char,Footnote Text Char Char Char,Fußnotentextf Char,Footnote Diagrama Char"/>
    <w:basedOn w:val="DefaultParagraphFont"/>
    <w:link w:val="FootnoteText"/>
    <w:rsid w:val="007942D5"/>
  </w:style>
  <w:style w:type="paragraph" w:customStyle="1" w:styleId="centrbold">
    <w:name w:val="centrbold"/>
    <w:basedOn w:val="Normal"/>
    <w:uiPriority w:val="99"/>
    <w:rsid w:val="007942D5"/>
    <w:pPr>
      <w:numPr>
        <w:ilvl w:val="1"/>
        <w:numId w:val="1"/>
      </w:num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tvirtinta">
    <w:name w:val="Patvirtinta"/>
    <w:basedOn w:val="Normal"/>
    <w:uiPriority w:val="99"/>
    <w:rsid w:val="007942D5"/>
    <w:pPr>
      <w:keepLines/>
      <w:numPr>
        <w:ilvl w:val="2"/>
        <w:numId w:val="1"/>
      </w:numPr>
      <w:tabs>
        <w:tab w:val="clear" w:pos="1463"/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 w:eastAsia="lt-LT"/>
    </w:rPr>
  </w:style>
  <w:style w:type="paragraph" w:customStyle="1" w:styleId="SUT1">
    <w:name w:val="SUT1"/>
    <w:basedOn w:val="BodyText"/>
    <w:uiPriority w:val="99"/>
    <w:rsid w:val="007942D5"/>
    <w:pPr>
      <w:numPr>
        <w:numId w:val="1"/>
      </w:numPr>
      <w:suppressAutoHyphens w:val="0"/>
      <w:spacing w:after="0" w:line="360" w:lineRule="auto"/>
      <w:jc w:val="both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8E7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2</cp:revision>
  <cp:lastPrinted>2014-06-19T05:08:00Z</cp:lastPrinted>
  <dcterms:created xsi:type="dcterms:W3CDTF">2014-06-19T10:05:00Z</dcterms:created>
  <dcterms:modified xsi:type="dcterms:W3CDTF">2014-06-19T10:05:00Z</dcterms:modified>
</cp:coreProperties>
</file>