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482C65" w:rsidRDefault="00482C65">
      <w:pPr>
        <w:pStyle w:val="Antrats"/>
        <w:jc w:val="center"/>
      </w:pPr>
      <w:r>
        <w:object w:dxaOrig="729" w:dyaOrig="8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o:ole="" filled="t">
            <v:fill color2="black"/>
            <v:imagedata r:id="rId9" o:title=""/>
          </v:shape>
          <o:OLEObject Type="Embed" ShapeID="_x0000_i1025" DrawAspect="Content" ObjectID="_1461494535" r:id="rId10"/>
        </w:object>
      </w:r>
    </w:p>
    <w:p w:rsidR="00482C65" w:rsidRPr="00F836B8" w:rsidRDefault="006846AE">
      <w:pPr>
        <w:pStyle w:val="Antrats"/>
        <w:jc w:val="center"/>
        <w:rPr>
          <w:b/>
          <w:sz w:val="24"/>
          <w:szCs w:val="24"/>
        </w:rPr>
      </w:pPr>
      <w:r>
        <w:tab/>
        <w:t xml:space="preserve">                                                                                                                                                 </w:t>
      </w:r>
    </w:p>
    <w:p w:rsidR="00482C65" w:rsidRDefault="00482C65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PANEVĖŽIO RAJONO SAVIVALDYBĖS TARYBA</w:t>
      </w:r>
    </w:p>
    <w:p w:rsidR="00F727DE" w:rsidRDefault="00F727DE">
      <w:pPr>
        <w:pStyle w:val="Antrats"/>
        <w:jc w:val="center"/>
        <w:rPr>
          <w:b/>
          <w:sz w:val="28"/>
        </w:rPr>
      </w:pPr>
    </w:p>
    <w:p w:rsidR="00482C65" w:rsidRDefault="00482C65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482C65" w:rsidRDefault="00482C65" w:rsidP="00847A22">
      <w:pPr>
        <w:pStyle w:val="Pagrindiniotekstotrauka"/>
        <w:rPr>
          <w:b/>
        </w:rPr>
      </w:pPr>
      <w:r>
        <w:rPr>
          <w:b/>
        </w:rPr>
        <w:t xml:space="preserve">DĖL </w:t>
      </w:r>
      <w:r w:rsidRPr="00B72C44">
        <w:rPr>
          <w:b/>
        </w:rPr>
        <w:t>METINIO</w:t>
      </w:r>
      <w:r>
        <w:rPr>
          <w:b/>
        </w:rPr>
        <w:t xml:space="preserve"> ŽEMĖS MOKESČIO TARIF</w:t>
      </w:r>
      <w:r w:rsidR="00245AF2">
        <w:rPr>
          <w:b/>
        </w:rPr>
        <w:t>Ų</w:t>
      </w:r>
      <w:r w:rsidR="00847A22">
        <w:rPr>
          <w:b/>
        </w:rPr>
        <w:t xml:space="preserve"> </w:t>
      </w:r>
      <w:r>
        <w:rPr>
          <w:b/>
        </w:rPr>
        <w:t>NUSTATYMO</w:t>
      </w:r>
    </w:p>
    <w:p w:rsidR="00482C65" w:rsidRDefault="00482C65">
      <w:pPr>
        <w:jc w:val="center"/>
        <w:rPr>
          <w:sz w:val="24"/>
        </w:rPr>
      </w:pPr>
    </w:p>
    <w:p w:rsidR="00D46E28" w:rsidRDefault="00482C65">
      <w:pPr>
        <w:jc w:val="center"/>
        <w:rPr>
          <w:sz w:val="24"/>
        </w:rPr>
      </w:pPr>
      <w:r>
        <w:rPr>
          <w:sz w:val="24"/>
        </w:rPr>
        <w:t>201</w:t>
      </w:r>
      <w:r w:rsidR="00D46E28">
        <w:rPr>
          <w:sz w:val="24"/>
        </w:rPr>
        <w:t>4</w:t>
      </w:r>
      <w:r>
        <w:rPr>
          <w:sz w:val="24"/>
        </w:rPr>
        <w:t xml:space="preserve"> m. </w:t>
      </w:r>
      <w:r w:rsidR="006846AE">
        <w:rPr>
          <w:sz w:val="24"/>
        </w:rPr>
        <w:t>gegužės 8</w:t>
      </w:r>
      <w:r>
        <w:rPr>
          <w:sz w:val="24"/>
        </w:rPr>
        <w:t xml:space="preserve"> d. Nr. T- </w:t>
      </w:r>
      <w:r w:rsidR="00E131AD">
        <w:rPr>
          <w:sz w:val="24"/>
        </w:rPr>
        <w:t>92</w:t>
      </w:r>
    </w:p>
    <w:p w:rsidR="00482C65" w:rsidRDefault="00482C65">
      <w:pPr>
        <w:jc w:val="center"/>
        <w:rPr>
          <w:sz w:val="24"/>
        </w:rPr>
      </w:pPr>
      <w:r>
        <w:rPr>
          <w:sz w:val="24"/>
        </w:rPr>
        <w:t>Panevėžys</w:t>
      </w:r>
    </w:p>
    <w:p w:rsidR="00482C65" w:rsidRDefault="00482C65">
      <w:pPr>
        <w:jc w:val="both"/>
        <w:rPr>
          <w:sz w:val="24"/>
        </w:rPr>
      </w:pPr>
    </w:p>
    <w:p w:rsidR="00482C65" w:rsidRDefault="00482C65">
      <w:pPr>
        <w:pStyle w:val="Antrat1"/>
        <w:ind w:left="30" w:hanging="465"/>
        <w:jc w:val="both"/>
      </w:pPr>
      <w:r>
        <w:tab/>
      </w:r>
      <w:r>
        <w:tab/>
      </w:r>
      <w:r>
        <w:tab/>
        <w:t xml:space="preserve">Vadovaudamasi Lietuvos Respublikos vietos savivaldos įstatymo 16 straipsnio 2 dalies </w:t>
      </w:r>
      <w:r w:rsidR="006846AE">
        <w:t xml:space="preserve">    </w:t>
      </w:r>
      <w:r>
        <w:t>37 punktu</w:t>
      </w:r>
      <w:r w:rsidR="005B3AB6">
        <w:t xml:space="preserve"> ir 18 straipsnio 1 dalimi,</w:t>
      </w:r>
      <w:r>
        <w:rPr>
          <w:szCs w:val="24"/>
        </w:rPr>
        <w:t xml:space="preserve"> </w:t>
      </w:r>
      <w:r>
        <w:t>Lietuvos Respublikos žemės mokesčio įstatymo</w:t>
      </w:r>
      <w:r w:rsidR="00D46E28">
        <w:t xml:space="preserve"> </w:t>
      </w:r>
      <w:r>
        <w:t>6 straipsniu</w:t>
      </w:r>
      <w:r w:rsidR="005B3AB6">
        <w:t xml:space="preserve"> ir 8 straipsnio 3 dalimi</w:t>
      </w:r>
      <w:r w:rsidR="006846AE">
        <w:t>,</w:t>
      </w:r>
      <w:r w:rsidR="005B3AB6">
        <w:t xml:space="preserve"> </w:t>
      </w:r>
      <w:r>
        <w:t>Savivaldybės taryba n u s p r e n d ž i a:</w:t>
      </w:r>
    </w:p>
    <w:p w:rsidR="00482C65" w:rsidRDefault="00D46E28">
      <w:pPr>
        <w:ind w:left="30" w:hanging="465"/>
        <w:jc w:val="both"/>
        <w:rPr>
          <w:sz w:val="24"/>
          <w:szCs w:val="24"/>
        </w:rPr>
      </w:pPr>
      <w:r>
        <w:tab/>
      </w:r>
      <w:r>
        <w:tab/>
      </w:r>
      <w:r w:rsidR="00482C65">
        <w:rPr>
          <w:sz w:val="24"/>
          <w:szCs w:val="24"/>
        </w:rPr>
        <w:t>1</w:t>
      </w:r>
      <w:r w:rsidR="00482C65">
        <w:t xml:space="preserve">. </w:t>
      </w:r>
      <w:r w:rsidR="00482C65">
        <w:rPr>
          <w:sz w:val="24"/>
          <w:szCs w:val="24"/>
        </w:rPr>
        <w:t>Nustatyti nuo 201</w:t>
      </w:r>
      <w:r>
        <w:rPr>
          <w:sz w:val="24"/>
          <w:szCs w:val="24"/>
        </w:rPr>
        <w:t>5</w:t>
      </w:r>
      <w:r w:rsidR="00482C65">
        <w:rPr>
          <w:sz w:val="24"/>
          <w:szCs w:val="24"/>
        </w:rPr>
        <w:t xml:space="preserve"> m. sausio 1 d. </w:t>
      </w:r>
      <w:r w:rsidR="00482C65" w:rsidRPr="00B72C44">
        <w:rPr>
          <w:sz w:val="24"/>
          <w:szCs w:val="24"/>
        </w:rPr>
        <w:t>metin</w:t>
      </w:r>
      <w:r w:rsidR="00847A22" w:rsidRPr="00B72C44">
        <w:rPr>
          <w:sz w:val="24"/>
          <w:szCs w:val="24"/>
        </w:rPr>
        <w:t>ius</w:t>
      </w:r>
      <w:r w:rsidR="00482C65" w:rsidRPr="00B72C44">
        <w:rPr>
          <w:sz w:val="24"/>
          <w:szCs w:val="24"/>
        </w:rPr>
        <w:t xml:space="preserve"> </w:t>
      </w:r>
      <w:r w:rsidR="00482C65">
        <w:rPr>
          <w:sz w:val="24"/>
          <w:szCs w:val="24"/>
        </w:rPr>
        <w:t>žemės mokesčio už žemę, įvertintą pagal žemės vidutinę rinkos vertę, tarif</w:t>
      </w:r>
      <w:r w:rsidR="00847A22">
        <w:rPr>
          <w:sz w:val="24"/>
          <w:szCs w:val="24"/>
        </w:rPr>
        <w:t>us</w:t>
      </w:r>
      <w:r w:rsidR="00482C65">
        <w:rPr>
          <w:sz w:val="24"/>
          <w:szCs w:val="24"/>
        </w:rPr>
        <w:t xml:space="preserve">: </w:t>
      </w:r>
    </w:p>
    <w:p w:rsidR="00482C65" w:rsidRDefault="00482C65">
      <w:pPr>
        <w:pStyle w:val="Pagrindinistekstas"/>
        <w:jc w:val="both"/>
      </w:pPr>
      <w:r>
        <w:tab/>
        <w:t>1.1. žemės ūkio paskirties žemei:</w:t>
      </w:r>
    </w:p>
    <w:p w:rsidR="00482C65" w:rsidRDefault="00482C65">
      <w:pPr>
        <w:pStyle w:val="Pagrindinistekstas"/>
        <w:jc w:val="both"/>
      </w:pPr>
      <w:r>
        <w:t xml:space="preserve"> </w:t>
      </w:r>
      <w:r>
        <w:tab/>
        <w:t>1.1.1. verčių zonai 33.1</w:t>
      </w:r>
      <w:r w:rsidR="006F0FFD">
        <w:t>,</w:t>
      </w:r>
      <w:r>
        <w:t xml:space="preserve"> 33.2– 0,4 procento žemės mokestinės vertės;</w:t>
      </w:r>
    </w:p>
    <w:p w:rsidR="00482C65" w:rsidRDefault="00482C65">
      <w:pPr>
        <w:pStyle w:val="Pagrindinistekstas"/>
      </w:pPr>
      <w:r>
        <w:tab/>
        <w:t>1.1.2. verčių zonai 33.3–33.45, 33.48 – 1 procentą žemės mokestinės vertės;</w:t>
      </w:r>
    </w:p>
    <w:p w:rsidR="00482C65" w:rsidRDefault="00482C65">
      <w:pPr>
        <w:pStyle w:val="Pagrindinistekstas"/>
        <w:jc w:val="both"/>
      </w:pPr>
      <w:r>
        <w:tab/>
        <w:t>1.1.3. verčių zonai 33.46–33.47, 33.49 – 2,0 procentus žemės mokestinės vertės;</w:t>
      </w:r>
    </w:p>
    <w:p w:rsidR="00482C65" w:rsidRDefault="00482C65">
      <w:pPr>
        <w:pStyle w:val="Pagrindinistekstas"/>
        <w:jc w:val="both"/>
      </w:pPr>
      <w:r>
        <w:tab/>
        <w:t>1.2. gyvenamųjų teritorijų žemei:</w:t>
      </w:r>
    </w:p>
    <w:p w:rsidR="00482C65" w:rsidRDefault="00482C65">
      <w:pPr>
        <w:pStyle w:val="Pagrindinistekstas"/>
      </w:pPr>
      <w:r>
        <w:tab/>
        <w:t>1. 2.1. verčių zonai 33.1–33.6, 33.10</w:t>
      </w:r>
      <w:r w:rsidR="00AC59DF">
        <w:t xml:space="preserve"> </w:t>
      </w:r>
      <w:r>
        <w:t>– 0,1 procento žemės mokestinės vertės;</w:t>
      </w:r>
    </w:p>
    <w:p w:rsidR="00482C65" w:rsidRDefault="00482C65">
      <w:pPr>
        <w:pStyle w:val="Pagrindinistekstas"/>
        <w:jc w:val="both"/>
      </w:pPr>
      <w:r>
        <w:tab/>
        <w:t>1.2.2. verčių zonai 33.7, 33.17, 33.18–33.22, 33.24, 33.37 ir 33.38, 33.48 – 0,2 procento žemės mokestinės vertės;</w:t>
      </w:r>
    </w:p>
    <w:p w:rsidR="00482C65" w:rsidRDefault="00482C65">
      <w:pPr>
        <w:pStyle w:val="Pagrindinistekstas"/>
      </w:pPr>
      <w:r>
        <w:tab/>
        <w:t>1.2.3. verčių zonai 33.12 ir 33.35, 33.36, 33.39 – 0,3 procento žemės mokestinės vertės;</w:t>
      </w:r>
    </w:p>
    <w:p w:rsidR="00482C65" w:rsidRDefault="00482C65">
      <w:pPr>
        <w:pStyle w:val="Pagrindinistekstas"/>
      </w:pPr>
      <w:r>
        <w:tab/>
        <w:t>1.2.4. verčių zonai 33.13–33.16 – 0,4 procento žemės mokestinės vertės;</w:t>
      </w:r>
    </w:p>
    <w:p w:rsidR="00482C65" w:rsidRDefault="00482C65">
      <w:pPr>
        <w:pStyle w:val="Pagrindinistekstas"/>
        <w:jc w:val="both"/>
      </w:pPr>
      <w:r>
        <w:tab/>
        <w:t>1.2.5. verčių zonai 33.8, 33.9, 33.11, 33.23, 33.25–33.27 – 0,5 procento žemės mokestinės vertės;</w:t>
      </w:r>
    </w:p>
    <w:p w:rsidR="00482C65" w:rsidRDefault="00482C65">
      <w:pPr>
        <w:pStyle w:val="Pagrindinistekstas"/>
        <w:jc w:val="both"/>
      </w:pPr>
      <w:r>
        <w:tab/>
        <w:t xml:space="preserve">1.2.6. verčių zonai 33.28–33.34 ir 33.40–33.47, 33.49 – 0,6 procento žemės mokestinės vertės; </w:t>
      </w:r>
    </w:p>
    <w:p w:rsidR="00482C65" w:rsidRDefault="00482C65">
      <w:pPr>
        <w:pStyle w:val="Pagrindinistekstas"/>
        <w:jc w:val="both"/>
      </w:pPr>
      <w:r>
        <w:tab/>
        <w:t>1.3. pramonės ir sandėliavimo žemei:</w:t>
      </w:r>
    </w:p>
    <w:p w:rsidR="00482C65" w:rsidRDefault="00482C65">
      <w:pPr>
        <w:pStyle w:val="Pagrindiniotekstotrauka"/>
        <w:jc w:val="left"/>
      </w:pPr>
      <w:r>
        <w:tab/>
        <w:t>1.3.1. verčių zonai 33.1–33.4</w:t>
      </w:r>
      <w:r w:rsidR="00AC59DF">
        <w:t xml:space="preserve"> </w:t>
      </w:r>
      <w:r>
        <w:t>– 1,0 procentą žemės mokestinės vertės;</w:t>
      </w:r>
    </w:p>
    <w:p w:rsidR="00482C65" w:rsidRDefault="00482C65">
      <w:pPr>
        <w:pStyle w:val="Pagrindiniotekstotrauka"/>
        <w:jc w:val="both"/>
      </w:pPr>
      <w:r>
        <w:tab/>
        <w:t>1.3.2. verčių zonai 33.5–33.7, 33.17–33.22 ir 33.24, 33.48 – 1,5 procento žemės mokestinės vertės;</w:t>
      </w:r>
    </w:p>
    <w:p w:rsidR="00482C65" w:rsidRDefault="00482C65">
      <w:pPr>
        <w:pStyle w:val="Pagrindiniotekstotrauka"/>
        <w:jc w:val="left"/>
      </w:pPr>
      <w:r>
        <w:tab/>
        <w:t>1.3.3. verčių zonai 33.12, 33.35–33.39 – 2,5 procento žemės  mokestinės  vertės;</w:t>
      </w:r>
    </w:p>
    <w:p w:rsidR="00482C65" w:rsidRDefault="00482C65">
      <w:pPr>
        <w:pStyle w:val="Pagrindiniotekstotrauka"/>
        <w:jc w:val="left"/>
      </w:pPr>
      <w:r>
        <w:tab/>
        <w:t>1.3.4. verčių zonai 33.25–33.27 – 2,0 procentus žemės mokestinės vertės;</w:t>
      </w:r>
    </w:p>
    <w:p w:rsidR="00482C65" w:rsidRDefault="00482C65">
      <w:pPr>
        <w:pStyle w:val="Pagrindinistekstas"/>
        <w:jc w:val="both"/>
      </w:pPr>
      <w:r>
        <w:tab/>
        <w:t>1.3.5. verčių zonai 33.8–33.11, 33.13–33.16, 33.23, 33.28–33.34, 33.40–33.47, 33.49 – 3,0 procentus žemės mokestinės vertės;</w:t>
      </w:r>
    </w:p>
    <w:p w:rsidR="00482C65" w:rsidRDefault="00482C65">
      <w:pPr>
        <w:pStyle w:val="Pagrindiniotekstotrauka"/>
        <w:jc w:val="both"/>
      </w:pPr>
      <w:r>
        <w:tab/>
        <w:t>1.4. komercinei žemei:</w:t>
      </w:r>
    </w:p>
    <w:p w:rsidR="00482C65" w:rsidRDefault="00482C65">
      <w:pPr>
        <w:pStyle w:val="Pagrindiniotekstotrauka"/>
        <w:jc w:val="both"/>
      </w:pPr>
      <w:r>
        <w:t xml:space="preserve">            1.4.1. verčių zonai 33.1– 33.7– 0,3 procento žemės mokestinės vertės;</w:t>
      </w:r>
    </w:p>
    <w:p w:rsidR="00482C65" w:rsidRDefault="00482C65">
      <w:pPr>
        <w:pStyle w:val="Pagrindiniotekstotrauka"/>
        <w:jc w:val="left"/>
      </w:pPr>
      <w:r>
        <w:t xml:space="preserve">            1.4.2. verčių zonai 33.17–33.22 ir 33.24, 33.48 – 0,7 procento žemės mokestinės vertės;</w:t>
      </w:r>
    </w:p>
    <w:p w:rsidR="00482C65" w:rsidRDefault="00482C65">
      <w:pPr>
        <w:pStyle w:val="Pagrindiniotekstotrauka"/>
        <w:jc w:val="both"/>
      </w:pPr>
      <w:r>
        <w:tab/>
        <w:t>1.4.3. verčių zonai 33.12, 33.25–33.27 ir 33.35–33.39 – 1,5 procento žemės mokestinės vertės;</w:t>
      </w:r>
    </w:p>
    <w:p w:rsidR="00482C65" w:rsidRDefault="00482C65">
      <w:pPr>
        <w:pStyle w:val="Pagrindiniotekstotrauka"/>
        <w:jc w:val="both"/>
      </w:pPr>
      <w:r>
        <w:tab/>
        <w:t>1.4.4. verčių zonai 33.8–33.11 ir 33.13–33.16, 33.23, 33.28–33.34, 33.40–33.45, 33.46–33.47, 33.49 – 3,0 procentus žemės mokestinės vertės;</w:t>
      </w:r>
    </w:p>
    <w:p w:rsidR="00482C65" w:rsidRDefault="00482C65">
      <w:pPr>
        <w:pStyle w:val="Pagrindiniotekstotrauka"/>
        <w:jc w:val="both"/>
      </w:pPr>
      <w:r>
        <w:t xml:space="preserve"> </w:t>
      </w:r>
      <w:r>
        <w:tab/>
        <w:t>1.5. mėgėjiškų sodų žemei – 0,2 procento žemės mokestinės vertės;</w:t>
      </w:r>
    </w:p>
    <w:p w:rsidR="00482C65" w:rsidRDefault="00482C65">
      <w:pPr>
        <w:pStyle w:val="Pagrindiniotekstotrauka"/>
        <w:jc w:val="both"/>
      </w:pPr>
      <w:r>
        <w:tab/>
        <w:t>1.6. kitos paskirties sklypams – 0,5 procento žemės mokestinės vertės;</w:t>
      </w:r>
      <w:r>
        <w:tab/>
      </w:r>
    </w:p>
    <w:p w:rsidR="00482C65" w:rsidRDefault="00482C65">
      <w:pPr>
        <w:pStyle w:val="Pagrindiniotekstotrauka"/>
        <w:jc w:val="both"/>
      </w:pPr>
      <w:r>
        <w:tab/>
        <w:t>1.7. už nenaudojamą žemės sklypą – 4 procentus žemės mokestinės vertės.</w:t>
      </w:r>
    </w:p>
    <w:p w:rsidR="00922004" w:rsidRDefault="00482C65" w:rsidP="00847A22">
      <w:pPr>
        <w:pStyle w:val="Pagrindiniotekstotrauka"/>
        <w:jc w:val="both"/>
      </w:pPr>
      <w:r>
        <w:lastRenderedPageBreak/>
        <w:tab/>
        <w:t xml:space="preserve">2. </w:t>
      </w:r>
      <w:r w:rsidR="005B3AB6">
        <w:t xml:space="preserve">Nustatyti 1,2 ha dydžio neapmokestinamąjį žemės sklypą fiziniams asmenims, kurių šeimose </w:t>
      </w:r>
      <w:r w:rsidR="005B3AB6" w:rsidRPr="00B72C44">
        <w:t xml:space="preserve">mokestinio </w:t>
      </w:r>
      <w:r w:rsidR="00B72C44" w:rsidRPr="00B72C44">
        <w:t xml:space="preserve">laikotarpio </w:t>
      </w:r>
      <w:r w:rsidR="005B3AB6" w:rsidRPr="00B72C44">
        <w:t>pradžioje</w:t>
      </w:r>
      <w:r w:rsidR="005B3AB6">
        <w:t xml:space="preserve"> nėra darbingų asmenų ir kuriems nustatytas 0</w:t>
      </w:r>
      <w:r w:rsidR="006846AE">
        <w:t>–</w:t>
      </w:r>
      <w:r w:rsidR="005B3AB6">
        <w:t>40 procentų darbingumo lygis arba kurie</w:t>
      </w:r>
      <w:r w:rsidR="00922004">
        <w:t xml:space="preserve"> yra </w:t>
      </w:r>
      <w:r w:rsidR="005B3AB6">
        <w:t xml:space="preserve">sukakę senatvės pensijos amžių ar yra nepilnamečiai. </w:t>
      </w:r>
    </w:p>
    <w:p w:rsidR="00922004" w:rsidRDefault="00922004" w:rsidP="00922004">
      <w:pPr>
        <w:pStyle w:val="Pagrindiniotekstotrauka"/>
        <w:ind w:firstLine="720"/>
        <w:jc w:val="both"/>
      </w:pPr>
      <w:r>
        <w:t>3.</w:t>
      </w:r>
      <w:r w:rsidR="006F0FFD">
        <w:t xml:space="preserve"> </w:t>
      </w:r>
      <w:r>
        <w:t>Pripaž</w:t>
      </w:r>
      <w:r w:rsidR="006F0FFD">
        <w:t>inti</w:t>
      </w:r>
      <w:r>
        <w:t xml:space="preserve"> netekusiu galios</w:t>
      </w:r>
      <w:r w:rsidR="006F0FFD">
        <w:t xml:space="preserve"> </w:t>
      </w:r>
      <w:r>
        <w:t>Panevėžio rajono savivaldybės tarybos 2007</w:t>
      </w:r>
      <w:r w:rsidR="006846AE">
        <w:t xml:space="preserve"> m. gegužės </w:t>
      </w:r>
      <w:r>
        <w:t>31</w:t>
      </w:r>
      <w:r w:rsidR="006846AE">
        <w:t xml:space="preserve"> d.</w:t>
      </w:r>
      <w:r>
        <w:t xml:space="preserve"> sprendimą Nr. T</w:t>
      </w:r>
      <w:r w:rsidR="006846AE">
        <w:t>-</w:t>
      </w:r>
      <w:r>
        <w:t>123 „Dėl neapmokestinamojo sklypo dydžio nustatymo“</w:t>
      </w:r>
      <w:r w:rsidR="00F639B3">
        <w:t>.</w:t>
      </w:r>
      <w:r>
        <w:t xml:space="preserve">  </w:t>
      </w:r>
    </w:p>
    <w:p w:rsidR="00E131AD" w:rsidRDefault="00F639B3" w:rsidP="009554BB">
      <w:pPr>
        <w:pStyle w:val="Pagrindiniotekstotrauka"/>
        <w:ind w:firstLine="720"/>
        <w:jc w:val="both"/>
        <w:rPr>
          <w:rFonts w:cs="Times New Roman"/>
          <w:szCs w:val="24"/>
        </w:rPr>
      </w:pPr>
      <w:r w:rsidRPr="00297AB2">
        <w:t>4.</w:t>
      </w:r>
      <w:r w:rsidR="006846AE" w:rsidRPr="00297AB2">
        <w:t xml:space="preserve"> </w:t>
      </w:r>
      <w:r w:rsidR="009554BB" w:rsidRPr="00297AB2">
        <w:t xml:space="preserve">Šį sprendimą paskelbti </w:t>
      </w:r>
      <w:r w:rsidR="009554BB" w:rsidRPr="00297AB2">
        <w:rPr>
          <w:rFonts w:cs="Times New Roman"/>
          <w:szCs w:val="24"/>
        </w:rPr>
        <w:t>visuomenės informavimo priemonėse.</w:t>
      </w:r>
    </w:p>
    <w:p w:rsidR="00E131AD" w:rsidRDefault="00E131AD" w:rsidP="00E131AD">
      <w:pPr>
        <w:pStyle w:val="Pagrindiniotekstotrauka"/>
        <w:jc w:val="both"/>
        <w:rPr>
          <w:rFonts w:cs="Times New Roman"/>
          <w:szCs w:val="24"/>
        </w:rPr>
      </w:pPr>
    </w:p>
    <w:p w:rsidR="00E131AD" w:rsidRDefault="00E131AD" w:rsidP="00E131AD">
      <w:pPr>
        <w:pStyle w:val="Pagrindiniotekstotrauka"/>
        <w:jc w:val="both"/>
        <w:rPr>
          <w:rFonts w:cs="Times New Roman"/>
          <w:szCs w:val="24"/>
        </w:rPr>
      </w:pPr>
    </w:p>
    <w:p w:rsidR="00482C65" w:rsidRPr="00297AB2" w:rsidRDefault="00E131AD" w:rsidP="00E131AD">
      <w:pPr>
        <w:pStyle w:val="Pagrindiniotekstotrauka"/>
        <w:jc w:val="both"/>
      </w:pPr>
      <w:r>
        <w:rPr>
          <w:rFonts w:cs="Times New Roman"/>
          <w:szCs w:val="24"/>
        </w:rPr>
        <w:t>Savivaldybės meras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Povilas Žagunis</w:t>
      </w:r>
      <w:r w:rsidR="009554BB" w:rsidRPr="00297AB2">
        <w:tab/>
      </w:r>
    </w:p>
    <w:p w:rsidR="00482C65" w:rsidRPr="00297AB2" w:rsidRDefault="00482C65">
      <w:pPr>
        <w:pStyle w:val="Antrat1"/>
      </w:pPr>
    </w:p>
    <w:p w:rsidR="00482C65" w:rsidRDefault="00482C65">
      <w:pPr>
        <w:rPr>
          <w:sz w:val="24"/>
        </w:rPr>
      </w:pPr>
    </w:p>
    <w:p w:rsidR="00482C65" w:rsidRDefault="00482C65">
      <w:pPr>
        <w:rPr>
          <w:sz w:val="24"/>
        </w:rPr>
      </w:pPr>
    </w:p>
    <w:p w:rsidR="00482C65" w:rsidRDefault="00482C65">
      <w:pPr>
        <w:rPr>
          <w:sz w:val="24"/>
        </w:rPr>
      </w:pPr>
    </w:p>
    <w:p w:rsidR="00482C65" w:rsidRDefault="00482C65">
      <w:pPr>
        <w:rPr>
          <w:sz w:val="24"/>
        </w:rPr>
      </w:pPr>
    </w:p>
    <w:p w:rsidR="00482C65" w:rsidRDefault="00482C65"/>
    <w:p w:rsidR="009B6920" w:rsidRDefault="009B6920"/>
    <w:p w:rsidR="009B6920" w:rsidRDefault="009B6920"/>
    <w:p w:rsidR="009B6920" w:rsidRDefault="009B6920"/>
    <w:p w:rsidR="009B6920" w:rsidRDefault="009B6920"/>
    <w:p w:rsidR="009B6920" w:rsidRDefault="009B6920"/>
    <w:p w:rsidR="009B6920" w:rsidRDefault="009B6920"/>
    <w:p w:rsidR="009B6920" w:rsidRDefault="009B6920"/>
    <w:p w:rsidR="009B6920" w:rsidRDefault="009B6920"/>
    <w:p w:rsidR="009B6920" w:rsidRDefault="009B6920"/>
    <w:p w:rsidR="009B6920" w:rsidRDefault="009B6920"/>
    <w:p w:rsidR="009B6920" w:rsidRDefault="009B6920"/>
    <w:p w:rsidR="009B6920" w:rsidRDefault="009B6920"/>
    <w:p w:rsidR="009B6920" w:rsidRDefault="009B6920"/>
    <w:p w:rsidR="009B6920" w:rsidRDefault="009B6920"/>
    <w:p w:rsidR="009B6920" w:rsidRDefault="009B6920"/>
    <w:p w:rsidR="009B6920" w:rsidRDefault="009B6920"/>
    <w:p w:rsidR="009B6920" w:rsidRDefault="009B6920"/>
    <w:p w:rsidR="009B6920" w:rsidRDefault="009B6920"/>
    <w:p w:rsidR="009B6920" w:rsidRDefault="009B6920"/>
    <w:p w:rsidR="009B6920" w:rsidRDefault="009B6920"/>
    <w:p w:rsidR="009B6920" w:rsidRDefault="009B6920"/>
    <w:p w:rsidR="009B6920" w:rsidRDefault="009B6920"/>
    <w:p w:rsidR="009B6920" w:rsidRDefault="009B6920"/>
    <w:p w:rsidR="009B6920" w:rsidRDefault="009B6920"/>
    <w:p w:rsidR="009B6920" w:rsidRDefault="009B6920"/>
    <w:p w:rsidR="009B6920" w:rsidRDefault="009B6920"/>
    <w:p w:rsidR="009B6920" w:rsidRDefault="009B6920"/>
    <w:p w:rsidR="009B6920" w:rsidRDefault="009B6920"/>
    <w:p w:rsidR="009B6920" w:rsidRDefault="009B6920"/>
    <w:p w:rsidR="009B6920" w:rsidRDefault="009B6920"/>
    <w:p w:rsidR="009B6920" w:rsidRDefault="009B6920"/>
    <w:p w:rsidR="009B6920" w:rsidRDefault="009B6920"/>
    <w:p w:rsidR="009B6920" w:rsidRDefault="009B6920"/>
    <w:p w:rsidR="009B6920" w:rsidRDefault="009B6920"/>
    <w:p w:rsidR="009B6920" w:rsidRDefault="009B6920"/>
    <w:p w:rsidR="009B6920" w:rsidRDefault="009B6920"/>
    <w:p w:rsidR="009B6920" w:rsidRDefault="009B6920"/>
    <w:p w:rsidR="009B6920" w:rsidRDefault="009B6920"/>
    <w:p w:rsidR="00297AB2" w:rsidRDefault="00297AB2"/>
    <w:p w:rsidR="00297AB2" w:rsidRDefault="00297AB2"/>
    <w:p w:rsidR="00297AB2" w:rsidRDefault="00297AB2"/>
    <w:sectPr w:rsidR="00297AB2">
      <w:footerReference w:type="even" r:id="rId11"/>
      <w:footerReference w:type="default" r:id="rId12"/>
      <w:pgSz w:w="11906" w:h="16820"/>
      <w:pgMar w:top="1134" w:right="567" w:bottom="1597" w:left="1701" w:header="567" w:footer="1366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462E" w:rsidRDefault="005E462E">
      <w:r>
        <w:separator/>
      </w:r>
    </w:p>
  </w:endnote>
  <w:endnote w:type="continuationSeparator" w:id="0">
    <w:p w:rsidR="005E462E" w:rsidRDefault="005E46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2C65" w:rsidRDefault="00482C65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2C65" w:rsidRDefault="00482C65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462E" w:rsidRDefault="005E462E">
      <w:r>
        <w:separator/>
      </w:r>
    </w:p>
  </w:footnote>
  <w:footnote w:type="continuationSeparator" w:id="0">
    <w:p w:rsidR="005E462E" w:rsidRDefault="005E46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187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201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216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230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244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259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273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288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302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displayBackgroundShape/>
  <w:embedSystemFonts/>
  <w:proofState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prastasis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E28"/>
    <w:rsid w:val="00000363"/>
    <w:rsid w:val="000157FD"/>
    <w:rsid w:val="00017814"/>
    <w:rsid w:val="00054387"/>
    <w:rsid w:val="00067384"/>
    <w:rsid w:val="000F40FC"/>
    <w:rsid w:val="00155A45"/>
    <w:rsid w:val="00245AF2"/>
    <w:rsid w:val="002475DF"/>
    <w:rsid w:val="00297AB2"/>
    <w:rsid w:val="002B0527"/>
    <w:rsid w:val="002E171B"/>
    <w:rsid w:val="00474941"/>
    <w:rsid w:val="00482C65"/>
    <w:rsid w:val="00512002"/>
    <w:rsid w:val="00525E12"/>
    <w:rsid w:val="005A504F"/>
    <w:rsid w:val="005B3AB6"/>
    <w:rsid w:val="005D536A"/>
    <w:rsid w:val="005E462E"/>
    <w:rsid w:val="006846AE"/>
    <w:rsid w:val="006927C3"/>
    <w:rsid w:val="006F0FFD"/>
    <w:rsid w:val="00756AC5"/>
    <w:rsid w:val="00847A22"/>
    <w:rsid w:val="00922004"/>
    <w:rsid w:val="009554BB"/>
    <w:rsid w:val="009802C8"/>
    <w:rsid w:val="009B6920"/>
    <w:rsid w:val="009F5695"/>
    <w:rsid w:val="00AC59DF"/>
    <w:rsid w:val="00AF220A"/>
    <w:rsid w:val="00B15DDD"/>
    <w:rsid w:val="00B72C44"/>
    <w:rsid w:val="00B74D34"/>
    <w:rsid w:val="00B80DC4"/>
    <w:rsid w:val="00B909E2"/>
    <w:rsid w:val="00B951F0"/>
    <w:rsid w:val="00BA299F"/>
    <w:rsid w:val="00BE109B"/>
    <w:rsid w:val="00C21655"/>
    <w:rsid w:val="00D46E28"/>
    <w:rsid w:val="00E131AD"/>
    <w:rsid w:val="00EC18A0"/>
    <w:rsid w:val="00F47E96"/>
    <w:rsid w:val="00F50B72"/>
    <w:rsid w:val="00F639B3"/>
    <w:rsid w:val="00F727DE"/>
    <w:rsid w:val="00F836B8"/>
    <w:rsid w:val="00FE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pPr>
      <w:suppressAutoHyphens/>
    </w:pPr>
    <w:rPr>
      <w:rFonts w:cs="Microsoft YaHei"/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outlineLvl w:val="0"/>
    </w:pPr>
    <w:rPr>
      <w:sz w:val="24"/>
    </w:rPr>
  </w:style>
  <w:style w:type="character" w:default="1" w:styleId="Numatytasispastraiposriftas">
    <w:name w:val="Default Paragraph Font"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DefaultParagraphFont">
    <w:name w:val="Default Paragraph Font"/>
  </w:style>
  <w:style w:type="character" w:styleId="Puslapionumeris">
    <w:name w:val="page number"/>
    <w:basedOn w:val="DefaultParagraphFont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character" w:customStyle="1" w:styleId="Numeravimosimboliai">
    <w:name w:val="Numeravimo simboliai"/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Pagrindinistekstas">
    <w:name w:val="Body Text"/>
    <w:basedOn w:val="prastasis"/>
    <w:rPr>
      <w:sz w:val="24"/>
    </w:rPr>
  </w:style>
  <w:style w:type="paragraph" w:styleId="Sraas">
    <w:name w:val="List"/>
    <w:basedOn w:val="Pagrindinistekstas"/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customStyle="1" w:styleId="BalloonText">
    <w:name w:val="Balloon Text"/>
    <w:basedOn w:val="prastasis"/>
    <w:rPr>
      <w:rFonts w:ascii="Tahoma" w:hAnsi="Tahoma"/>
      <w:sz w:val="16"/>
      <w:szCs w:val="16"/>
    </w:rPr>
  </w:style>
  <w:style w:type="paragraph" w:styleId="Pavadinimas">
    <w:name w:val="Title"/>
    <w:basedOn w:val="prastasis"/>
    <w:next w:val="Antrinispavadinimas"/>
    <w:link w:val="PavadinimasDiagrama"/>
    <w:qFormat/>
    <w:pPr>
      <w:jc w:val="center"/>
    </w:pPr>
    <w:rPr>
      <w:b/>
      <w:sz w:val="24"/>
    </w:rPr>
  </w:style>
  <w:style w:type="paragraph" w:styleId="Antrinispavadinimas">
    <w:name w:val="Subtitle"/>
    <w:basedOn w:val="Antrat10"/>
    <w:next w:val="Pagrindinistekstas"/>
    <w:link w:val="AntrinispavadinimasDiagrama"/>
    <w:qFormat/>
    <w:pPr>
      <w:jc w:val="center"/>
    </w:pPr>
    <w:rPr>
      <w:i/>
      <w:iCs/>
    </w:rPr>
  </w:style>
  <w:style w:type="paragraph" w:styleId="Pagrindiniotekstotrauka">
    <w:name w:val="Body Text Indent"/>
    <w:basedOn w:val="prastasis"/>
    <w:pPr>
      <w:jc w:val="center"/>
    </w:pPr>
    <w:rPr>
      <w:sz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846AE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6846AE"/>
    <w:rPr>
      <w:rFonts w:ascii="Segoe UI" w:hAnsi="Segoe UI" w:cs="Segoe UI"/>
      <w:sz w:val="18"/>
      <w:szCs w:val="18"/>
      <w:lang w:eastAsia="ar-SA"/>
    </w:rPr>
  </w:style>
  <w:style w:type="character" w:customStyle="1" w:styleId="AntrinispavadinimasDiagrama">
    <w:name w:val="Antrinis pavadinimas Diagrama"/>
    <w:link w:val="Antrinispavadinimas"/>
    <w:rsid w:val="00297AB2"/>
    <w:rPr>
      <w:rFonts w:ascii="Arial" w:eastAsia="Microsoft YaHei" w:hAnsi="Arial" w:cs="Microsoft YaHei"/>
      <w:i/>
      <w:iCs/>
      <w:sz w:val="28"/>
      <w:szCs w:val="28"/>
      <w:lang w:eastAsia="ar-SA"/>
    </w:rPr>
  </w:style>
  <w:style w:type="character" w:customStyle="1" w:styleId="PavadinimasDiagrama">
    <w:name w:val="Pavadinimas Diagrama"/>
    <w:link w:val="Pavadinimas"/>
    <w:rsid w:val="00297AB2"/>
    <w:rPr>
      <w:rFonts w:cs="Microsoft YaHei"/>
      <w:b/>
      <w:sz w:val="24"/>
      <w:lang w:eastAsia="ar-SA"/>
    </w:rPr>
  </w:style>
  <w:style w:type="paragraph" w:styleId="Pagrindiniotekstotrauka3">
    <w:name w:val="Body Text Indent 3"/>
    <w:basedOn w:val="prastasis"/>
    <w:link w:val="Pagrindiniotekstotrauka3Diagrama"/>
    <w:uiPriority w:val="99"/>
    <w:semiHidden/>
    <w:unhideWhenUsed/>
    <w:rsid w:val="00297AB2"/>
    <w:pPr>
      <w:spacing w:after="120"/>
      <w:ind w:left="283"/>
    </w:pPr>
    <w:rPr>
      <w:rFonts w:cs="Mangal"/>
      <w:sz w:val="16"/>
      <w:szCs w:val="14"/>
      <w:lang w:val="en-US" w:eastAsia="hi-IN" w:bidi="hi-IN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rsid w:val="00297AB2"/>
    <w:rPr>
      <w:rFonts w:cs="Mangal"/>
      <w:sz w:val="16"/>
      <w:szCs w:val="14"/>
      <w:lang w:val="en-US"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pPr>
      <w:suppressAutoHyphens/>
    </w:pPr>
    <w:rPr>
      <w:rFonts w:cs="Microsoft YaHei"/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outlineLvl w:val="0"/>
    </w:pPr>
    <w:rPr>
      <w:sz w:val="24"/>
    </w:rPr>
  </w:style>
  <w:style w:type="character" w:default="1" w:styleId="Numatytasispastraiposriftas">
    <w:name w:val="Default Paragraph Font"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DefaultParagraphFont">
    <w:name w:val="Default Paragraph Font"/>
  </w:style>
  <w:style w:type="character" w:styleId="Puslapionumeris">
    <w:name w:val="page number"/>
    <w:basedOn w:val="DefaultParagraphFont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character" w:customStyle="1" w:styleId="Numeravimosimboliai">
    <w:name w:val="Numeravimo simboliai"/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Pagrindinistekstas">
    <w:name w:val="Body Text"/>
    <w:basedOn w:val="prastasis"/>
    <w:rPr>
      <w:sz w:val="24"/>
    </w:rPr>
  </w:style>
  <w:style w:type="paragraph" w:styleId="Sraas">
    <w:name w:val="List"/>
    <w:basedOn w:val="Pagrindinistekstas"/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customStyle="1" w:styleId="BalloonText">
    <w:name w:val="Balloon Text"/>
    <w:basedOn w:val="prastasis"/>
    <w:rPr>
      <w:rFonts w:ascii="Tahoma" w:hAnsi="Tahoma"/>
      <w:sz w:val="16"/>
      <w:szCs w:val="16"/>
    </w:rPr>
  </w:style>
  <w:style w:type="paragraph" w:styleId="Pavadinimas">
    <w:name w:val="Title"/>
    <w:basedOn w:val="prastasis"/>
    <w:next w:val="Antrinispavadinimas"/>
    <w:link w:val="PavadinimasDiagrama"/>
    <w:qFormat/>
    <w:pPr>
      <w:jc w:val="center"/>
    </w:pPr>
    <w:rPr>
      <w:b/>
      <w:sz w:val="24"/>
    </w:rPr>
  </w:style>
  <w:style w:type="paragraph" w:styleId="Antrinispavadinimas">
    <w:name w:val="Subtitle"/>
    <w:basedOn w:val="Antrat10"/>
    <w:next w:val="Pagrindinistekstas"/>
    <w:link w:val="AntrinispavadinimasDiagrama"/>
    <w:qFormat/>
    <w:pPr>
      <w:jc w:val="center"/>
    </w:pPr>
    <w:rPr>
      <w:i/>
      <w:iCs/>
    </w:rPr>
  </w:style>
  <w:style w:type="paragraph" w:styleId="Pagrindiniotekstotrauka">
    <w:name w:val="Body Text Indent"/>
    <w:basedOn w:val="prastasis"/>
    <w:pPr>
      <w:jc w:val="center"/>
    </w:pPr>
    <w:rPr>
      <w:sz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846AE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6846AE"/>
    <w:rPr>
      <w:rFonts w:ascii="Segoe UI" w:hAnsi="Segoe UI" w:cs="Segoe UI"/>
      <w:sz w:val="18"/>
      <w:szCs w:val="18"/>
      <w:lang w:eastAsia="ar-SA"/>
    </w:rPr>
  </w:style>
  <w:style w:type="character" w:customStyle="1" w:styleId="AntrinispavadinimasDiagrama">
    <w:name w:val="Antrinis pavadinimas Diagrama"/>
    <w:link w:val="Antrinispavadinimas"/>
    <w:rsid w:val="00297AB2"/>
    <w:rPr>
      <w:rFonts w:ascii="Arial" w:eastAsia="Microsoft YaHei" w:hAnsi="Arial" w:cs="Microsoft YaHei"/>
      <w:i/>
      <w:iCs/>
      <w:sz w:val="28"/>
      <w:szCs w:val="28"/>
      <w:lang w:eastAsia="ar-SA"/>
    </w:rPr>
  </w:style>
  <w:style w:type="character" w:customStyle="1" w:styleId="PavadinimasDiagrama">
    <w:name w:val="Pavadinimas Diagrama"/>
    <w:link w:val="Pavadinimas"/>
    <w:rsid w:val="00297AB2"/>
    <w:rPr>
      <w:rFonts w:cs="Microsoft YaHei"/>
      <w:b/>
      <w:sz w:val="24"/>
      <w:lang w:eastAsia="ar-SA"/>
    </w:rPr>
  </w:style>
  <w:style w:type="paragraph" w:styleId="Pagrindiniotekstotrauka3">
    <w:name w:val="Body Text Indent 3"/>
    <w:basedOn w:val="prastasis"/>
    <w:link w:val="Pagrindiniotekstotrauka3Diagrama"/>
    <w:uiPriority w:val="99"/>
    <w:semiHidden/>
    <w:unhideWhenUsed/>
    <w:rsid w:val="00297AB2"/>
    <w:pPr>
      <w:spacing w:after="120"/>
      <w:ind w:left="283"/>
    </w:pPr>
    <w:rPr>
      <w:rFonts w:cs="Mangal"/>
      <w:sz w:val="16"/>
      <w:szCs w:val="14"/>
      <w:lang w:val="en-US" w:eastAsia="hi-IN" w:bidi="hi-IN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rsid w:val="00297AB2"/>
    <w:rPr>
      <w:rFonts w:cs="Mangal"/>
      <w:sz w:val="16"/>
      <w:szCs w:val="14"/>
      <w:lang w:val="en-US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98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SAVIVALDYBE\SPRENDIMAI\Tarybos%20sprendimas.do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F64C8E-4CE8-4E10-94FD-9D9352966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Tarybos sprendimas</Template>
  <TotalTime>1</TotalTime>
  <Pages>2</Pages>
  <Words>2078</Words>
  <Characters>1186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>Hewlett-Packard Company</Company>
  <LinksUpToDate>false</LinksUpToDate>
  <CharactersWithSpaces>3258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eugenija</dc:creator>
  <cp:lastModifiedBy>Virginija Jurkstiene</cp:lastModifiedBy>
  <cp:revision>2</cp:revision>
  <cp:lastPrinted>2014-04-15T07:30:00Z</cp:lastPrinted>
  <dcterms:created xsi:type="dcterms:W3CDTF">2014-05-13T10:56:00Z</dcterms:created>
  <dcterms:modified xsi:type="dcterms:W3CDTF">2014-05-13T10:56:00Z</dcterms:modified>
</cp:coreProperties>
</file>