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1AA" w:rsidRPr="006F61AA" w:rsidRDefault="006F61AA" w:rsidP="006F61AA">
      <w:pPr>
        <w:pStyle w:val="Style14"/>
        <w:spacing w:line="240" w:lineRule="auto"/>
        <w:jc w:val="left"/>
        <w:rPr>
          <w:rStyle w:val="FontStyle115"/>
          <w:b w:val="0"/>
          <w:sz w:val="24"/>
          <w:szCs w:val="24"/>
        </w:rPr>
      </w:pPr>
      <w:r>
        <w:rPr>
          <w:rStyle w:val="FontStyle115"/>
          <w:sz w:val="24"/>
          <w:szCs w:val="24"/>
        </w:rPr>
        <w:tab/>
      </w:r>
      <w:r>
        <w:rPr>
          <w:rStyle w:val="FontStyle115"/>
          <w:sz w:val="24"/>
          <w:szCs w:val="24"/>
        </w:rPr>
        <w:tab/>
      </w:r>
      <w:r>
        <w:rPr>
          <w:rStyle w:val="FontStyle115"/>
          <w:sz w:val="24"/>
          <w:szCs w:val="24"/>
        </w:rPr>
        <w:tab/>
      </w:r>
      <w:r>
        <w:rPr>
          <w:rStyle w:val="FontStyle115"/>
          <w:sz w:val="24"/>
          <w:szCs w:val="24"/>
        </w:rPr>
        <w:tab/>
      </w:r>
      <w:r>
        <w:rPr>
          <w:rStyle w:val="FontStyle115"/>
          <w:sz w:val="24"/>
          <w:szCs w:val="24"/>
        </w:rPr>
        <w:tab/>
      </w:r>
      <w:r>
        <w:rPr>
          <w:rStyle w:val="FontStyle115"/>
          <w:sz w:val="24"/>
          <w:szCs w:val="24"/>
        </w:rPr>
        <w:tab/>
      </w:r>
      <w:r>
        <w:rPr>
          <w:rStyle w:val="FontStyle115"/>
          <w:sz w:val="24"/>
          <w:szCs w:val="24"/>
        </w:rPr>
        <w:tab/>
      </w:r>
      <w:r>
        <w:rPr>
          <w:rStyle w:val="FontStyle115"/>
          <w:sz w:val="24"/>
          <w:szCs w:val="24"/>
        </w:rPr>
        <w:tab/>
      </w:r>
      <w:r w:rsidRPr="006F61AA">
        <w:rPr>
          <w:rStyle w:val="FontStyle115"/>
          <w:b w:val="0"/>
          <w:sz w:val="24"/>
          <w:szCs w:val="24"/>
        </w:rPr>
        <w:t>PATVIRTINTA</w:t>
      </w:r>
    </w:p>
    <w:p w:rsidR="006F61AA" w:rsidRPr="006F61AA" w:rsidRDefault="006F61AA" w:rsidP="006F61AA">
      <w:pPr>
        <w:pStyle w:val="Style14"/>
        <w:spacing w:line="240" w:lineRule="auto"/>
        <w:jc w:val="left"/>
        <w:rPr>
          <w:rStyle w:val="FontStyle115"/>
          <w:b w:val="0"/>
          <w:sz w:val="24"/>
          <w:szCs w:val="24"/>
        </w:rPr>
      </w:pPr>
      <w:r>
        <w:rPr>
          <w:rStyle w:val="FontStyle115"/>
          <w:b w:val="0"/>
          <w:sz w:val="24"/>
          <w:szCs w:val="24"/>
        </w:rPr>
        <w:tab/>
      </w:r>
      <w:r>
        <w:rPr>
          <w:rStyle w:val="FontStyle115"/>
          <w:b w:val="0"/>
          <w:sz w:val="24"/>
          <w:szCs w:val="24"/>
        </w:rPr>
        <w:tab/>
      </w:r>
      <w:r>
        <w:rPr>
          <w:rStyle w:val="FontStyle115"/>
          <w:b w:val="0"/>
          <w:sz w:val="24"/>
          <w:szCs w:val="24"/>
        </w:rPr>
        <w:tab/>
      </w:r>
      <w:r>
        <w:rPr>
          <w:rStyle w:val="FontStyle115"/>
          <w:b w:val="0"/>
          <w:sz w:val="24"/>
          <w:szCs w:val="24"/>
        </w:rPr>
        <w:tab/>
      </w:r>
      <w:r>
        <w:rPr>
          <w:rStyle w:val="FontStyle115"/>
          <w:b w:val="0"/>
          <w:sz w:val="24"/>
          <w:szCs w:val="24"/>
        </w:rPr>
        <w:tab/>
      </w:r>
      <w:r>
        <w:rPr>
          <w:rStyle w:val="FontStyle115"/>
          <w:b w:val="0"/>
          <w:sz w:val="24"/>
          <w:szCs w:val="24"/>
        </w:rPr>
        <w:tab/>
      </w:r>
      <w:r>
        <w:rPr>
          <w:rStyle w:val="FontStyle115"/>
          <w:b w:val="0"/>
          <w:sz w:val="24"/>
          <w:szCs w:val="24"/>
        </w:rPr>
        <w:tab/>
      </w:r>
      <w:r>
        <w:rPr>
          <w:rStyle w:val="FontStyle115"/>
          <w:b w:val="0"/>
          <w:sz w:val="24"/>
          <w:szCs w:val="24"/>
        </w:rPr>
        <w:tab/>
        <w:t>Panevėžio rajono savivaldybės tarybos</w:t>
      </w:r>
    </w:p>
    <w:p w:rsidR="006F61AA" w:rsidRPr="006F61AA" w:rsidRDefault="006F61AA" w:rsidP="006F61AA">
      <w:pPr>
        <w:pStyle w:val="Style14"/>
        <w:spacing w:line="240" w:lineRule="auto"/>
        <w:jc w:val="left"/>
        <w:rPr>
          <w:rStyle w:val="FontStyle115"/>
          <w:b w:val="0"/>
          <w:sz w:val="24"/>
          <w:szCs w:val="24"/>
        </w:rPr>
      </w:pPr>
      <w:r>
        <w:rPr>
          <w:rStyle w:val="FontStyle115"/>
          <w:b w:val="0"/>
          <w:sz w:val="24"/>
          <w:szCs w:val="24"/>
        </w:rPr>
        <w:tab/>
      </w:r>
      <w:r>
        <w:rPr>
          <w:rStyle w:val="FontStyle115"/>
          <w:b w:val="0"/>
          <w:sz w:val="24"/>
          <w:szCs w:val="24"/>
        </w:rPr>
        <w:tab/>
      </w:r>
      <w:r>
        <w:rPr>
          <w:rStyle w:val="FontStyle115"/>
          <w:b w:val="0"/>
          <w:sz w:val="24"/>
          <w:szCs w:val="24"/>
        </w:rPr>
        <w:tab/>
      </w:r>
      <w:r>
        <w:rPr>
          <w:rStyle w:val="FontStyle115"/>
          <w:b w:val="0"/>
          <w:sz w:val="24"/>
          <w:szCs w:val="24"/>
        </w:rPr>
        <w:tab/>
      </w:r>
      <w:r>
        <w:rPr>
          <w:rStyle w:val="FontStyle115"/>
          <w:b w:val="0"/>
          <w:sz w:val="24"/>
          <w:szCs w:val="24"/>
        </w:rPr>
        <w:tab/>
      </w:r>
      <w:r>
        <w:rPr>
          <w:rStyle w:val="FontStyle115"/>
          <w:b w:val="0"/>
          <w:sz w:val="24"/>
          <w:szCs w:val="24"/>
        </w:rPr>
        <w:tab/>
      </w:r>
      <w:r>
        <w:rPr>
          <w:rStyle w:val="FontStyle115"/>
          <w:b w:val="0"/>
          <w:sz w:val="24"/>
          <w:szCs w:val="24"/>
        </w:rPr>
        <w:tab/>
      </w:r>
      <w:r>
        <w:rPr>
          <w:rStyle w:val="FontStyle115"/>
          <w:b w:val="0"/>
          <w:sz w:val="24"/>
          <w:szCs w:val="24"/>
        </w:rPr>
        <w:tab/>
        <w:t>2014 m. kovo 27 d. sprendimu Nr. T-56</w:t>
      </w:r>
      <w:bookmarkStart w:id="0" w:name="_GoBack"/>
      <w:bookmarkEnd w:id="0"/>
    </w:p>
    <w:p w:rsidR="006F61AA" w:rsidRDefault="006F61AA" w:rsidP="00765209">
      <w:pPr>
        <w:pStyle w:val="Style14"/>
        <w:spacing w:line="240" w:lineRule="auto"/>
        <w:jc w:val="center"/>
        <w:rPr>
          <w:rStyle w:val="FontStyle115"/>
          <w:sz w:val="24"/>
          <w:szCs w:val="24"/>
        </w:rPr>
      </w:pPr>
    </w:p>
    <w:p w:rsidR="006E60A4" w:rsidRDefault="00765209" w:rsidP="00765209">
      <w:pPr>
        <w:pStyle w:val="Style14"/>
        <w:spacing w:line="240" w:lineRule="auto"/>
        <w:jc w:val="center"/>
        <w:rPr>
          <w:rStyle w:val="FontStyle115"/>
          <w:sz w:val="24"/>
          <w:szCs w:val="24"/>
        </w:rPr>
      </w:pPr>
      <w:r w:rsidRPr="00E54173">
        <w:rPr>
          <w:rStyle w:val="FontStyle115"/>
          <w:sz w:val="24"/>
          <w:szCs w:val="24"/>
        </w:rPr>
        <w:t xml:space="preserve">VIEŠOSIOS ĮSTAIGOS KREKENAVOS PIRMINĖS SVEIKATOS </w:t>
      </w:r>
    </w:p>
    <w:p w:rsidR="009B03DA" w:rsidRDefault="00765209" w:rsidP="00765209">
      <w:pPr>
        <w:pStyle w:val="Style14"/>
        <w:spacing w:line="240" w:lineRule="auto"/>
        <w:jc w:val="center"/>
        <w:rPr>
          <w:rStyle w:val="FontStyle115"/>
          <w:sz w:val="24"/>
          <w:szCs w:val="24"/>
        </w:rPr>
      </w:pPr>
      <w:r w:rsidRPr="00E54173">
        <w:rPr>
          <w:rStyle w:val="FontStyle115"/>
          <w:sz w:val="24"/>
          <w:szCs w:val="24"/>
        </w:rPr>
        <w:t>PRIEŽIŪROS CENTRO</w:t>
      </w:r>
      <w:r w:rsidR="002C56CA">
        <w:rPr>
          <w:rStyle w:val="FontStyle115"/>
          <w:sz w:val="24"/>
          <w:szCs w:val="24"/>
        </w:rPr>
        <w:t xml:space="preserve"> </w:t>
      </w:r>
      <w:r w:rsidRPr="00E54173">
        <w:rPr>
          <w:rStyle w:val="FontStyle115"/>
          <w:sz w:val="24"/>
          <w:szCs w:val="24"/>
        </w:rPr>
        <w:t>201</w:t>
      </w:r>
      <w:r w:rsidR="0013017B">
        <w:rPr>
          <w:rStyle w:val="FontStyle115"/>
          <w:sz w:val="24"/>
          <w:szCs w:val="24"/>
        </w:rPr>
        <w:t>3</w:t>
      </w:r>
      <w:r w:rsidR="00777651" w:rsidRPr="00E54173">
        <w:rPr>
          <w:rStyle w:val="FontStyle115"/>
          <w:sz w:val="24"/>
          <w:szCs w:val="24"/>
        </w:rPr>
        <w:t xml:space="preserve"> METŲ</w:t>
      </w:r>
      <w:r w:rsidRPr="00E54173">
        <w:rPr>
          <w:rStyle w:val="FontStyle115"/>
          <w:sz w:val="24"/>
          <w:szCs w:val="24"/>
        </w:rPr>
        <w:t>AIŠKINAMASIS RAŠTAS</w:t>
      </w:r>
    </w:p>
    <w:p w:rsidR="000B6A10" w:rsidRPr="00E54173" w:rsidRDefault="00E8539F" w:rsidP="00E8539F">
      <w:pPr>
        <w:pStyle w:val="Style14"/>
        <w:spacing w:before="240" w:after="240" w:line="240" w:lineRule="auto"/>
        <w:jc w:val="center"/>
        <w:rPr>
          <w:rStyle w:val="FontStyle115"/>
          <w:sz w:val="24"/>
          <w:szCs w:val="24"/>
        </w:rPr>
      </w:pPr>
      <w:r>
        <w:rPr>
          <w:rStyle w:val="FontStyle115"/>
          <w:sz w:val="24"/>
          <w:szCs w:val="24"/>
        </w:rPr>
        <w:t xml:space="preserve">I. </w:t>
      </w:r>
      <w:r w:rsidR="000B6A10" w:rsidRPr="00E54173">
        <w:rPr>
          <w:rStyle w:val="FontStyle115"/>
          <w:sz w:val="24"/>
          <w:szCs w:val="24"/>
        </w:rPr>
        <w:t>BENDROJI INFORMACIJA</w:t>
      </w:r>
    </w:p>
    <w:p w:rsidR="00777651" w:rsidRDefault="00777651" w:rsidP="00777651">
      <w:pPr>
        <w:pStyle w:val="Style66"/>
        <w:spacing w:line="240" w:lineRule="auto"/>
        <w:ind w:firstLine="709"/>
        <w:jc w:val="both"/>
        <w:rPr>
          <w:rStyle w:val="FontStyle125"/>
          <w:i w:val="0"/>
          <w:sz w:val="24"/>
          <w:szCs w:val="24"/>
        </w:rPr>
      </w:pPr>
      <w:r>
        <w:t>Viešoji įstaiga Krekenavos pirmin</w:t>
      </w:r>
      <w:r w:rsidR="00E7014F">
        <w:t>ės sveikatos priežiūros centras</w:t>
      </w:r>
      <w:r>
        <w:t xml:space="preserve"> įregistruota</w:t>
      </w:r>
      <w:r w:rsidR="00E7014F">
        <w:t>s</w:t>
      </w:r>
      <w:r>
        <w:t xml:space="preserve"> VĮ Registrų centre, kodas </w:t>
      </w:r>
      <w:r w:rsidR="00933733">
        <w:t>302876116</w:t>
      </w:r>
      <w:r>
        <w:t xml:space="preserve">. </w:t>
      </w:r>
      <w:r w:rsidRPr="00777651">
        <w:rPr>
          <w:rStyle w:val="FontStyle125"/>
          <w:i w:val="0"/>
          <w:sz w:val="24"/>
          <w:szCs w:val="24"/>
        </w:rPr>
        <w:t>Adresas: Maironio g.</w:t>
      </w:r>
      <w:r w:rsidR="00E7014F">
        <w:rPr>
          <w:rStyle w:val="FontStyle125"/>
          <w:i w:val="0"/>
          <w:sz w:val="24"/>
          <w:szCs w:val="24"/>
        </w:rPr>
        <w:t xml:space="preserve"> </w:t>
      </w:r>
      <w:r w:rsidRPr="00777651">
        <w:rPr>
          <w:rStyle w:val="FontStyle125"/>
          <w:i w:val="0"/>
          <w:sz w:val="24"/>
          <w:szCs w:val="24"/>
        </w:rPr>
        <w:t>8, 38308, Krekenava, Panevėžio rajonas</w:t>
      </w:r>
      <w:r>
        <w:rPr>
          <w:rStyle w:val="FontStyle125"/>
          <w:i w:val="0"/>
          <w:sz w:val="24"/>
          <w:szCs w:val="24"/>
        </w:rPr>
        <w:t>.</w:t>
      </w:r>
    </w:p>
    <w:p w:rsidR="00777651" w:rsidRDefault="00777651" w:rsidP="00777651">
      <w:pPr>
        <w:pStyle w:val="Style66"/>
        <w:spacing w:line="240" w:lineRule="auto"/>
        <w:ind w:firstLine="709"/>
        <w:jc w:val="both"/>
      </w:pPr>
      <w:r>
        <w:t>Įstaiga ne PVM mokėtoja.</w:t>
      </w:r>
    </w:p>
    <w:p w:rsidR="000B6A10" w:rsidRPr="00777651" w:rsidRDefault="000418AB" w:rsidP="00777651">
      <w:pPr>
        <w:pStyle w:val="Style66"/>
        <w:spacing w:line="240" w:lineRule="auto"/>
        <w:ind w:firstLine="709"/>
        <w:jc w:val="both"/>
      </w:pPr>
      <w:r w:rsidRPr="00777651">
        <w:t xml:space="preserve">Įstaiga </w:t>
      </w:r>
      <w:r w:rsidR="00FB1DDA" w:rsidRPr="00777651">
        <w:t xml:space="preserve">yra Lietuvos nacionalinės sveikatos sistemos viešoji asmens sveikatos priežiūros ne pelno siekianti įstaiga, teikianti sveikatos priežiūros paslaugas pagal sutartis su Teritorine </w:t>
      </w:r>
      <w:r w:rsidR="00EF3E82" w:rsidRPr="00777651">
        <w:t>ligonių kasa</w:t>
      </w:r>
      <w:r w:rsidR="00933733">
        <w:t>.</w:t>
      </w:r>
      <w:r w:rsidR="00EF3E82" w:rsidRPr="00777651">
        <w:t xml:space="preserve"> </w:t>
      </w:r>
      <w:r w:rsidR="00777651" w:rsidRPr="00777651">
        <w:rPr>
          <w:rStyle w:val="FontStyle101"/>
          <w:sz w:val="24"/>
          <w:szCs w:val="24"/>
        </w:rPr>
        <w:t>VšĮ Krekenavos PSPC užsiima sveikatos priežiūros teikimo veikla.</w:t>
      </w:r>
    </w:p>
    <w:p w:rsidR="00777651" w:rsidRDefault="00777651" w:rsidP="00777651">
      <w:pPr>
        <w:pStyle w:val="Style93"/>
        <w:spacing w:line="240" w:lineRule="auto"/>
        <w:ind w:firstLine="709"/>
      </w:pPr>
      <w:r w:rsidRPr="00777651">
        <w:t>Įstaiga savo veikloje vadovaujasi L</w:t>
      </w:r>
      <w:r w:rsidR="00E7014F">
        <w:t xml:space="preserve">ietuvos </w:t>
      </w:r>
      <w:r w:rsidRPr="00777651">
        <w:t>R</w:t>
      </w:r>
      <w:r w:rsidR="00E7014F">
        <w:t>espublikos</w:t>
      </w:r>
      <w:r w:rsidRPr="00777651">
        <w:t xml:space="preserve"> Konstitucija, Sveikatos priežiūros įstaigų, Viešųjų įstaigų, Sveikatos draudimo ir k</w:t>
      </w:r>
      <w:r w:rsidR="00197882">
        <w:t xml:space="preserve">itais </w:t>
      </w:r>
      <w:r w:rsidRPr="00777651">
        <w:t>įstatymais bei teisė</w:t>
      </w:r>
      <w:r w:rsidR="00197882">
        <w:t>s aktais, o taip pat įstatais (</w:t>
      </w:r>
      <w:r w:rsidRPr="00777651">
        <w:t xml:space="preserve">nauja VšĮ Krekenavos PSPC įstatų redakcija patvirtinta Panevėžio rajono savivaldybės tarybos </w:t>
      </w:r>
      <w:r w:rsidR="00E7014F">
        <w:br/>
        <w:t xml:space="preserve">2012 </w:t>
      </w:r>
      <w:r w:rsidR="00E7014F" w:rsidRPr="00777651">
        <w:t xml:space="preserve">m. </w:t>
      </w:r>
      <w:r w:rsidR="00E7014F">
        <w:t>rugpjūčio</w:t>
      </w:r>
      <w:r w:rsidR="00E7014F" w:rsidRPr="00777651">
        <w:t xml:space="preserve"> 2</w:t>
      </w:r>
      <w:r w:rsidR="00E7014F">
        <w:t>3</w:t>
      </w:r>
      <w:r w:rsidR="00E7014F" w:rsidRPr="00777651">
        <w:t xml:space="preserve"> d. </w:t>
      </w:r>
      <w:r w:rsidRPr="00777651">
        <w:t>sprendimu Nr. T-1</w:t>
      </w:r>
      <w:r w:rsidR="0044715E">
        <w:t>41</w:t>
      </w:r>
      <w:r w:rsidRPr="00777651">
        <w:t xml:space="preserve">.) </w:t>
      </w:r>
    </w:p>
    <w:p w:rsidR="00FC0723" w:rsidRDefault="00FC0723" w:rsidP="00777651">
      <w:pPr>
        <w:pStyle w:val="Style93"/>
        <w:spacing w:line="240" w:lineRule="auto"/>
        <w:ind w:firstLine="709"/>
        <w:rPr>
          <w:rStyle w:val="FontStyle101"/>
          <w:sz w:val="24"/>
          <w:szCs w:val="24"/>
        </w:rPr>
      </w:pPr>
      <w:r w:rsidRPr="00777651">
        <w:rPr>
          <w:rStyle w:val="FontStyle101"/>
          <w:sz w:val="24"/>
          <w:szCs w:val="24"/>
        </w:rPr>
        <w:t>Ataskaitinis laikotarpis 201</w:t>
      </w:r>
      <w:r w:rsidR="00F855BF">
        <w:rPr>
          <w:rStyle w:val="FontStyle101"/>
          <w:sz w:val="24"/>
          <w:szCs w:val="24"/>
        </w:rPr>
        <w:t>3</w:t>
      </w:r>
      <w:r w:rsidRPr="00777651">
        <w:rPr>
          <w:rStyle w:val="FontStyle101"/>
          <w:sz w:val="24"/>
          <w:szCs w:val="24"/>
        </w:rPr>
        <w:t xml:space="preserve"> m. </w:t>
      </w:r>
      <w:r w:rsidR="00F855BF">
        <w:rPr>
          <w:rStyle w:val="FontStyle101"/>
          <w:sz w:val="24"/>
          <w:szCs w:val="24"/>
        </w:rPr>
        <w:t>sausio</w:t>
      </w:r>
      <w:r w:rsidR="00E7014F">
        <w:rPr>
          <w:rStyle w:val="FontStyle101"/>
          <w:sz w:val="24"/>
          <w:szCs w:val="24"/>
        </w:rPr>
        <w:t xml:space="preserve"> 1 d. –</w:t>
      </w:r>
      <w:r w:rsidR="00777651">
        <w:rPr>
          <w:rStyle w:val="FontStyle101"/>
          <w:sz w:val="24"/>
          <w:szCs w:val="24"/>
        </w:rPr>
        <w:t xml:space="preserve"> </w:t>
      </w:r>
      <w:r w:rsidRPr="00777651">
        <w:rPr>
          <w:rStyle w:val="FontStyle101"/>
          <w:sz w:val="24"/>
          <w:szCs w:val="24"/>
        </w:rPr>
        <w:t>201</w:t>
      </w:r>
      <w:r w:rsidR="00F855BF">
        <w:rPr>
          <w:rStyle w:val="FontStyle101"/>
          <w:sz w:val="24"/>
          <w:szCs w:val="24"/>
        </w:rPr>
        <w:t>3</w:t>
      </w:r>
      <w:r w:rsidRPr="00777651">
        <w:rPr>
          <w:rStyle w:val="FontStyle101"/>
          <w:sz w:val="24"/>
          <w:szCs w:val="24"/>
        </w:rPr>
        <w:t xml:space="preserve"> m. </w:t>
      </w:r>
      <w:r w:rsidR="00D12070">
        <w:rPr>
          <w:rStyle w:val="FontStyle101"/>
          <w:sz w:val="24"/>
          <w:szCs w:val="24"/>
        </w:rPr>
        <w:t>gruodžio</w:t>
      </w:r>
      <w:r w:rsidRPr="00777651">
        <w:rPr>
          <w:rStyle w:val="FontStyle101"/>
          <w:sz w:val="24"/>
          <w:szCs w:val="24"/>
        </w:rPr>
        <w:t xml:space="preserve"> 3</w:t>
      </w:r>
      <w:r w:rsidR="00D12070">
        <w:rPr>
          <w:rStyle w:val="FontStyle101"/>
          <w:sz w:val="24"/>
          <w:szCs w:val="24"/>
        </w:rPr>
        <w:t>1</w:t>
      </w:r>
      <w:r w:rsidRPr="00777651">
        <w:rPr>
          <w:rStyle w:val="FontStyle101"/>
          <w:sz w:val="24"/>
          <w:szCs w:val="24"/>
        </w:rPr>
        <w:t xml:space="preserve"> d.</w:t>
      </w:r>
    </w:p>
    <w:p w:rsidR="00777651" w:rsidRDefault="00777651" w:rsidP="00777651">
      <w:pPr>
        <w:pStyle w:val="Style93"/>
        <w:spacing w:line="240" w:lineRule="auto"/>
        <w:ind w:firstLine="709"/>
        <w:rPr>
          <w:rStyle w:val="FontStyle101"/>
          <w:sz w:val="24"/>
          <w:szCs w:val="24"/>
        </w:rPr>
      </w:pPr>
      <w:r w:rsidRPr="00777651">
        <w:rPr>
          <w:rStyle w:val="FontStyle101"/>
          <w:sz w:val="24"/>
          <w:szCs w:val="24"/>
        </w:rPr>
        <w:t>Įstaiga neturi kontroliuojamų ir asocijuotųjų subjektų.</w:t>
      </w:r>
    </w:p>
    <w:p w:rsidR="00C82BA2" w:rsidRPr="00777651" w:rsidRDefault="000B6A10" w:rsidP="00172326">
      <w:pPr>
        <w:pStyle w:val="Style93"/>
        <w:spacing w:after="100" w:afterAutospacing="1" w:line="240" w:lineRule="auto"/>
        <w:ind w:firstLine="709"/>
        <w:rPr>
          <w:rStyle w:val="FontStyle101"/>
          <w:sz w:val="24"/>
          <w:szCs w:val="24"/>
        </w:rPr>
      </w:pPr>
      <w:r w:rsidRPr="00777651">
        <w:rPr>
          <w:rStyle w:val="FontStyle101"/>
          <w:sz w:val="24"/>
          <w:szCs w:val="24"/>
        </w:rPr>
        <w:t>Ataskaitinio laikotarpio pabaigoje viešojo sektoriaus subjekto filialai ar kiti struktūriniai padaliniai buvo šie:</w:t>
      </w:r>
    </w:p>
    <w:tbl>
      <w:tblPr>
        <w:tblW w:w="5000" w:type="pct"/>
        <w:tblCellMar>
          <w:left w:w="40" w:type="dxa"/>
          <w:right w:w="40" w:type="dxa"/>
        </w:tblCellMar>
        <w:tblLook w:val="0000" w:firstRow="0" w:lastRow="0" w:firstColumn="0" w:lastColumn="0" w:noHBand="0" w:noVBand="0"/>
      </w:tblPr>
      <w:tblGrid>
        <w:gridCol w:w="445"/>
        <w:gridCol w:w="3389"/>
        <w:gridCol w:w="2625"/>
        <w:gridCol w:w="3543"/>
      </w:tblGrid>
      <w:tr w:rsidR="000B6A10" w:rsidRPr="00777651">
        <w:tblPrEx>
          <w:tblCellMar>
            <w:top w:w="0" w:type="dxa"/>
            <w:bottom w:w="0" w:type="dxa"/>
          </w:tblCellMar>
        </w:tblPrEx>
        <w:tc>
          <w:tcPr>
            <w:tcW w:w="222" w:type="pct"/>
            <w:tcBorders>
              <w:top w:val="single" w:sz="6" w:space="0" w:color="auto"/>
              <w:left w:val="single" w:sz="6" w:space="0" w:color="auto"/>
              <w:bottom w:val="single" w:sz="6" w:space="0" w:color="auto"/>
              <w:right w:val="single" w:sz="6" w:space="0" w:color="auto"/>
            </w:tcBorders>
            <w:vAlign w:val="center"/>
          </w:tcPr>
          <w:p w:rsidR="000B6A10" w:rsidRPr="00777651" w:rsidRDefault="000B6A10" w:rsidP="002764F6">
            <w:pPr>
              <w:pStyle w:val="Style13"/>
              <w:spacing w:line="240" w:lineRule="auto"/>
              <w:rPr>
                <w:rStyle w:val="FontStyle100"/>
                <w:sz w:val="24"/>
                <w:szCs w:val="24"/>
                <w:lang w:eastAsia="de-DE"/>
              </w:rPr>
            </w:pPr>
            <w:r w:rsidRPr="00777651">
              <w:rPr>
                <w:rStyle w:val="FontStyle100"/>
                <w:sz w:val="24"/>
                <w:szCs w:val="24"/>
                <w:lang w:eastAsia="de-DE"/>
              </w:rPr>
              <w:t>Eil. Nr.</w:t>
            </w:r>
          </w:p>
        </w:tc>
        <w:tc>
          <w:tcPr>
            <w:tcW w:w="1694" w:type="pct"/>
            <w:tcBorders>
              <w:top w:val="single" w:sz="6" w:space="0" w:color="auto"/>
              <w:left w:val="single" w:sz="6" w:space="0" w:color="auto"/>
              <w:bottom w:val="single" w:sz="6" w:space="0" w:color="auto"/>
              <w:right w:val="single" w:sz="6" w:space="0" w:color="auto"/>
            </w:tcBorders>
            <w:vAlign w:val="center"/>
          </w:tcPr>
          <w:p w:rsidR="000B6A10" w:rsidRPr="00777651" w:rsidRDefault="000B6A10" w:rsidP="002764F6">
            <w:pPr>
              <w:pStyle w:val="Style13"/>
              <w:spacing w:line="240" w:lineRule="auto"/>
              <w:rPr>
                <w:rStyle w:val="FontStyle100"/>
                <w:sz w:val="24"/>
                <w:szCs w:val="24"/>
              </w:rPr>
            </w:pPr>
            <w:r w:rsidRPr="00777651">
              <w:rPr>
                <w:rStyle w:val="FontStyle100"/>
                <w:sz w:val="24"/>
                <w:szCs w:val="24"/>
              </w:rPr>
              <w:t>Filialas / struktūrinis padalinys</w:t>
            </w:r>
          </w:p>
        </w:tc>
        <w:tc>
          <w:tcPr>
            <w:tcW w:w="1312" w:type="pct"/>
            <w:tcBorders>
              <w:top w:val="single" w:sz="6" w:space="0" w:color="auto"/>
              <w:left w:val="single" w:sz="6" w:space="0" w:color="auto"/>
              <w:bottom w:val="single" w:sz="6" w:space="0" w:color="auto"/>
              <w:right w:val="single" w:sz="6" w:space="0" w:color="auto"/>
            </w:tcBorders>
            <w:vAlign w:val="center"/>
          </w:tcPr>
          <w:p w:rsidR="000B6A10" w:rsidRPr="00777651" w:rsidRDefault="000B6A10" w:rsidP="002764F6">
            <w:pPr>
              <w:pStyle w:val="Style13"/>
              <w:spacing w:line="240" w:lineRule="auto"/>
              <w:rPr>
                <w:rStyle w:val="FontStyle100"/>
                <w:sz w:val="24"/>
                <w:szCs w:val="24"/>
              </w:rPr>
            </w:pPr>
            <w:r w:rsidRPr="00777651">
              <w:rPr>
                <w:rStyle w:val="FontStyle100"/>
                <w:sz w:val="24"/>
                <w:szCs w:val="24"/>
              </w:rPr>
              <w:t>Buveinės adresas</w:t>
            </w:r>
          </w:p>
        </w:tc>
        <w:tc>
          <w:tcPr>
            <w:tcW w:w="1771" w:type="pct"/>
            <w:tcBorders>
              <w:top w:val="single" w:sz="6" w:space="0" w:color="auto"/>
              <w:left w:val="single" w:sz="6" w:space="0" w:color="auto"/>
              <w:bottom w:val="single" w:sz="6" w:space="0" w:color="auto"/>
              <w:right w:val="single" w:sz="6" w:space="0" w:color="auto"/>
            </w:tcBorders>
            <w:vAlign w:val="center"/>
          </w:tcPr>
          <w:p w:rsidR="000B6A10" w:rsidRPr="00777651" w:rsidRDefault="000B6A10" w:rsidP="002764F6">
            <w:pPr>
              <w:pStyle w:val="Style13"/>
              <w:spacing w:line="240" w:lineRule="auto"/>
              <w:rPr>
                <w:rStyle w:val="FontStyle100"/>
                <w:sz w:val="24"/>
                <w:szCs w:val="24"/>
              </w:rPr>
            </w:pPr>
            <w:r w:rsidRPr="00777651">
              <w:rPr>
                <w:rStyle w:val="FontStyle100"/>
                <w:sz w:val="24"/>
                <w:szCs w:val="24"/>
              </w:rPr>
              <w:t>Pagrindinė veikla</w:t>
            </w:r>
          </w:p>
        </w:tc>
      </w:tr>
      <w:tr w:rsidR="000B6A10" w:rsidRPr="00777651">
        <w:tblPrEx>
          <w:tblCellMar>
            <w:top w:w="0" w:type="dxa"/>
            <w:bottom w:w="0" w:type="dxa"/>
          </w:tblCellMar>
        </w:tblPrEx>
        <w:tc>
          <w:tcPr>
            <w:tcW w:w="222" w:type="pct"/>
            <w:tcBorders>
              <w:top w:val="single" w:sz="6" w:space="0" w:color="auto"/>
              <w:left w:val="single" w:sz="6" w:space="0" w:color="auto"/>
              <w:bottom w:val="single" w:sz="6" w:space="0" w:color="auto"/>
              <w:right w:val="single" w:sz="6" w:space="0" w:color="auto"/>
            </w:tcBorders>
            <w:vAlign w:val="center"/>
          </w:tcPr>
          <w:p w:rsidR="000B6A10" w:rsidRPr="00777651" w:rsidRDefault="000B6A10" w:rsidP="002764F6">
            <w:pPr>
              <w:pStyle w:val="Style13"/>
              <w:spacing w:line="240" w:lineRule="auto"/>
              <w:rPr>
                <w:rStyle w:val="FontStyle100"/>
                <w:sz w:val="24"/>
                <w:szCs w:val="24"/>
              </w:rPr>
            </w:pPr>
            <w:r w:rsidRPr="00777651">
              <w:rPr>
                <w:rStyle w:val="FontStyle100"/>
                <w:sz w:val="24"/>
                <w:szCs w:val="24"/>
              </w:rPr>
              <w:t>1</w:t>
            </w:r>
          </w:p>
        </w:tc>
        <w:tc>
          <w:tcPr>
            <w:tcW w:w="1694" w:type="pct"/>
            <w:tcBorders>
              <w:top w:val="single" w:sz="6" w:space="0" w:color="auto"/>
              <w:left w:val="single" w:sz="6" w:space="0" w:color="auto"/>
              <w:bottom w:val="single" w:sz="6" w:space="0" w:color="auto"/>
              <w:right w:val="single" w:sz="6" w:space="0" w:color="auto"/>
            </w:tcBorders>
            <w:vAlign w:val="center"/>
          </w:tcPr>
          <w:p w:rsidR="000B6A10" w:rsidRPr="00777651" w:rsidRDefault="000B6A10" w:rsidP="002764F6">
            <w:pPr>
              <w:pStyle w:val="Style13"/>
              <w:spacing w:line="240" w:lineRule="auto"/>
              <w:rPr>
                <w:rStyle w:val="FontStyle100"/>
                <w:sz w:val="24"/>
                <w:szCs w:val="24"/>
              </w:rPr>
            </w:pPr>
            <w:r w:rsidRPr="00777651">
              <w:rPr>
                <w:rStyle w:val="FontStyle100"/>
                <w:sz w:val="24"/>
                <w:szCs w:val="24"/>
              </w:rPr>
              <w:t>2</w:t>
            </w:r>
          </w:p>
        </w:tc>
        <w:tc>
          <w:tcPr>
            <w:tcW w:w="1312" w:type="pct"/>
            <w:tcBorders>
              <w:top w:val="single" w:sz="6" w:space="0" w:color="auto"/>
              <w:left w:val="single" w:sz="6" w:space="0" w:color="auto"/>
              <w:bottom w:val="single" w:sz="6" w:space="0" w:color="auto"/>
              <w:right w:val="single" w:sz="6" w:space="0" w:color="auto"/>
            </w:tcBorders>
            <w:vAlign w:val="center"/>
          </w:tcPr>
          <w:p w:rsidR="000B6A10" w:rsidRPr="00777651" w:rsidRDefault="000B6A10" w:rsidP="002764F6">
            <w:pPr>
              <w:pStyle w:val="Style13"/>
              <w:spacing w:line="240" w:lineRule="auto"/>
              <w:rPr>
                <w:rStyle w:val="FontStyle100"/>
                <w:sz w:val="24"/>
                <w:szCs w:val="24"/>
              </w:rPr>
            </w:pPr>
            <w:r w:rsidRPr="00777651">
              <w:rPr>
                <w:rStyle w:val="FontStyle100"/>
                <w:sz w:val="24"/>
                <w:szCs w:val="24"/>
              </w:rPr>
              <w:t>3</w:t>
            </w:r>
          </w:p>
        </w:tc>
        <w:tc>
          <w:tcPr>
            <w:tcW w:w="1771" w:type="pct"/>
            <w:tcBorders>
              <w:top w:val="single" w:sz="6" w:space="0" w:color="auto"/>
              <w:left w:val="single" w:sz="6" w:space="0" w:color="auto"/>
              <w:bottom w:val="single" w:sz="6" w:space="0" w:color="auto"/>
              <w:right w:val="single" w:sz="6" w:space="0" w:color="auto"/>
            </w:tcBorders>
            <w:vAlign w:val="center"/>
          </w:tcPr>
          <w:p w:rsidR="000B6A10" w:rsidRPr="00777651" w:rsidRDefault="000B6A10" w:rsidP="002764F6">
            <w:pPr>
              <w:pStyle w:val="Style13"/>
              <w:spacing w:line="240" w:lineRule="auto"/>
              <w:rPr>
                <w:rStyle w:val="FontStyle100"/>
                <w:sz w:val="24"/>
                <w:szCs w:val="24"/>
              </w:rPr>
            </w:pPr>
            <w:r w:rsidRPr="00777651">
              <w:rPr>
                <w:rStyle w:val="FontStyle100"/>
                <w:sz w:val="24"/>
                <w:szCs w:val="24"/>
              </w:rPr>
              <w:t>4</w:t>
            </w:r>
          </w:p>
        </w:tc>
      </w:tr>
      <w:tr w:rsidR="000B6A10" w:rsidRPr="00777651">
        <w:tblPrEx>
          <w:tblCellMar>
            <w:top w:w="0" w:type="dxa"/>
            <w:bottom w:w="0" w:type="dxa"/>
          </w:tblCellMar>
        </w:tblPrEx>
        <w:tc>
          <w:tcPr>
            <w:tcW w:w="222" w:type="pct"/>
            <w:tcBorders>
              <w:top w:val="single" w:sz="6" w:space="0" w:color="auto"/>
              <w:left w:val="single" w:sz="6" w:space="0" w:color="auto"/>
              <w:bottom w:val="single" w:sz="6" w:space="0" w:color="auto"/>
              <w:right w:val="single" w:sz="6" w:space="0" w:color="auto"/>
            </w:tcBorders>
          </w:tcPr>
          <w:p w:rsidR="000B6A10" w:rsidRPr="00777651" w:rsidRDefault="00910407" w:rsidP="002764F6">
            <w:pPr>
              <w:pStyle w:val="Style12"/>
              <w:jc w:val="both"/>
              <w:rPr>
                <w:rStyle w:val="FontStyle101"/>
                <w:sz w:val="24"/>
                <w:szCs w:val="24"/>
              </w:rPr>
            </w:pPr>
            <w:r w:rsidRPr="00777651">
              <w:rPr>
                <w:rStyle w:val="FontStyle101"/>
                <w:sz w:val="24"/>
                <w:szCs w:val="24"/>
              </w:rPr>
              <w:t>1</w:t>
            </w:r>
          </w:p>
        </w:tc>
        <w:tc>
          <w:tcPr>
            <w:tcW w:w="1694" w:type="pct"/>
            <w:tcBorders>
              <w:top w:val="single" w:sz="6" w:space="0" w:color="auto"/>
              <w:left w:val="single" w:sz="6" w:space="0" w:color="auto"/>
              <w:bottom w:val="single" w:sz="6" w:space="0" w:color="auto"/>
              <w:right w:val="single" w:sz="6" w:space="0" w:color="auto"/>
            </w:tcBorders>
          </w:tcPr>
          <w:p w:rsidR="000B6A10" w:rsidRPr="00777651" w:rsidRDefault="00910407" w:rsidP="002764F6">
            <w:pPr>
              <w:pStyle w:val="Style5"/>
              <w:jc w:val="both"/>
            </w:pPr>
            <w:r w:rsidRPr="00777651">
              <w:t>Krekenavos ambulatorija</w:t>
            </w:r>
          </w:p>
        </w:tc>
        <w:tc>
          <w:tcPr>
            <w:tcW w:w="1312" w:type="pct"/>
            <w:tcBorders>
              <w:top w:val="single" w:sz="6" w:space="0" w:color="auto"/>
              <w:left w:val="single" w:sz="6" w:space="0" w:color="auto"/>
              <w:bottom w:val="single" w:sz="6" w:space="0" w:color="auto"/>
              <w:right w:val="single" w:sz="6" w:space="0" w:color="auto"/>
            </w:tcBorders>
          </w:tcPr>
          <w:p w:rsidR="000B6A10" w:rsidRPr="00777651" w:rsidRDefault="00910407" w:rsidP="00777651">
            <w:pPr>
              <w:pStyle w:val="Style5"/>
            </w:pPr>
            <w:r w:rsidRPr="00777651">
              <w:t>Maironio g.</w:t>
            </w:r>
            <w:r w:rsidR="00E7014F">
              <w:t xml:space="preserve"> </w:t>
            </w:r>
            <w:r w:rsidRPr="00777651">
              <w:t>8, Krekenava, Panevėžio rajonas</w:t>
            </w:r>
          </w:p>
        </w:tc>
        <w:tc>
          <w:tcPr>
            <w:tcW w:w="1771" w:type="pct"/>
            <w:tcBorders>
              <w:top w:val="single" w:sz="6" w:space="0" w:color="auto"/>
              <w:left w:val="single" w:sz="6" w:space="0" w:color="auto"/>
              <w:bottom w:val="single" w:sz="6" w:space="0" w:color="auto"/>
              <w:right w:val="single" w:sz="6" w:space="0" w:color="auto"/>
            </w:tcBorders>
          </w:tcPr>
          <w:p w:rsidR="000B6A10" w:rsidRPr="00777651" w:rsidRDefault="00DF05D8" w:rsidP="00777651">
            <w:pPr>
              <w:pStyle w:val="Style5"/>
            </w:pPr>
            <w:r w:rsidRPr="00777651">
              <w:t>Pirminė ambulatorinė asmens sveikatos priežiūra</w:t>
            </w:r>
          </w:p>
        </w:tc>
      </w:tr>
      <w:tr w:rsidR="000B6A10" w:rsidRPr="00777651">
        <w:tblPrEx>
          <w:tblCellMar>
            <w:top w:w="0" w:type="dxa"/>
            <w:bottom w:w="0" w:type="dxa"/>
          </w:tblCellMar>
        </w:tblPrEx>
        <w:tc>
          <w:tcPr>
            <w:tcW w:w="222" w:type="pct"/>
            <w:tcBorders>
              <w:top w:val="single" w:sz="6" w:space="0" w:color="auto"/>
              <w:left w:val="single" w:sz="6" w:space="0" w:color="auto"/>
              <w:bottom w:val="single" w:sz="6" w:space="0" w:color="auto"/>
              <w:right w:val="single" w:sz="6" w:space="0" w:color="auto"/>
            </w:tcBorders>
          </w:tcPr>
          <w:p w:rsidR="000B6A10" w:rsidRPr="00777651" w:rsidRDefault="00DF05D8" w:rsidP="002764F6">
            <w:pPr>
              <w:pStyle w:val="Style5"/>
              <w:jc w:val="both"/>
            </w:pPr>
            <w:r w:rsidRPr="00777651">
              <w:t>2</w:t>
            </w:r>
          </w:p>
        </w:tc>
        <w:tc>
          <w:tcPr>
            <w:tcW w:w="1694" w:type="pct"/>
            <w:tcBorders>
              <w:top w:val="single" w:sz="6" w:space="0" w:color="auto"/>
              <w:left w:val="single" w:sz="6" w:space="0" w:color="auto"/>
              <w:bottom w:val="single" w:sz="6" w:space="0" w:color="auto"/>
              <w:right w:val="single" w:sz="6" w:space="0" w:color="auto"/>
            </w:tcBorders>
          </w:tcPr>
          <w:p w:rsidR="000B6A10" w:rsidRPr="00777651" w:rsidRDefault="00DF05D8" w:rsidP="002764F6">
            <w:pPr>
              <w:pStyle w:val="Style5"/>
              <w:jc w:val="both"/>
            </w:pPr>
            <w:r w:rsidRPr="00777651">
              <w:t>Palaikomojo gydymo ir slaugos ligoninė</w:t>
            </w:r>
          </w:p>
        </w:tc>
        <w:tc>
          <w:tcPr>
            <w:tcW w:w="1312" w:type="pct"/>
            <w:tcBorders>
              <w:top w:val="single" w:sz="6" w:space="0" w:color="auto"/>
              <w:left w:val="single" w:sz="6" w:space="0" w:color="auto"/>
              <w:bottom w:val="single" w:sz="6" w:space="0" w:color="auto"/>
              <w:right w:val="single" w:sz="6" w:space="0" w:color="auto"/>
            </w:tcBorders>
          </w:tcPr>
          <w:p w:rsidR="000B6A10" w:rsidRPr="00777651" w:rsidRDefault="00DF05D8" w:rsidP="00777651">
            <w:pPr>
              <w:pStyle w:val="Style5"/>
            </w:pPr>
            <w:r w:rsidRPr="00777651">
              <w:t>Vytauto g.</w:t>
            </w:r>
            <w:r w:rsidR="00E7014F">
              <w:t xml:space="preserve"> </w:t>
            </w:r>
            <w:r w:rsidRPr="00777651">
              <w:t>42, Krekenava, Panevėžio rajonas</w:t>
            </w:r>
          </w:p>
        </w:tc>
        <w:tc>
          <w:tcPr>
            <w:tcW w:w="1771" w:type="pct"/>
            <w:tcBorders>
              <w:top w:val="single" w:sz="6" w:space="0" w:color="auto"/>
              <w:left w:val="single" w:sz="6" w:space="0" w:color="auto"/>
              <w:bottom w:val="single" w:sz="6" w:space="0" w:color="auto"/>
              <w:right w:val="single" w:sz="6" w:space="0" w:color="auto"/>
            </w:tcBorders>
          </w:tcPr>
          <w:p w:rsidR="000B6A10" w:rsidRPr="00777651" w:rsidRDefault="00DF05D8" w:rsidP="00777651">
            <w:pPr>
              <w:pStyle w:val="Style5"/>
            </w:pPr>
            <w:r w:rsidRPr="00777651">
              <w:t>Slaugos ir palaikomojo gydymo paslaugos</w:t>
            </w:r>
          </w:p>
        </w:tc>
      </w:tr>
      <w:tr w:rsidR="00DF05D8" w:rsidRPr="00777651">
        <w:tblPrEx>
          <w:tblCellMar>
            <w:top w:w="0" w:type="dxa"/>
            <w:bottom w:w="0" w:type="dxa"/>
          </w:tblCellMar>
        </w:tblPrEx>
        <w:tc>
          <w:tcPr>
            <w:tcW w:w="222" w:type="pct"/>
            <w:tcBorders>
              <w:top w:val="single" w:sz="6" w:space="0" w:color="auto"/>
              <w:left w:val="single" w:sz="6" w:space="0" w:color="auto"/>
              <w:bottom w:val="single" w:sz="6" w:space="0" w:color="auto"/>
              <w:right w:val="single" w:sz="6" w:space="0" w:color="auto"/>
            </w:tcBorders>
          </w:tcPr>
          <w:p w:rsidR="00DF05D8" w:rsidRPr="00777651" w:rsidRDefault="00DF05D8" w:rsidP="002764F6">
            <w:pPr>
              <w:pStyle w:val="Style5"/>
              <w:jc w:val="both"/>
            </w:pPr>
            <w:r w:rsidRPr="00777651">
              <w:t>3</w:t>
            </w:r>
          </w:p>
        </w:tc>
        <w:tc>
          <w:tcPr>
            <w:tcW w:w="1694" w:type="pct"/>
            <w:tcBorders>
              <w:top w:val="single" w:sz="6" w:space="0" w:color="auto"/>
              <w:left w:val="single" w:sz="6" w:space="0" w:color="auto"/>
              <w:bottom w:val="single" w:sz="6" w:space="0" w:color="auto"/>
              <w:right w:val="single" w:sz="6" w:space="0" w:color="auto"/>
            </w:tcBorders>
          </w:tcPr>
          <w:p w:rsidR="00DF05D8" w:rsidRPr="00777651" w:rsidRDefault="00DF05D8" w:rsidP="002764F6">
            <w:pPr>
              <w:pStyle w:val="Style5"/>
              <w:jc w:val="both"/>
            </w:pPr>
            <w:r w:rsidRPr="00777651">
              <w:t>Žibartonių medicinos punktas</w:t>
            </w:r>
          </w:p>
        </w:tc>
        <w:tc>
          <w:tcPr>
            <w:tcW w:w="1312" w:type="pct"/>
            <w:tcBorders>
              <w:top w:val="single" w:sz="6" w:space="0" w:color="auto"/>
              <w:left w:val="single" w:sz="6" w:space="0" w:color="auto"/>
              <w:bottom w:val="single" w:sz="6" w:space="0" w:color="auto"/>
              <w:right w:val="single" w:sz="6" w:space="0" w:color="auto"/>
            </w:tcBorders>
          </w:tcPr>
          <w:p w:rsidR="00DF05D8" w:rsidRPr="00777651" w:rsidRDefault="00DF05D8" w:rsidP="00777651">
            <w:pPr>
              <w:pStyle w:val="Style5"/>
            </w:pPr>
            <w:r w:rsidRPr="00777651">
              <w:t>Žibartonių g.</w:t>
            </w:r>
            <w:r w:rsidR="00E7014F">
              <w:t xml:space="preserve"> </w:t>
            </w:r>
            <w:r w:rsidRPr="00777651">
              <w:t>70, Žibartonių</w:t>
            </w:r>
            <w:r w:rsidR="00E7014F">
              <w:t xml:space="preserve"> k</w:t>
            </w:r>
            <w:r w:rsidRPr="00777651">
              <w:t>., Krekenavos sen., Panevėžio rajonas</w:t>
            </w:r>
          </w:p>
        </w:tc>
        <w:tc>
          <w:tcPr>
            <w:tcW w:w="1771" w:type="pct"/>
            <w:tcBorders>
              <w:top w:val="single" w:sz="6" w:space="0" w:color="auto"/>
              <w:left w:val="single" w:sz="6" w:space="0" w:color="auto"/>
              <w:bottom w:val="single" w:sz="6" w:space="0" w:color="auto"/>
              <w:right w:val="single" w:sz="6" w:space="0" w:color="auto"/>
            </w:tcBorders>
          </w:tcPr>
          <w:p w:rsidR="00DF05D8" w:rsidRPr="00777651" w:rsidRDefault="00DF05D8" w:rsidP="00777651">
            <w:pPr>
              <w:pStyle w:val="Style5"/>
            </w:pPr>
            <w:r w:rsidRPr="00777651">
              <w:t>Pirminė ambulatorinė asmens sveikatos priežiūra</w:t>
            </w:r>
          </w:p>
        </w:tc>
      </w:tr>
      <w:tr w:rsidR="00DF05D8" w:rsidRPr="00777651">
        <w:tblPrEx>
          <w:tblCellMar>
            <w:top w:w="0" w:type="dxa"/>
            <w:bottom w:w="0" w:type="dxa"/>
          </w:tblCellMar>
        </w:tblPrEx>
        <w:tc>
          <w:tcPr>
            <w:tcW w:w="222" w:type="pct"/>
            <w:tcBorders>
              <w:top w:val="single" w:sz="6" w:space="0" w:color="auto"/>
              <w:left w:val="single" w:sz="6" w:space="0" w:color="auto"/>
              <w:bottom w:val="single" w:sz="6" w:space="0" w:color="auto"/>
              <w:right w:val="single" w:sz="6" w:space="0" w:color="auto"/>
            </w:tcBorders>
          </w:tcPr>
          <w:p w:rsidR="00DF05D8" w:rsidRPr="00777651" w:rsidRDefault="00DF05D8" w:rsidP="002764F6">
            <w:pPr>
              <w:pStyle w:val="Style5"/>
              <w:jc w:val="both"/>
            </w:pPr>
            <w:r w:rsidRPr="00777651">
              <w:t>4</w:t>
            </w:r>
          </w:p>
        </w:tc>
        <w:tc>
          <w:tcPr>
            <w:tcW w:w="1694" w:type="pct"/>
            <w:tcBorders>
              <w:top w:val="single" w:sz="6" w:space="0" w:color="auto"/>
              <w:left w:val="single" w:sz="6" w:space="0" w:color="auto"/>
              <w:bottom w:val="single" w:sz="6" w:space="0" w:color="auto"/>
              <w:right w:val="single" w:sz="6" w:space="0" w:color="auto"/>
            </w:tcBorders>
          </w:tcPr>
          <w:p w:rsidR="00DF05D8" w:rsidRPr="00777651" w:rsidRDefault="00DF05D8" w:rsidP="002764F6">
            <w:pPr>
              <w:pStyle w:val="Style5"/>
              <w:jc w:val="both"/>
            </w:pPr>
            <w:r w:rsidRPr="00777651">
              <w:t>Linkaučių medicinos punktas</w:t>
            </w:r>
          </w:p>
        </w:tc>
        <w:tc>
          <w:tcPr>
            <w:tcW w:w="1312" w:type="pct"/>
            <w:tcBorders>
              <w:top w:val="single" w:sz="6" w:space="0" w:color="auto"/>
              <w:left w:val="single" w:sz="6" w:space="0" w:color="auto"/>
              <w:bottom w:val="single" w:sz="6" w:space="0" w:color="auto"/>
              <w:right w:val="single" w:sz="6" w:space="0" w:color="auto"/>
            </w:tcBorders>
          </w:tcPr>
          <w:p w:rsidR="00DF05D8" w:rsidRPr="00777651" w:rsidRDefault="00E7014F" w:rsidP="00777651">
            <w:pPr>
              <w:pStyle w:val="Style5"/>
            </w:pPr>
            <w:r>
              <w:t>Linkaučių k</w:t>
            </w:r>
            <w:r w:rsidR="00DF05D8" w:rsidRPr="00777651">
              <w:t>., Krekenavos sen., Panevėžio rajonas</w:t>
            </w:r>
          </w:p>
        </w:tc>
        <w:tc>
          <w:tcPr>
            <w:tcW w:w="1771" w:type="pct"/>
            <w:tcBorders>
              <w:top w:val="single" w:sz="6" w:space="0" w:color="auto"/>
              <w:left w:val="single" w:sz="6" w:space="0" w:color="auto"/>
              <w:bottom w:val="single" w:sz="6" w:space="0" w:color="auto"/>
              <w:right w:val="single" w:sz="6" w:space="0" w:color="auto"/>
            </w:tcBorders>
          </w:tcPr>
          <w:p w:rsidR="00DF05D8" w:rsidRPr="00777651" w:rsidRDefault="00DF05D8" w:rsidP="00777651">
            <w:pPr>
              <w:pStyle w:val="Style5"/>
            </w:pPr>
            <w:r w:rsidRPr="00777651">
              <w:t>Pirminė ambulatorinė asmens sveikatos priežiūra</w:t>
            </w:r>
          </w:p>
        </w:tc>
      </w:tr>
    </w:tbl>
    <w:p w:rsidR="000B6A10" w:rsidRPr="00777651" w:rsidRDefault="000B6A10" w:rsidP="002764F6">
      <w:pPr>
        <w:pStyle w:val="Style27"/>
        <w:spacing w:line="240" w:lineRule="auto"/>
      </w:pPr>
    </w:p>
    <w:p w:rsidR="000B6A10" w:rsidRPr="00777651" w:rsidRDefault="000B6A10" w:rsidP="005B4A94">
      <w:pPr>
        <w:pStyle w:val="Style27"/>
        <w:spacing w:line="240" w:lineRule="auto"/>
        <w:ind w:firstLine="709"/>
        <w:rPr>
          <w:rStyle w:val="FontStyle107"/>
          <w:sz w:val="24"/>
          <w:szCs w:val="24"/>
        </w:rPr>
      </w:pPr>
      <w:r w:rsidRPr="00777651">
        <w:rPr>
          <w:rStyle w:val="FontStyle107"/>
          <w:sz w:val="24"/>
          <w:szCs w:val="24"/>
        </w:rPr>
        <w:t>Vidutinis darbuotojų skaičius per ataskaitinį laikotarpį buvo:</w:t>
      </w:r>
    </w:p>
    <w:p w:rsidR="000B6A10" w:rsidRPr="00777651" w:rsidRDefault="000B6A10" w:rsidP="002764F6">
      <w:pPr>
        <w:jc w:val="both"/>
      </w:pPr>
    </w:p>
    <w:tbl>
      <w:tblPr>
        <w:tblW w:w="0" w:type="auto"/>
        <w:jc w:val="center"/>
        <w:tblLayout w:type="fixed"/>
        <w:tblCellMar>
          <w:left w:w="40" w:type="dxa"/>
          <w:right w:w="40" w:type="dxa"/>
        </w:tblCellMar>
        <w:tblLook w:val="0000" w:firstRow="0" w:lastRow="0" w:firstColumn="0" w:lastColumn="0" w:noHBand="0" w:noVBand="0"/>
      </w:tblPr>
      <w:tblGrid>
        <w:gridCol w:w="3379"/>
        <w:gridCol w:w="4157"/>
      </w:tblGrid>
      <w:tr w:rsidR="000B6A10" w:rsidRPr="00C03561">
        <w:tblPrEx>
          <w:tblCellMar>
            <w:top w:w="0" w:type="dxa"/>
            <w:bottom w:w="0" w:type="dxa"/>
          </w:tblCellMar>
        </w:tblPrEx>
        <w:trPr>
          <w:jc w:val="center"/>
        </w:trPr>
        <w:tc>
          <w:tcPr>
            <w:tcW w:w="3379" w:type="dxa"/>
            <w:tcBorders>
              <w:top w:val="single" w:sz="6" w:space="0" w:color="auto"/>
              <w:left w:val="single" w:sz="6" w:space="0" w:color="auto"/>
              <w:bottom w:val="single" w:sz="6" w:space="0" w:color="auto"/>
              <w:right w:val="single" w:sz="6" w:space="0" w:color="auto"/>
            </w:tcBorders>
          </w:tcPr>
          <w:p w:rsidR="000B6A10" w:rsidRPr="00C03561" w:rsidRDefault="000B6A10" w:rsidP="00C03561">
            <w:pPr>
              <w:pStyle w:val="Style71"/>
              <w:spacing w:line="240" w:lineRule="auto"/>
              <w:rPr>
                <w:rStyle w:val="FontStyle115"/>
                <w:sz w:val="24"/>
                <w:szCs w:val="24"/>
              </w:rPr>
            </w:pPr>
            <w:r w:rsidRPr="00C03561">
              <w:rPr>
                <w:rStyle w:val="FontStyle115"/>
                <w:sz w:val="24"/>
                <w:szCs w:val="24"/>
              </w:rPr>
              <w:t>Ataskaitinis laikotarpis</w:t>
            </w:r>
          </w:p>
        </w:tc>
        <w:tc>
          <w:tcPr>
            <w:tcW w:w="4157" w:type="dxa"/>
            <w:tcBorders>
              <w:top w:val="single" w:sz="6" w:space="0" w:color="auto"/>
              <w:left w:val="single" w:sz="6" w:space="0" w:color="auto"/>
              <w:bottom w:val="single" w:sz="6" w:space="0" w:color="auto"/>
              <w:right w:val="single" w:sz="6" w:space="0" w:color="auto"/>
            </w:tcBorders>
          </w:tcPr>
          <w:p w:rsidR="000B6A10" w:rsidRPr="00C03561" w:rsidRDefault="000B6A10" w:rsidP="00C03561">
            <w:pPr>
              <w:pStyle w:val="Style71"/>
              <w:spacing w:line="240" w:lineRule="auto"/>
              <w:rPr>
                <w:rStyle w:val="FontStyle115"/>
                <w:sz w:val="24"/>
                <w:szCs w:val="24"/>
              </w:rPr>
            </w:pPr>
            <w:r w:rsidRPr="00C03561">
              <w:rPr>
                <w:rStyle w:val="FontStyle115"/>
                <w:sz w:val="24"/>
                <w:szCs w:val="24"/>
              </w:rPr>
              <w:t>Praėjęs ataskaitinis laikotarpis</w:t>
            </w:r>
          </w:p>
        </w:tc>
      </w:tr>
      <w:tr w:rsidR="000B6A10" w:rsidRPr="00777651">
        <w:tblPrEx>
          <w:tblCellMar>
            <w:top w:w="0" w:type="dxa"/>
            <w:bottom w:w="0" w:type="dxa"/>
          </w:tblCellMar>
        </w:tblPrEx>
        <w:trPr>
          <w:jc w:val="center"/>
        </w:trPr>
        <w:tc>
          <w:tcPr>
            <w:tcW w:w="3379" w:type="dxa"/>
            <w:tcBorders>
              <w:top w:val="single" w:sz="6" w:space="0" w:color="auto"/>
              <w:left w:val="single" w:sz="6" w:space="0" w:color="auto"/>
              <w:bottom w:val="single" w:sz="6" w:space="0" w:color="auto"/>
              <w:right w:val="single" w:sz="6" w:space="0" w:color="auto"/>
            </w:tcBorders>
          </w:tcPr>
          <w:p w:rsidR="000B6A10" w:rsidRPr="00C03561" w:rsidRDefault="0011596E" w:rsidP="00900FEE">
            <w:pPr>
              <w:pStyle w:val="Style5"/>
              <w:jc w:val="center"/>
            </w:pPr>
            <w:r w:rsidRPr="00C03561">
              <w:t>3</w:t>
            </w:r>
            <w:r w:rsidR="00FE6CD0">
              <w:t>1</w:t>
            </w:r>
          </w:p>
        </w:tc>
        <w:tc>
          <w:tcPr>
            <w:tcW w:w="4157" w:type="dxa"/>
            <w:tcBorders>
              <w:top w:val="single" w:sz="6" w:space="0" w:color="auto"/>
              <w:left w:val="single" w:sz="6" w:space="0" w:color="auto"/>
              <w:bottom w:val="single" w:sz="6" w:space="0" w:color="auto"/>
              <w:right w:val="single" w:sz="6" w:space="0" w:color="auto"/>
            </w:tcBorders>
          </w:tcPr>
          <w:p w:rsidR="000B6A10" w:rsidRPr="00777651" w:rsidRDefault="00FE6CD0" w:rsidP="00900FEE">
            <w:pPr>
              <w:pStyle w:val="Style5"/>
              <w:jc w:val="center"/>
            </w:pPr>
            <w:r>
              <w:t>33</w:t>
            </w:r>
          </w:p>
        </w:tc>
      </w:tr>
    </w:tbl>
    <w:p w:rsidR="007F2C97" w:rsidRDefault="007F2C97" w:rsidP="007F2C97">
      <w:pPr>
        <w:pStyle w:val="Style93"/>
        <w:spacing w:line="240" w:lineRule="auto"/>
        <w:ind w:firstLine="709"/>
      </w:pPr>
    </w:p>
    <w:p w:rsidR="007F2C97" w:rsidRDefault="007F2C97" w:rsidP="007F2C97">
      <w:pPr>
        <w:pStyle w:val="Style93"/>
        <w:spacing w:line="240" w:lineRule="auto"/>
        <w:ind w:firstLine="709"/>
        <w:rPr>
          <w:rStyle w:val="FontStyle101"/>
        </w:rPr>
      </w:pPr>
      <w:r>
        <w:t xml:space="preserve">Panevėžio rajono </w:t>
      </w:r>
      <w:r w:rsidR="00E7014F">
        <w:t xml:space="preserve">savivaldybės </w:t>
      </w:r>
      <w:r>
        <w:t>tarybos 2012 m. rugpjūčio 23 d. sprendimu Nr. T-141 įstaiga</w:t>
      </w:r>
      <w:r w:rsidR="00575969">
        <w:t xml:space="preserve"> nuo 2012-10-01</w:t>
      </w:r>
      <w:r>
        <w:t xml:space="preserve"> buvo reorganizuota padalijimo būdu, todėl </w:t>
      </w:r>
      <w:r w:rsidR="003E0109">
        <w:t>2013</w:t>
      </w:r>
      <w:r w:rsidR="00E7014F">
        <w:t xml:space="preserve"> </w:t>
      </w:r>
      <w:r w:rsidR="003E0109">
        <w:t>m. a</w:t>
      </w:r>
      <w:r>
        <w:t>taskaitinio laikotarpio palyginti su praėjusi</w:t>
      </w:r>
      <w:r w:rsidR="00575969">
        <w:t>o</w:t>
      </w:r>
      <w:r>
        <w:t xml:space="preserve"> ataskaitini</w:t>
      </w:r>
      <w:r w:rsidR="00575969">
        <w:t>o</w:t>
      </w:r>
      <w:r>
        <w:t xml:space="preserve"> laikotarpi</w:t>
      </w:r>
      <w:r w:rsidR="00575969">
        <w:t xml:space="preserve">o </w:t>
      </w:r>
      <w:r>
        <w:t xml:space="preserve">duomenimis negalime. </w:t>
      </w:r>
    </w:p>
    <w:p w:rsidR="000B6A10" w:rsidRPr="00777651" w:rsidRDefault="000B6A10" w:rsidP="002764F6">
      <w:pPr>
        <w:pStyle w:val="Style27"/>
        <w:spacing w:line="240" w:lineRule="auto"/>
      </w:pPr>
    </w:p>
    <w:p w:rsidR="0000322F" w:rsidRPr="0000322F" w:rsidRDefault="00E7014F" w:rsidP="00E7014F">
      <w:pPr>
        <w:pStyle w:val="Style42"/>
        <w:spacing w:after="240"/>
        <w:rPr>
          <w:rStyle w:val="FontStyle115"/>
          <w:b w:val="0"/>
          <w:bCs w:val="0"/>
          <w:sz w:val="24"/>
          <w:szCs w:val="24"/>
        </w:rPr>
      </w:pPr>
      <w:r>
        <w:rPr>
          <w:rStyle w:val="FontStyle115"/>
          <w:sz w:val="24"/>
          <w:szCs w:val="24"/>
        </w:rPr>
        <w:t xml:space="preserve">II. </w:t>
      </w:r>
      <w:r w:rsidR="000B6A10" w:rsidRPr="00E54173">
        <w:rPr>
          <w:rStyle w:val="FontStyle115"/>
          <w:sz w:val="24"/>
          <w:szCs w:val="24"/>
        </w:rPr>
        <w:t>APSKAITOS POLITIKA</w:t>
      </w:r>
    </w:p>
    <w:p w:rsidR="00B45C76" w:rsidRPr="00D81683" w:rsidRDefault="00D20693" w:rsidP="00D20693">
      <w:pPr>
        <w:pStyle w:val="Style42"/>
        <w:spacing w:after="240"/>
        <w:rPr>
          <w:b/>
        </w:rPr>
      </w:pPr>
      <w:r>
        <w:rPr>
          <w:b/>
        </w:rPr>
        <w:t xml:space="preserve">1. </w:t>
      </w:r>
      <w:r w:rsidR="00B45C76" w:rsidRPr="00D81683">
        <w:rPr>
          <w:b/>
        </w:rPr>
        <w:t>Finansinių ataskaitų parengimo pagrindas</w:t>
      </w:r>
    </w:p>
    <w:p w:rsidR="00C03561" w:rsidRDefault="00C03561" w:rsidP="005E7D60">
      <w:pPr>
        <w:pStyle w:val="HTMLiankstoformatuotas"/>
        <w:ind w:firstLine="709"/>
        <w:jc w:val="both"/>
        <w:rPr>
          <w:rFonts w:ascii="Times New Roman" w:hAnsi="Times New Roman" w:cs="Times New Roman"/>
          <w:sz w:val="24"/>
          <w:szCs w:val="24"/>
        </w:rPr>
      </w:pPr>
      <w:r w:rsidRPr="00777651">
        <w:rPr>
          <w:rFonts w:ascii="Times New Roman" w:hAnsi="Times New Roman" w:cs="Times New Roman"/>
          <w:sz w:val="24"/>
          <w:szCs w:val="24"/>
        </w:rPr>
        <w:t>Įstaigoje buhalterinė apskaita tvarkoma vadovaujantis L</w:t>
      </w:r>
      <w:r w:rsidR="00166338">
        <w:rPr>
          <w:rFonts w:ascii="Times New Roman" w:hAnsi="Times New Roman" w:cs="Times New Roman"/>
          <w:sz w:val="24"/>
          <w:szCs w:val="24"/>
        </w:rPr>
        <w:t xml:space="preserve">ietuvos </w:t>
      </w:r>
      <w:r w:rsidRPr="00777651">
        <w:rPr>
          <w:rFonts w:ascii="Times New Roman" w:hAnsi="Times New Roman" w:cs="Times New Roman"/>
          <w:sz w:val="24"/>
          <w:szCs w:val="24"/>
        </w:rPr>
        <w:t>R</w:t>
      </w:r>
      <w:r w:rsidR="00166338">
        <w:rPr>
          <w:rFonts w:ascii="Times New Roman" w:hAnsi="Times New Roman" w:cs="Times New Roman"/>
          <w:sz w:val="24"/>
          <w:szCs w:val="24"/>
        </w:rPr>
        <w:t>espublikos b</w:t>
      </w:r>
      <w:r w:rsidRPr="00777651">
        <w:rPr>
          <w:rFonts w:ascii="Times New Roman" w:hAnsi="Times New Roman" w:cs="Times New Roman"/>
          <w:sz w:val="24"/>
          <w:szCs w:val="24"/>
        </w:rPr>
        <w:t>uhalterinės apskaitos įstatymu, L</w:t>
      </w:r>
      <w:r w:rsidR="00166338">
        <w:rPr>
          <w:rFonts w:ascii="Times New Roman" w:hAnsi="Times New Roman" w:cs="Times New Roman"/>
          <w:sz w:val="24"/>
          <w:szCs w:val="24"/>
        </w:rPr>
        <w:t xml:space="preserve">ietuvos </w:t>
      </w:r>
      <w:r w:rsidRPr="00777651">
        <w:rPr>
          <w:rFonts w:ascii="Times New Roman" w:hAnsi="Times New Roman" w:cs="Times New Roman"/>
          <w:sz w:val="24"/>
          <w:szCs w:val="24"/>
        </w:rPr>
        <w:t>R</w:t>
      </w:r>
      <w:r w:rsidR="00166338">
        <w:rPr>
          <w:rFonts w:ascii="Times New Roman" w:hAnsi="Times New Roman" w:cs="Times New Roman"/>
          <w:sz w:val="24"/>
          <w:szCs w:val="24"/>
        </w:rPr>
        <w:t>espublikos v</w:t>
      </w:r>
      <w:r w:rsidRPr="00777651">
        <w:rPr>
          <w:rFonts w:ascii="Times New Roman" w:hAnsi="Times New Roman" w:cs="Times New Roman"/>
          <w:sz w:val="24"/>
          <w:szCs w:val="24"/>
        </w:rPr>
        <w:t>iešųjų įstaigų įstatymu, L</w:t>
      </w:r>
      <w:r w:rsidR="00166338">
        <w:rPr>
          <w:rFonts w:ascii="Times New Roman" w:hAnsi="Times New Roman" w:cs="Times New Roman"/>
          <w:sz w:val="24"/>
          <w:szCs w:val="24"/>
        </w:rPr>
        <w:t xml:space="preserve">ietuvos </w:t>
      </w:r>
      <w:r w:rsidRPr="00777651">
        <w:rPr>
          <w:rFonts w:ascii="Times New Roman" w:hAnsi="Times New Roman" w:cs="Times New Roman"/>
          <w:sz w:val="24"/>
          <w:szCs w:val="24"/>
        </w:rPr>
        <w:t>R</w:t>
      </w:r>
      <w:r w:rsidR="00166338">
        <w:rPr>
          <w:rFonts w:ascii="Times New Roman" w:hAnsi="Times New Roman" w:cs="Times New Roman"/>
          <w:sz w:val="24"/>
          <w:szCs w:val="24"/>
        </w:rPr>
        <w:t>espublikos</w:t>
      </w:r>
      <w:r w:rsidRPr="00777651">
        <w:rPr>
          <w:rFonts w:ascii="Times New Roman" w:hAnsi="Times New Roman" w:cs="Times New Roman"/>
          <w:sz w:val="24"/>
          <w:szCs w:val="24"/>
        </w:rPr>
        <w:t xml:space="preserve"> viešojo sektoriaus atskaitomybės įstatymu, Viešojo sektoriaus apskaitos ir finansinės atskaitomybės standartais </w:t>
      </w:r>
      <w:r w:rsidRPr="00777651">
        <w:rPr>
          <w:rFonts w:ascii="Times New Roman" w:hAnsi="Times New Roman" w:cs="Times New Roman"/>
          <w:sz w:val="24"/>
          <w:szCs w:val="24"/>
        </w:rPr>
        <w:lastRenderedPageBreak/>
        <w:t xml:space="preserve">(toliau VSAFAS) ir kitais Lietuvos </w:t>
      </w:r>
      <w:r>
        <w:rPr>
          <w:rFonts w:ascii="Times New Roman" w:hAnsi="Times New Roman" w:cs="Times New Roman"/>
          <w:sz w:val="24"/>
          <w:szCs w:val="24"/>
        </w:rPr>
        <w:t>R</w:t>
      </w:r>
      <w:r w:rsidRPr="00777651">
        <w:rPr>
          <w:rFonts w:ascii="Times New Roman" w:hAnsi="Times New Roman" w:cs="Times New Roman"/>
          <w:sz w:val="24"/>
          <w:szCs w:val="24"/>
        </w:rPr>
        <w:t xml:space="preserve">espublikos Vyriausybės teisės aktais. Įstaigos buhalterinė apskaita kompiuterizuota, dirbama su buhalterinės apskaitos programa „Trade Pro 6“. </w:t>
      </w:r>
    </w:p>
    <w:p w:rsidR="00C03561" w:rsidRDefault="00C03561" w:rsidP="005E7D60">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Įstaigos</w:t>
      </w:r>
      <w:r w:rsidRPr="00777651">
        <w:rPr>
          <w:rFonts w:ascii="Times New Roman" w:hAnsi="Times New Roman" w:cs="Times New Roman"/>
          <w:sz w:val="24"/>
          <w:szCs w:val="24"/>
        </w:rPr>
        <w:t xml:space="preserve"> žemesniojo lygio finansinių ataskaitų rinkin</w:t>
      </w:r>
      <w:r>
        <w:rPr>
          <w:rFonts w:ascii="Times New Roman" w:hAnsi="Times New Roman" w:cs="Times New Roman"/>
          <w:sz w:val="24"/>
          <w:szCs w:val="24"/>
        </w:rPr>
        <w:t>ys sudarytas pagal VSAFAS.</w:t>
      </w:r>
    </w:p>
    <w:p w:rsidR="00B45C76" w:rsidRPr="00257C26" w:rsidRDefault="00B45C76" w:rsidP="005E7D60">
      <w:pPr>
        <w:ind w:firstLine="709"/>
        <w:jc w:val="both"/>
        <w:rPr>
          <w:bCs/>
          <w:color w:val="000000"/>
        </w:rPr>
      </w:pPr>
      <w:r w:rsidRPr="00257C26">
        <w:rPr>
          <w:bCs/>
          <w:color w:val="000000"/>
        </w:rPr>
        <w:t>Šiame ataskaitų rinkinyje pateikiami duomenys išreiškiami Lietuvos Respublikos pinigini</w:t>
      </w:r>
      <w:r>
        <w:rPr>
          <w:bCs/>
          <w:color w:val="000000"/>
        </w:rPr>
        <w:t>ais</w:t>
      </w:r>
      <w:r w:rsidRPr="00257C26">
        <w:rPr>
          <w:bCs/>
          <w:color w:val="000000"/>
        </w:rPr>
        <w:t xml:space="preserve"> vienet</w:t>
      </w:r>
      <w:r>
        <w:rPr>
          <w:bCs/>
          <w:color w:val="000000"/>
        </w:rPr>
        <w:t>ais</w:t>
      </w:r>
      <w:r w:rsidRPr="00257C26">
        <w:rPr>
          <w:bCs/>
          <w:color w:val="000000"/>
        </w:rPr>
        <w:t xml:space="preserve"> – lit</w:t>
      </w:r>
      <w:r>
        <w:rPr>
          <w:bCs/>
          <w:color w:val="000000"/>
        </w:rPr>
        <w:t>ais</w:t>
      </w:r>
      <w:r w:rsidRPr="00257C26">
        <w:rPr>
          <w:bCs/>
          <w:color w:val="000000"/>
        </w:rPr>
        <w:t>.</w:t>
      </w:r>
    </w:p>
    <w:p w:rsidR="000B6A10" w:rsidRDefault="000B6A10" w:rsidP="00172326">
      <w:pPr>
        <w:spacing w:before="240" w:after="240"/>
        <w:jc w:val="center"/>
        <w:rPr>
          <w:b/>
          <w:bCs/>
          <w:color w:val="000000"/>
        </w:rPr>
      </w:pPr>
      <w:r w:rsidRPr="00B45C76">
        <w:rPr>
          <w:b/>
          <w:bCs/>
          <w:color w:val="000000"/>
        </w:rPr>
        <w:t>Nematerialusis turtas</w:t>
      </w:r>
    </w:p>
    <w:p w:rsidR="00B45C76" w:rsidRPr="00777651" w:rsidRDefault="00B45C76" w:rsidP="005E7D60">
      <w:pPr>
        <w:ind w:firstLine="709"/>
        <w:jc w:val="both"/>
      </w:pPr>
      <w:r w:rsidRPr="00777651">
        <w:t xml:space="preserve">Nematerialusis turtas apskaitomas vadovaujantis 13-u VSAFAS „Nematerialusis turtas“ ir bendraisiais apskaitos principais. Nematerialus turtas apskaitoje registruojamas įsigijimo savikaina, o finansinės būklės ataskaitoje atvaizduojamas likutine verte. </w:t>
      </w:r>
      <w:r w:rsidRPr="00777651">
        <w:rPr>
          <w:bCs/>
        </w:rPr>
        <w:t>Nematerialiojo turto likutinė vertė</w:t>
      </w:r>
      <w:r w:rsidRPr="00777651">
        <w:t xml:space="preserve"> – suma, apskaičiuojama prie nematerialiojo turto įsigijimo savikainos pridedant arba iš jos atimant visas nematerialiojo turto vertės pokyčių sumas ir atima</w:t>
      </w:r>
      <w:r w:rsidR="00166338">
        <w:t>nt sukauptą amortizacijos sumą.</w:t>
      </w:r>
      <w:r w:rsidRPr="00777651">
        <w:t xml:space="preserve"> Nematerialiojo turto amortizacija skaičiuojama taikant tiesiogiai proporcingą amortizacijos skaičiavimo metodą. Nematerialiojo turto vieneto amortizacija pradedama skaičiuoti nuo kito mėnesio 1 d., kai šis turtas pradedamas naudoti. Amortizacija nebeskaičiuojama nuo kito mėnesio 1 d., kai naudojamo nematerialiojo turto likutinė vertė sutampa su jo likvidacine verte, kai turtas perleidžiamas, nurašomas arba kai apskaičiuojamas ir užregistruojamas to turto nuvertėjimas, lygus jo likutines vertės sumai. </w:t>
      </w:r>
    </w:p>
    <w:p w:rsidR="00B45C76" w:rsidRDefault="00B45C76" w:rsidP="005E7D60">
      <w:pPr>
        <w:spacing w:after="100" w:afterAutospacing="1"/>
        <w:ind w:firstLine="851"/>
        <w:jc w:val="both"/>
        <w:rPr>
          <w:rStyle w:val="BoldItalic"/>
          <w:b w:val="0"/>
          <w:i w:val="0"/>
        </w:rPr>
      </w:pPr>
      <w:r w:rsidRPr="00777651">
        <w:t xml:space="preserve">Skaičiuojant nematerialaus turto amortizaciją, įstaiga taiko </w:t>
      </w:r>
      <w:r w:rsidRPr="00777651">
        <w:rPr>
          <w:rStyle w:val="BoldItalic"/>
          <w:b w:val="0"/>
          <w:i w:val="0"/>
        </w:rPr>
        <w:t>nematerialiojo turto amortizacijos normatyvus, patvirtin</w:t>
      </w:r>
      <w:r w:rsidR="00166338">
        <w:rPr>
          <w:rStyle w:val="BoldItalic"/>
          <w:b w:val="0"/>
          <w:i w:val="0"/>
        </w:rPr>
        <w:t>tus vyr. gydytojo 2009-12-30</w:t>
      </w:r>
      <w:r w:rsidRPr="00777651">
        <w:rPr>
          <w:rStyle w:val="BoldItalic"/>
          <w:b w:val="0"/>
          <w:i w:val="0"/>
        </w:rPr>
        <w:t xml:space="preserve"> įsakymu Nr.</w:t>
      </w:r>
      <w:r w:rsidR="00166338">
        <w:rPr>
          <w:rStyle w:val="BoldItalic"/>
          <w:b w:val="0"/>
          <w:i w:val="0"/>
        </w:rPr>
        <w:t xml:space="preserve"> </w:t>
      </w:r>
      <w:r w:rsidRPr="00777651">
        <w:rPr>
          <w:rStyle w:val="BoldItalic"/>
          <w:b w:val="0"/>
          <w:i w:val="0"/>
        </w:rPr>
        <w:t>P-108.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5546"/>
        <w:gridCol w:w="2037"/>
        <w:gridCol w:w="1827"/>
      </w:tblGrid>
      <w:tr w:rsidR="00B45C76" w:rsidRPr="00B45C76">
        <w:trPr>
          <w:trHeight w:val="821"/>
          <w:tblHeader/>
        </w:trPr>
        <w:tc>
          <w:tcPr>
            <w:tcW w:w="312" w:type="pct"/>
            <w:tcMar>
              <w:top w:w="28" w:type="dxa"/>
              <w:left w:w="57" w:type="dxa"/>
              <w:bottom w:w="28" w:type="dxa"/>
              <w:right w:w="57" w:type="dxa"/>
            </w:tcMar>
            <w:vAlign w:val="center"/>
          </w:tcPr>
          <w:p w:rsidR="00B45C76" w:rsidRPr="00B45C76" w:rsidRDefault="00B45C76" w:rsidP="00B45C76">
            <w:pPr>
              <w:tabs>
                <w:tab w:val="left" w:pos="720"/>
              </w:tabs>
              <w:jc w:val="center"/>
              <w:rPr>
                <w:sz w:val="22"/>
                <w:szCs w:val="22"/>
              </w:rPr>
            </w:pPr>
            <w:r w:rsidRPr="00B45C76">
              <w:rPr>
                <w:sz w:val="22"/>
                <w:szCs w:val="22"/>
              </w:rPr>
              <w:t>Eil. Nr.</w:t>
            </w:r>
          </w:p>
        </w:tc>
        <w:tc>
          <w:tcPr>
            <w:tcW w:w="2763" w:type="pct"/>
            <w:tcMar>
              <w:top w:w="28" w:type="dxa"/>
              <w:left w:w="57" w:type="dxa"/>
              <w:bottom w:w="28" w:type="dxa"/>
              <w:right w:w="57" w:type="dxa"/>
            </w:tcMar>
            <w:vAlign w:val="center"/>
          </w:tcPr>
          <w:p w:rsidR="00B45C76" w:rsidRPr="00B45C76" w:rsidRDefault="00B45C76" w:rsidP="00D63B76">
            <w:pPr>
              <w:tabs>
                <w:tab w:val="left" w:pos="720"/>
              </w:tabs>
              <w:jc w:val="center"/>
              <w:rPr>
                <w:sz w:val="22"/>
                <w:szCs w:val="22"/>
              </w:rPr>
            </w:pPr>
            <w:r w:rsidRPr="00B45C76">
              <w:rPr>
                <w:sz w:val="22"/>
                <w:szCs w:val="22"/>
              </w:rPr>
              <w:t>Ilgalaikio turto grupės ir rūšys</w:t>
            </w:r>
          </w:p>
        </w:tc>
        <w:tc>
          <w:tcPr>
            <w:tcW w:w="1015" w:type="pct"/>
          </w:tcPr>
          <w:p w:rsidR="00B45C76" w:rsidRPr="00B45C76" w:rsidRDefault="00B45C76" w:rsidP="00D63B76">
            <w:pPr>
              <w:tabs>
                <w:tab w:val="left" w:pos="720"/>
              </w:tabs>
              <w:jc w:val="center"/>
              <w:rPr>
                <w:sz w:val="22"/>
                <w:szCs w:val="22"/>
              </w:rPr>
            </w:pPr>
            <w:r w:rsidRPr="00B45C76">
              <w:rPr>
                <w:sz w:val="22"/>
                <w:szCs w:val="22"/>
              </w:rPr>
              <w:t>Ilgalaikio turto nusidėvėjimo (amortizacijos) ekonominiai normatyvai (metais)</w:t>
            </w:r>
          </w:p>
        </w:tc>
        <w:tc>
          <w:tcPr>
            <w:tcW w:w="910" w:type="pct"/>
            <w:tcMar>
              <w:top w:w="28" w:type="dxa"/>
              <w:left w:w="57" w:type="dxa"/>
              <w:bottom w:w="28" w:type="dxa"/>
              <w:right w:w="57" w:type="dxa"/>
            </w:tcMar>
            <w:vAlign w:val="center"/>
          </w:tcPr>
          <w:p w:rsidR="00B45C76" w:rsidRPr="00B45C76" w:rsidRDefault="00B45C76" w:rsidP="00D63B76">
            <w:pPr>
              <w:tabs>
                <w:tab w:val="left" w:pos="720"/>
              </w:tabs>
              <w:jc w:val="center"/>
              <w:rPr>
                <w:sz w:val="22"/>
                <w:szCs w:val="22"/>
              </w:rPr>
            </w:pPr>
            <w:r w:rsidRPr="00B45C76">
              <w:rPr>
                <w:sz w:val="22"/>
                <w:szCs w:val="22"/>
              </w:rPr>
              <w:t>Ilgalaikio turto naudingo tarnavimo laikas (metais)</w:t>
            </w:r>
          </w:p>
        </w:tc>
      </w:tr>
      <w:tr w:rsidR="00B45C76" w:rsidRPr="00B45C76">
        <w:tc>
          <w:tcPr>
            <w:tcW w:w="312" w:type="pct"/>
            <w:tcMar>
              <w:top w:w="28" w:type="dxa"/>
              <w:left w:w="57" w:type="dxa"/>
              <w:bottom w:w="28" w:type="dxa"/>
              <w:right w:w="57" w:type="dxa"/>
            </w:tcMar>
          </w:tcPr>
          <w:p w:rsidR="00B45C76" w:rsidRPr="00B45C76" w:rsidRDefault="00B45C76" w:rsidP="00D63B76">
            <w:pPr>
              <w:tabs>
                <w:tab w:val="left" w:pos="720"/>
              </w:tabs>
              <w:jc w:val="both"/>
              <w:rPr>
                <w:b/>
                <w:sz w:val="22"/>
                <w:szCs w:val="22"/>
              </w:rPr>
            </w:pPr>
          </w:p>
        </w:tc>
        <w:tc>
          <w:tcPr>
            <w:tcW w:w="2763" w:type="pct"/>
            <w:tcMar>
              <w:top w:w="28" w:type="dxa"/>
              <w:left w:w="57" w:type="dxa"/>
              <w:bottom w:w="28" w:type="dxa"/>
              <w:right w:w="57" w:type="dxa"/>
            </w:tcMar>
          </w:tcPr>
          <w:p w:rsidR="00B45C76" w:rsidRPr="00B45C76" w:rsidRDefault="00B45C76" w:rsidP="00D63B76">
            <w:pPr>
              <w:tabs>
                <w:tab w:val="left" w:pos="720"/>
              </w:tabs>
              <w:jc w:val="both"/>
              <w:rPr>
                <w:b/>
                <w:sz w:val="22"/>
                <w:szCs w:val="22"/>
              </w:rPr>
            </w:pPr>
            <w:r w:rsidRPr="00B45C76">
              <w:rPr>
                <w:b/>
                <w:sz w:val="22"/>
                <w:szCs w:val="22"/>
              </w:rPr>
              <w:t>NEMATERIALUSIS TURTAS</w:t>
            </w:r>
          </w:p>
        </w:tc>
        <w:tc>
          <w:tcPr>
            <w:tcW w:w="1015" w:type="pct"/>
          </w:tcPr>
          <w:p w:rsidR="00B45C76" w:rsidRPr="00B45C76" w:rsidRDefault="00B45C76" w:rsidP="00D63B76">
            <w:pPr>
              <w:tabs>
                <w:tab w:val="left" w:pos="720"/>
              </w:tabs>
              <w:jc w:val="both"/>
              <w:rPr>
                <w:b/>
                <w:sz w:val="22"/>
                <w:szCs w:val="22"/>
              </w:rPr>
            </w:pPr>
          </w:p>
        </w:tc>
        <w:tc>
          <w:tcPr>
            <w:tcW w:w="910" w:type="pct"/>
            <w:tcMar>
              <w:top w:w="28" w:type="dxa"/>
              <w:left w:w="57" w:type="dxa"/>
              <w:bottom w:w="28" w:type="dxa"/>
              <w:right w:w="57" w:type="dxa"/>
            </w:tcMar>
          </w:tcPr>
          <w:p w:rsidR="00B45C76" w:rsidRPr="00B45C76" w:rsidRDefault="00B45C76" w:rsidP="00D63B76">
            <w:pPr>
              <w:tabs>
                <w:tab w:val="left" w:pos="720"/>
              </w:tabs>
              <w:jc w:val="both"/>
              <w:rPr>
                <w:b/>
                <w:sz w:val="22"/>
                <w:szCs w:val="22"/>
              </w:rPr>
            </w:pPr>
          </w:p>
        </w:tc>
      </w:tr>
      <w:tr w:rsidR="00B45C76" w:rsidRPr="00B45C76">
        <w:tc>
          <w:tcPr>
            <w:tcW w:w="312" w:type="pct"/>
            <w:tcMar>
              <w:top w:w="28" w:type="dxa"/>
              <w:left w:w="57" w:type="dxa"/>
              <w:bottom w:w="28" w:type="dxa"/>
              <w:right w:w="57" w:type="dxa"/>
            </w:tcMar>
          </w:tcPr>
          <w:p w:rsidR="00B45C76" w:rsidRPr="00B45C76" w:rsidRDefault="00B45C76" w:rsidP="00D63B76">
            <w:pPr>
              <w:tabs>
                <w:tab w:val="left" w:pos="720"/>
              </w:tabs>
              <w:jc w:val="both"/>
              <w:rPr>
                <w:sz w:val="22"/>
                <w:szCs w:val="22"/>
              </w:rPr>
            </w:pPr>
            <w:r w:rsidRPr="00B45C76">
              <w:rPr>
                <w:sz w:val="22"/>
                <w:szCs w:val="22"/>
              </w:rPr>
              <w:t>1.</w:t>
            </w:r>
          </w:p>
        </w:tc>
        <w:tc>
          <w:tcPr>
            <w:tcW w:w="2763" w:type="pct"/>
            <w:tcMar>
              <w:top w:w="28" w:type="dxa"/>
              <w:left w:w="57" w:type="dxa"/>
              <w:bottom w:w="28" w:type="dxa"/>
              <w:right w:w="57" w:type="dxa"/>
            </w:tcMar>
          </w:tcPr>
          <w:p w:rsidR="00B45C76" w:rsidRPr="00B45C76" w:rsidRDefault="00B45C76" w:rsidP="00D63B76">
            <w:pPr>
              <w:tabs>
                <w:tab w:val="left" w:pos="441"/>
              </w:tabs>
              <w:rPr>
                <w:sz w:val="22"/>
                <w:szCs w:val="22"/>
              </w:rPr>
            </w:pPr>
            <w:r w:rsidRPr="00B45C76">
              <w:rPr>
                <w:sz w:val="22"/>
                <w:szCs w:val="22"/>
              </w:rPr>
              <w:t>Programinė įranga, jos licencijos ir techninė dokumentacija</w:t>
            </w:r>
          </w:p>
        </w:tc>
        <w:tc>
          <w:tcPr>
            <w:tcW w:w="1015" w:type="pct"/>
          </w:tcPr>
          <w:p w:rsidR="00B45C76" w:rsidRPr="00B45C76" w:rsidRDefault="00B45C76" w:rsidP="00D63B76">
            <w:pPr>
              <w:tabs>
                <w:tab w:val="left" w:pos="720"/>
              </w:tabs>
              <w:jc w:val="center"/>
              <w:rPr>
                <w:sz w:val="22"/>
                <w:szCs w:val="22"/>
              </w:rPr>
            </w:pPr>
            <w:r w:rsidRPr="00B45C76">
              <w:rPr>
                <w:sz w:val="22"/>
                <w:szCs w:val="22"/>
              </w:rPr>
              <w:t>3</w:t>
            </w:r>
          </w:p>
        </w:tc>
        <w:tc>
          <w:tcPr>
            <w:tcW w:w="910" w:type="pct"/>
            <w:tcMar>
              <w:top w:w="28" w:type="dxa"/>
              <w:left w:w="57" w:type="dxa"/>
              <w:bottom w:w="28" w:type="dxa"/>
              <w:right w:w="57" w:type="dxa"/>
            </w:tcMar>
          </w:tcPr>
          <w:p w:rsidR="00B45C76" w:rsidRPr="00B45C76" w:rsidRDefault="00B45C76" w:rsidP="00D63B76">
            <w:pPr>
              <w:tabs>
                <w:tab w:val="left" w:pos="720"/>
              </w:tabs>
              <w:jc w:val="center"/>
              <w:rPr>
                <w:sz w:val="22"/>
                <w:szCs w:val="22"/>
              </w:rPr>
            </w:pPr>
            <w:r w:rsidRPr="00B45C76">
              <w:rPr>
                <w:sz w:val="22"/>
                <w:szCs w:val="22"/>
              </w:rPr>
              <w:t>3</w:t>
            </w:r>
          </w:p>
        </w:tc>
      </w:tr>
      <w:tr w:rsidR="00B45C76" w:rsidRPr="00B45C76">
        <w:tc>
          <w:tcPr>
            <w:tcW w:w="312" w:type="pct"/>
            <w:tcMar>
              <w:top w:w="28" w:type="dxa"/>
              <w:left w:w="57" w:type="dxa"/>
              <w:bottom w:w="28" w:type="dxa"/>
              <w:right w:w="57" w:type="dxa"/>
            </w:tcMar>
          </w:tcPr>
          <w:p w:rsidR="00B45C76" w:rsidRPr="00B45C76" w:rsidRDefault="00B45C76" w:rsidP="00D63B76">
            <w:pPr>
              <w:tabs>
                <w:tab w:val="left" w:pos="720"/>
              </w:tabs>
              <w:jc w:val="both"/>
              <w:rPr>
                <w:sz w:val="22"/>
                <w:szCs w:val="22"/>
              </w:rPr>
            </w:pPr>
            <w:r w:rsidRPr="00B45C76">
              <w:rPr>
                <w:sz w:val="22"/>
                <w:szCs w:val="22"/>
              </w:rPr>
              <w:t>2.</w:t>
            </w:r>
          </w:p>
        </w:tc>
        <w:tc>
          <w:tcPr>
            <w:tcW w:w="2763" w:type="pct"/>
            <w:tcMar>
              <w:top w:w="28" w:type="dxa"/>
              <w:left w:w="57" w:type="dxa"/>
              <w:bottom w:w="28" w:type="dxa"/>
              <w:right w:w="57" w:type="dxa"/>
            </w:tcMar>
          </w:tcPr>
          <w:p w:rsidR="00B45C76" w:rsidRPr="00B45C76" w:rsidRDefault="00B45C76" w:rsidP="00D63B76">
            <w:pPr>
              <w:tabs>
                <w:tab w:val="left" w:pos="441"/>
              </w:tabs>
              <w:ind w:firstLine="261"/>
              <w:jc w:val="both"/>
              <w:rPr>
                <w:sz w:val="22"/>
                <w:szCs w:val="22"/>
              </w:rPr>
            </w:pPr>
            <w:r w:rsidRPr="00B45C76">
              <w:rPr>
                <w:sz w:val="22"/>
                <w:szCs w:val="22"/>
              </w:rPr>
              <w:t>Patentai, išradimai, licencijos, įsigytos kitos teisės*</w:t>
            </w:r>
          </w:p>
        </w:tc>
        <w:tc>
          <w:tcPr>
            <w:tcW w:w="1015" w:type="pct"/>
          </w:tcPr>
          <w:p w:rsidR="00B45C76" w:rsidRPr="00B45C76" w:rsidRDefault="00B45C76" w:rsidP="00D63B76">
            <w:pPr>
              <w:tabs>
                <w:tab w:val="left" w:pos="720"/>
              </w:tabs>
              <w:jc w:val="center"/>
              <w:rPr>
                <w:sz w:val="22"/>
                <w:szCs w:val="22"/>
              </w:rPr>
            </w:pPr>
            <w:r w:rsidRPr="00B45C76">
              <w:rPr>
                <w:sz w:val="22"/>
                <w:szCs w:val="22"/>
              </w:rPr>
              <w:t>3</w:t>
            </w:r>
          </w:p>
        </w:tc>
        <w:tc>
          <w:tcPr>
            <w:tcW w:w="910" w:type="pct"/>
            <w:tcMar>
              <w:top w:w="28" w:type="dxa"/>
              <w:left w:w="57" w:type="dxa"/>
              <w:bottom w:w="28" w:type="dxa"/>
              <w:right w:w="57" w:type="dxa"/>
            </w:tcMar>
          </w:tcPr>
          <w:p w:rsidR="00B45C76" w:rsidRPr="00B45C76" w:rsidRDefault="00B45C76" w:rsidP="00D63B76">
            <w:pPr>
              <w:tabs>
                <w:tab w:val="left" w:pos="720"/>
              </w:tabs>
              <w:jc w:val="center"/>
              <w:rPr>
                <w:sz w:val="22"/>
                <w:szCs w:val="22"/>
              </w:rPr>
            </w:pPr>
            <w:r w:rsidRPr="00B45C76">
              <w:rPr>
                <w:sz w:val="22"/>
                <w:szCs w:val="22"/>
              </w:rPr>
              <w:t>3</w:t>
            </w:r>
          </w:p>
        </w:tc>
      </w:tr>
      <w:tr w:rsidR="00B45C76" w:rsidRPr="00B45C76">
        <w:tc>
          <w:tcPr>
            <w:tcW w:w="312" w:type="pct"/>
            <w:tcMar>
              <w:top w:w="28" w:type="dxa"/>
              <w:left w:w="57" w:type="dxa"/>
              <w:bottom w:w="28" w:type="dxa"/>
              <w:right w:w="57" w:type="dxa"/>
            </w:tcMar>
          </w:tcPr>
          <w:p w:rsidR="00B45C76" w:rsidRPr="00B45C76" w:rsidRDefault="00B45C76" w:rsidP="00D63B76">
            <w:pPr>
              <w:tabs>
                <w:tab w:val="left" w:pos="720"/>
              </w:tabs>
              <w:jc w:val="both"/>
              <w:rPr>
                <w:sz w:val="22"/>
                <w:szCs w:val="22"/>
              </w:rPr>
            </w:pPr>
            <w:r w:rsidRPr="00B45C76">
              <w:rPr>
                <w:sz w:val="22"/>
                <w:szCs w:val="22"/>
              </w:rPr>
              <w:t>3.</w:t>
            </w:r>
          </w:p>
        </w:tc>
        <w:tc>
          <w:tcPr>
            <w:tcW w:w="2763" w:type="pct"/>
            <w:tcMar>
              <w:top w:w="28" w:type="dxa"/>
              <w:left w:w="57" w:type="dxa"/>
              <w:bottom w:w="28" w:type="dxa"/>
              <w:right w:w="57" w:type="dxa"/>
            </w:tcMar>
          </w:tcPr>
          <w:p w:rsidR="00B45C76" w:rsidRPr="00B45C76" w:rsidRDefault="00B45C76" w:rsidP="00D63B76">
            <w:pPr>
              <w:tabs>
                <w:tab w:val="left" w:pos="720"/>
              </w:tabs>
              <w:ind w:firstLine="261"/>
              <w:jc w:val="both"/>
              <w:rPr>
                <w:sz w:val="22"/>
                <w:szCs w:val="22"/>
              </w:rPr>
            </w:pPr>
            <w:r w:rsidRPr="00B45C76">
              <w:rPr>
                <w:sz w:val="22"/>
                <w:szCs w:val="22"/>
              </w:rPr>
              <w:t>Kitas nematerialusis turtas</w:t>
            </w:r>
          </w:p>
        </w:tc>
        <w:tc>
          <w:tcPr>
            <w:tcW w:w="1015" w:type="pct"/>
          </w:tcPr>
          <w:p w:rsidR="00B45C76" w:rsidRPr="00B45C76" w:rsidRDefault="00B45C76" w:rsidP="00D63B76">
            <w:pPr>
              <w:tabs>
                <w:tab w:val="left" w:pos="720"/>
              </w:tabs>
              <w:jc w:val="center"/>
              <w:rPr>
                <w:sz w:val="22"/>
                <w:szCs w:val="22"/>
              </w:rPr>
            </w:pPr>
            <w:r w:rsidRPr="00B45C76">
              <w:rPr>
                <w:sz w:val="22"/>
                <w:szCs w:val="22"/>
              </w:rPr>
              <w:t>3</w:t>
            </w:r>
          </w:p>
        </w:tc>
        <w:tc>
          <w:tcPr>
            <w:tcW w:w="910" w:type="pct"/>
            <w:tcMar>
              <w:top w:w="28" w:type="dxa"/>
              <w:left w:w="57" w:type="dxa"/>
              <w:bottom w:w="28" w:type="dxa"/>
              <w:right w:w="57" w:type="dxa"/>
            </w:tcMar>
          </w:tcPr>
          <w:p w:rsidR="00B45C76" w:rsidRPr="00B45C76" w:rsidRDefault="00B45C76" w:rsidP="00D63B76">
            <w:pPr>
              <w:tabs>
                <w:tab w:val="left" w:pos="720"/>
              </w:tabs>
              <w:jc w:val="center"/>
              <w:rPr>
                <w:sz w:val="22"/>
                <w:szCs w:val="22"/>
              </w:rPr>
            </w:pPr>
            <w:r w:rsidRPr="00B45C76">
              <w:rPr>
                <w:sz w:val="22"/>
                <w:szCs w:val="22"/>
              </w:rPr>
              <w:t>3</w:t>
            </w:r>
          </w:p>
        </w:tc>
      </w:tr>
      <w:tr w:rsidR="00B45C76" w:rsidRPr="00B45C76">
        <w:tc>
          <w:tcPr>
            <w:tcW w:w="312" w:type="pct"/>
            <w:tcMar>
              <w:top w:w="28" w:type="dxa"/>
              <w:left w:w="57" w:type="dxa"/>
              <w:bottom w:w="28" w:type="dxa"/>
              <w:right w:w="57" w:type="dxa"/>
            </w:tcMar>
          </w:tcPr>
          <w:p w:rsidR="00B45C76" w:rsidRPr="00B45C76" w:rsidRDefault="00B45C76" w:rsidP="00D63B76">
            <w:pPr>
              <w:tabs>
                <w:tab w:val="left" w:pos="720"/>
              </w:tabs>
              <w:jc w:val="both"/>
              <w:rPr>
                <w:sz w:val="22"/>
                <w:szCs w:val="22"/>
              </w:rPr>
            </w:pPr>
            <w:r w:rsidRPr="00B45C76">
              <w:rPr>
                <w:sz w:val="22"/>
                <w:szCs w:val="22"/>
              </w:rPr>
              <w:t>4.</w:t>
            </w:r>
          </w:p>
        </w:tc>
        <w:tc>
          <w:tcPr>
            <w:tcW w:w="2763" w:type="pct"/>
            <w:tcMar>
              <w:top w:w="28" w:type="dxa"/>
              <w:left w:w="57" w:type="dxa"/>
              <w:bottom w:w="28" w:type="dxa"/>
              <w:right w:w="57" w:type="dxa"/>
            </w:tcMar>
          </w:tcPr>
          <w:p w:rsidR="00B45C76" w:rsidRPr="00B45C76" w:rsidRDefault="00B45C76" w:rsidP="00D63B76">
            <w:pPr>
              <w:tabs>
                <w:tab w:val="left" w:pos="720"/>
              </w:tabs>
              <w:ind w:firstLine="261"/>
              <w:jc w:val="both"/>
              <w:rPr>
                <w:sz w:val="22"/>
                <w:szCs w:val="22"/>
              </w:rPr>
            </w:pPr>
            <w:r w:rsidRPr="00B45C76">
              <w:rPr>
                <w:sz w:val="22"/>
                <w:szCs w:val="22"/>
              </w:rPr>
              <w:t xml:space="preserve">Prestižas </w:t>
            </w:r>
          </w:p>
        </w:tc>
        <w:tc>
          <w:tcPr>
            <w:tcW w:w="1015" w:type="pct"/>
          </w:tcPr>
          <w:p w:rsidR="00B45C76" w:rsidRPr="00B45C76" w:rsidRDefault="00B45C76" w:rsidP="00D63B76">
            <w:pPr>
              <w:tabs>
                <w:tab w:val="left" w:pos="720"/>
              </w:tabs>
              <w:jc w:val="center"/>
              <w:rPr>
                <w:sz w:val="22"/>
                <w:szCs w:val="22"/>
              </w:rPr>
            </w:pPr>
            <w:r w:rsidRPr="00B45C76">
              <w:rPr>
                <w:sz w:val="22"/>
                <w:szCs w:val="22"/>
              </w:rPr>
              <w:t>3</w:t>
            </w:r>
          </w:p>
        </w:tc>
        <w:tc>
          <w:tcPr>
            <w:tcW w:w="910" w:type="pct"/>
            <w:tcMar>
              <w:top w:w="28" w:type="dxa"/>
              <w:left w:w="57" w:type="dxa"/>
              <w:bottom w:w="28" w:type="dxa"/>
              <w:right w:w="57" w:type="dxa"/>
            </w:tcMar>
          </w:tcPr>
          <w:p w:rsidR="00B45C76" w:rsidRPr="00B45C76" w:rsidRDefault="00B45C76" w:rsidP="00D63B76">
            <w:pPr>
              <w:tabs>
                <w:tab w:val="left" w:pos="720"/>
              </w:tabs>
              <w:jc w:val="center"/>
              <w:rPr>
                <w:sz w:val="22"/>
                <w:szCs w:val="22"/>
              </w:rPr>
            </w:pPr>
            <w:r w:rsidRPr="00B45C76">
              <w:rPr>
                <w:sz w:val="22"/>
                <w:szCs w:val="22"/>
              </w:rPr>
              <w:t>3</w:t>
            </w:r>
          </w:p>
        </w:tc>
      </w:tr>
    </w:tbl>
    <w:p w:rsidR="000B6A10" w:rsidRDefault="00B45C76" w:rsidP="00172326">
      <w:pPr>
        <w:pStyle w:val="Style29"/>
        <w:spacing w:before="100" w:beforeAutospacing="1" w:line="240" w:lineRule="auto"/>
        <w:jc w:val="both"/>
      </w:pPr>
      <w:r w:rsidRPr="00777651">
        <w:t>* Jeigu patentai, išradimai, licencijos ar kitos teisės yra įsigyti konkrečiam laikotarpiui, tokio laikotarpio trukmė laikoma naudingo tarnavimo laiku ir juo remiantis skaičiuojama amortizacija. Tuo atveju lentelėje nurodyti amortizacijos normatyvai netaikomi.</w:t>
      </w:r>
    </w:p>
    <w:p w:rsidR="000B6A10" w:rsidRDefault="000B6A10" w:rsidP="00172326">
      <w:pPr>
        <w:spacing w:before="240" w:after="240"/>
        <w:jc w:val="center"/>
        <w:rPr>
          <w:b/>
          <w:bCs/>
          <w:color w:val="000000"/>
        </w:rPr>
      </w:pPr>
      <w:r w:rsidRPr="00B45C76">
        <w:rPr>
          <w:b/>
          <w:bCs/>
          <w:color w:val="000000"/>
        </w:rPr>
        <w:t>Ilgalaikis materialusis turtas</w:t>
      </w:r>
    </w:p>
    <w:p w:rsidR="00B45C76" w:rsidRPr="00777651" w:rsidRDefault="00B45C76" w:rsidP="00C44613">
      <w:pPr>
        <w:ind w:firstLine="709"/>
        <w:jc w:val="both"/>
      </w:pPr>
      <w:r w:rsidRPr="00777651">
        <w:t>Ilgalaikis materialusis turtas apskaitomas vadovaujantis 12-u VSAFAS „Ilgalaikis materialusis turtas“ ir bendraisiais apskaitos principais. Ilgalaikiam materialiajam turtui priskiriamas turtas, kurio tarnavimo laikas ilgesnis nei vieneri metai, o minimali vertė yra ne mažesnė nei 1</w:t>
      </w:r>
      <w:r w:rsidR="00166338">
        <w:t xml:space="preserve"> </w:t>
      </w:r>
      <w:r w:rsidRPr="00777651">
        <w:t xml:space="preserve">000 Lt. Ilgalaikis materialusis turtas apskaitoje pripažįstamas įsigijimo savikaina, o ataskaitose rodomas likutine verte. </w:t>
      </w:r>
      <w:r w:rsidRPr="00777651">
        <w:rPr>
          <w:bCs/>
        </w:rPr>
        <w:t>Ilgalaikio materialiojo turto likutinė vertė</w:t>
      </w:r>
      <w:r w:rsidRPr="00777651">
        <w:t xml:space="preserve"> – suma, apskaičiuojama prie ilgalaikio materialiojo turto įsigijimo savikainos pridedant arba iš jos atimant visas ilgalaikio materialiojo turto vertės pokyčių sumas ir atimant sukauptą nusidėvėjimo sumą. Įstaiga nėra pridėtinės vertės mokesčio mokėtoja pagal pajamas už teikiamas paslaugas, todėl šiai veiklai vykdyti įsigytą ilgalaikį materialųjį turtą į apskaitą įtraukia su pridėtinės vertės mokesčiu. </w:t>
      </w:r>
    </w:p>
    <w:p w:rsidR="00B45C76" w:rsidRPr="00777651" w:rsidRDefault="00B45C76" w:rsidP="00C44613">
      <w:pPr>
        <w:ind w:firstLine="709"/>
        <w:jc w:val="both"/>
        <w:rPr>
          <w:rStyle w:val="BoldItalic"/>
          <w:b w:val="0"/>
          <w:i w:val="0"/>
        </w:rPr>
      </w:pPr>
      <w:r w:rsidRPr="00777651">
        <w:t>Ilgalaikis materialusis turtas apskaitomas taikant tiesiogiai proporcingą nusidėvėjimo skaičiavimo metodą. Nudėvimoji vertė nuosekliai paskirstoma per visą naudingo tarnavimo laiką.</w:t>
      </w:r>
      <w:r w:rsidRPr="00777651">
        <w:rPr>
          <w:rStyle w:val="Style2"/>
          <w:b/>
          <w:i/>
        </w:rPr>
        <w:t xml:space="preserve"> </w:t>
      </w:r>
      <w:r w:rsidRPr="00777651">
        <w:rPr>
          <w:rStyle w:val="BoldItalic"/>
          <w:b w:val="0"/>
          <w:i w:val="0"/>
        </w:rPr>
        <w:t xml:space="preserve">Ilgalaikio materialiojo turto vieneto </w:t>
      </w:r>
      <w:r w:rsidRPr="00777651">
        <w:t>nusidėvėjimas pradedamas skaičiuoti nuo kito mėnesio, kai turtas pradedamas naudoti, pirmos dienos.</w:t>
      </w:r>
      <w:r w:rsidRPr="00777651">
        <w:rPr>
          <w:rStyle w:val="BoldItalic"/>
          <w:i w:val="0"/>
        </w:rPr>
        <w:t xml:space="preserve"> </w:t>
      </w:r>
      <w:r w:rsidRPr="00777651">
        <w:t xml:space="preserve">Nusidėvėjimas nebeskaičiuojamas nuo kito mėnesio, kai naudojamo ilgalaikio materialiojo turto likutinė vertė sutampa su jo likvidacine verte, kai turtas perleidžiamas, nurašomas </w:t>
      </w:r>
      <w:r w:rsidRPr="00777651">
        <w:rPr>
          <w:rStyle w:val="BoldItalic"/>
          <w:b w:val="0"/>
          <w:i w:val="0"/>
        </w:rPr>
        <w:t>arba kai apskaičiuojamas ir užregistruojamas to turto vieneto nuvertėjimas, lygus</w:t>
      </w:r>
      <w:r w:rsidRPr="00777651">
        <w:rPr>
          <w:rStyle w:val="Style1"/>
          <w:b/>
        </w:rPr>
        <w:t xml:space="preserve"> </w:t>
      </w:r>
      <w:r w:rsidRPr="00777651">
        <w:rPr>
          <w:rStyle w:val="BoldItalic"/>
          <w:b w:val="0"/>
          <w:i w:val="0"/>
        </w:rPr>
        <w:t xml:space="preserve">jo likutinės vertės sumai, </w:t>
      </w:r>
      <w:r w:rsidRPr="00777651">
        <w:t>pirmos dienos</w:t>
      </w:r>
      <w:r w:rsidRPr="00777651">
        <w:rPr>
          <w:rStyle w:val="BoldItalic"/>
          <w:b w:val="0"/>
          <w:i w:val="0"/>
        </w:rPr>
        <w:t>.</w:t>
      </w:r>
    </w:p>
    <w:p w:rsidR="00B45C76" w:rsidRDefault="00B45C76" w:rsidP="00172326">
      <w:pPr>
        <w:spacing w:after="100" w:afterAutospacing="1"/>
        <w:ind w:firstLine="709"/>
        <w:jc w:val="both"/>
        <w:rPr>
          <w:rStyle w:val="BoldItalic"/>
          <w:b w:val="0"/>
          <w:i w:val="0"/>
        </w:rPr>
      </w:pPr>
      <w:r w:rsidRPr="00777651">
        <w:rPr>
          <w:rStyle w:val="BoldItalic"/>
          <w:b w:val="0"/>
          <w:i w:val="0"/>
        </w:rPr>
        <w:lastRenderedPageBreak/>
        <w:t>Ilgalaikio materialiojo turto nusidėvėjimo normatyvai ir naudingo tarnavimo laikas, patvirti</w:t>
      </w:r>
      <w:r w:rsidR="00166338">
        <w:rPr>
          <w:rStyle w:val="BoldItalic"/>
          <w:b w:val="0"/>
          <w:i w:val="0"/>
        </w:rPr>
        <w:t>nti vyr. gydytojo 2009-12-30</w:t>
      </w:r>
      <w:r w:rsidRPr="00777651">
        <w:rPr>
          <w:rStyle w:val="BoldItalic"/>
          <w:b w:val="0"/>
          <w:i w:val="0"/>
        </w:rPr>
        <w:t xml:space="preserve"> įsakymu Nr.</w:t>
      </w:r>
      <w:r w:rsidR="00166338">
        <w:rPr>
          <w:rStyle w:val="BoldItalic"/>
          <w:b w:val="0"/>
          <w:i w:val="0"/>
        </w:rPr>
        <w:t xml:space="preserve"> </w:t>
      </w:r>
      <w:r w:rsidRPr="00777651">
        <w:rPr>
          <w:rStyle w:val="BoldItalic"/>
          <w:b w:val="0"/>
          <w:i w:val="0"/>
        </w:rPr>
        <w:t>V-163.</w:t>
      </w:r>
    </w:p>
    <w:p w:rsidR="00172AB7" w:rsidRDefault="00172AB7" w:rsidP="00172326">
      <w:pPr>
        <w:spacing w:after="100" w:afterAutospacing="1"/>
        <w:ind w:firstLine="709"/>
        <w:jc w:val="both"/>
        <w:rPr>
          <w:rStyle w:val="BoldItalic"/>
          <w:b w:val="0"/>
          <w:i w:val="0"/>
        </w:rPr>
      </w:pPr>
    </w:p>
    <w:p w:rsidR="00166338" w:rsidRDefault="00166338" w:rsidP="00172326">
      <w:pPr>
        <w:spacing w:after="100" w:afterAutospacing="1"/>
        <w:ind w:firstLine="709"/>
        <w:jc w:val="both"/>
        <w:rPr>
          <w:rStyle w:val="BoldItalic"/>
          <w:b w:val="0"/>
          <w:i w:val="0"/>
        </w:rPr>
      </w:pPr>
    </w:p>
    <w:p w:rsidR="00166338" w:rsidRPr="00777651" w:rsidRDefault="00166338" w:rsidP="00172326">
      <w:pPr>
        <w:spacing w:after="100" w:afterAutospacing="1"/>
        <w:ind w:firstLine="709"/>
        <w:jc w:val="both"/>
        <w:rPr>
          <w:rStyle w:val="BoldItalic"/>
          <w:b w:val="0"/>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5546"/>
        <w:gridCol w:w="2037"/>
        <w:gridCol w:w="1827"/>
      </w:tblGrid>
      <w:tr w:rsidR="00B45C76" w:rsidRPr="00B45C76">
        <w:tc>
          <w:tcPr>
            <w:tcW w:w="312" w:type="pct"/>
            <w:tcMar>
              <w:top w:w="28" w:type="dxa"/>
              <w:left w:w="57" w:type="dxa"/>
              <w:bottom w:w="28" w:type="dxa"/>
              <w:right w:w="57" w:type="dxa"/>
            </w:tcMar>
            <w:vAlign w:val="center"/>
          </w:tcPr>
          <w:p w:rsidR="00B45C76" w:rsidRPr="00B45C76" w:rsidRDefault="00B45C76" w:rsidP="00B45C7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Eil. Nr.</w:t>
            </w:r>
          </w:p>
        </w:tc>
        <w:tc>
          <w:tcPr>
            <w:tcW w:w="2763" w:type="pct"/>
            <w:tcMar>
              <w:top w:w="28" w:type="dxa"/>
              <w:left w:w="57" w:type="dxa"/>
              <w:bottom w:w="28" w:type="dxa"/>
              <w:right w:w="57" w:type="dxa"/>
            </w:tcMar>
            <w:vAlign w:val="center"/>
          </w:tcPr>
          <w:p w:rsidR="00B45C76" w:rsidRPr="00B45C76" w:rsidRDefault="00B45C76" w:rsidP="00B45C7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Ilgalaikio turto grupės ir rūšys</w:t>
            </w:r>
          </w:p>
        </w:tc>
        <w:tc>
          <w:tcPr>
            <w:tcW w:w="1015" w:type="pct"/>
          </w:tcPr>
          <w:p w:rsidR="00B45C76" w:rsidRPr="00B45C76" w:rsidRDefault="00B45C76" w:rsidP="00B45C7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Ilgalaikio turto nusidėvėjimo (amortizacijos) ekonominiai normatyvai (metais)</w:t>
            </w:r>
          </w:p>
        </w:tc>
        <w:tc>
          <w:tcPr>
            <w:tcW w:w="910" w:type="pct"/>
            <w:tcMar>
              <w:top w:w="28" w:type="dxa"/>
              <w:left w:w="57" w:type="dxa"/>
              <w:bottom w:w="28" w:type="dxa"/>
              <w:right w:w="57" w:type="dxa"/>
            </w:tcMar>
            <w:vAlign w:val="center"/>
          </w:tcPr>
          <w:p w:rsidR="00B45C76" w:rsidRPr="00B45C76" w:rsidRDefault="00B45C76" w:rsidP="00B45C7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Ilgalaikio turto naudingo tarnavimo laikas (metais)</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b/>
                <w:sz w:val="22"/>
                <w:szCs w:val="22"/>
              </w:rPr>
            </w:pP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b/>
                <w:sz w:val="22"/>
                <w:szCs w:val="22"/>
              </w:rPr>
            </w:pPr>
            <w:r w:rsidRPr="00B45C76">
              <w:rPr>
                <w:rFonts w:ascii="Times New Roman" w:hAnsi="Times New Roman" w:cs="Times New Roman"/>
                <w:b/>
                <w:sz w:val="22"/>
                <w:szCs w:val="22"/>
              </w:rPr>
              <w:t>MATERIALUSIS TURTAS</w:t>
            </w:r>
          </w:p>
        </w:tc>
        <w:tc>
          <w:tcPr>
            <w:tcW w:w="1015" w:type="pct"/>
          </w:tcPr>
          <w:p w:rsidR="00B45C76" w:rsidRPr="00B45C76" w:rsidRDefault="00B45C76" w:rsidP="00D63B76">
            <w:pPr>
              <w:pStyle w:val="HTMLiankstoformatuotas"/>
              <w:jc w:val="both"/>
              <w:rPr>
                <w:rFonts w:ascii="Times New Roman" w:hAnsi="Times New Roman" w:cs="Times New Roman"/>
                <w:b/>
                <w:sz w:val="22"/>
                <w:szCs w:val="22"/>
              </w:rPr>
            </w:pPr>
          </w:p>
        </w:tc>
        <w:tc>
          <w:tcPr>
            <w:tcW w:w="910"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b/>
                <w:sz w:val="22"/>
                <w:szCs w:val="22"/>
              </w:rPr>
            </w:pP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5.</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Pastatai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5.1.</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Kapitaliniai mūriniai pastatai (sienos 2,5 ir daugiau plytų storio, gelžbetonio; perdengimai ir denginiai – gelžbetoniniai ir betoniniai); monolitinio gelžbetonio pastatai, stambių blokų (perdengimai ir denginiai – gelžbetoniniai) pastatai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90</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90</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5.2.</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Pastatai (sienos – iki 2,5 plytos storio, blokų, monolitinio šlako, betono, lengvų šlako blokų, perdengimai ir denginiai – gelžbetoniniai, betoniniai arba mediniai)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50</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50</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5.3.</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 xml:space="preserve">Tašytų rąstų pastatai </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35</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35</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5.4.</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Surenkamieji, išardomieji, moliniai ir kiti pastatai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4</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4</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 xml:space="preserve">6. </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Infrastruktūros ir kiti statiniai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6.1.</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Infrastruktūros statiniai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6.1.1.</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Betoniniai, gelžbetoniniai, akmens</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20</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20</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6.1.2.</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Metaliniai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15</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15</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6.1.3.</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Mediniai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8</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8</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6.2.</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Kiti statiniai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5</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5</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7.</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Nekilnojamojo kultūros paveldo objektai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7.1.</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 xml:space="preserve">Nekilnojamojo kultūros paveldo objektų restauravimo darbai </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7</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7</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8.</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Mašinos ir įrenginiai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8.1.</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Gamybos mašinos ir įrenginiai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5</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5</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8.2.</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Ginkluotė, ginklai ir karinė technika</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12</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12</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8.3.</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Medicinos įranga</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5</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5</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8.4.</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Apsaugos įranga</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6</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6</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8.5.</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Filmavimo, fotografavimo, mobiliojo telefono ryšio įrenginiai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2</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2</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8.6.</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Radijo ir televizijos, informacinių ir ryšių technologijų tinklų valdymo įrenginiai ir įranga</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4</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4</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8.7.</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Kitos mašinos ir įrenginiai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5</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5</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9.</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Transporto priemonės</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9.1.</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Lengvieji automobiliai ir jų priekabos</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6</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6</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9.2.</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Specialūs automobiliai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6</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6</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9.3.</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Autobusai, krovininiai automobiliai, jų priekabos ir puspriekabės</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6</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6</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9.4.</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Kitos transporto priemonės</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6</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6</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10.</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Baldai ir biuro įranga</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10.1.</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Baldai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6</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6</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10.2.</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Kompiuteriai ir jų įranga</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3</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3</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lastRenderedPageBreak/>
              <w:t>10.3.</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Kopijavimo ir dokumentų dauginimo priemonės</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3</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3</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10.4.</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Kita biuro įranga</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4</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4</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11.</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Kitas ilgalaikis materialusis turtas</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11.1.</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Scenos meno priemonės</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2</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2</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11.2.</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Muzikos instrumentai</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5</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5</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11.3.</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Ūkinis inventorius ir kiti reikmenys</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3</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3</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11.4.</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Specialieji drabužiai ir avalynė</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1</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1</w:t>
            </w:r>
          </w:p>
        </w:tc>
      </w:tr>
      <w:tr w:rsidR="00B45C76" w:rsidRPr="00B45C76">
        <w:tc>
          <w:tcPr>
            <w:tcW w:w="312"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11.5.</w:t>
            </w:r>
          </w:p>
        </w:tc>
        <w:tc>
          <w:tcPr>
            <w:tcW w:w="2763" w:type="pct"/>
            <w:tcMar>
              <w:top w:w="28" w:type="dxa"/>
              <w:left w:w="57" w:type="dxa"/>
              <w:bottom w:w="28" w:type="dxa"/>
              <w:right w:w="57" w:type="dxa"/>
            </w:tcMar>
          </w:tcPr>
          <w:p w:rsidR="00B45C76" w:rsidRPr="00B45C76" w:rsidRDefault="00B45C76" w:rsidP="00D63B76">
            <w:pPr>
              <w:pStyle w:val="HTMLiankstoformatuotas"/>
              <w:jc w:val="both"/>
              <w:rPr>
                <w:rFonts w:ascii="Times New Roman" w:hAnsi="Times New Roman" w:cs="Times New Roman"/>
                <w:sz w:val="22"/>
                <w:szCs w:val="22"/>
              </w:rPr>
            </w:pPr>
            <w:r w:rsidRPr="00B45C76">
              <w:rPr>
                <w:rFonts w:ascii="Times New Roman" w:hAnsi="Times New Roman" w:cs="Times New Roman"/>
                <w:sz w:val="22"/>
                <w:szCs w:val="22"/>
              </w:rPr>
              <w:t>Kitas ilgalaikis materialusis turtas</w:t>
            </w:r>
          </w:p>
        </w:tc>
        <w:tc>
          <w:tcPr>
            <w:tcW w:w="1015" w:type="pct"/>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4</w:t>
            </w:r>
          </w:p>
        </w:tc>
        <w:tc>
          <w:tcPr>
            <w:tcW w:w="910" w:type="pct"/>
            <w:tcMar>
              <w:top w:w="28" w:type="dxa"/>
              <w:left w:w="57" w:type="dxa"/>
              <w:bottom w:w="28" w:type="dxa"/>
              <w:right w:w="57" w:type="dxa"/>
            </w:tcMar>
          </w:tcPr>
          <w:p w:rsidR="00B45C76" w:rsidRPr="00B45C76" w:rsidRDefault="00B45C76" w:rsidP="00172326">
            <w:pPr>
              <w:pStyle w:val="HTMLiankstoformatuotas"/>
              <w:jc w:val="center"/>
              <w:rPr>
                <w:rFonts w:ascii="Times New Roman" w:hAnsi="Times New Roman" w:cs="Times New Roman"/>
                <w:sz w:val="22"/>
                <w:szCs w:val="22"/>
              </w:rPr>
            </w:pPr>
            <w:r w:rsidRPr="00B45C76">
              <w:rPr>
                <w:rFonts w:ascii="Times New Roman" w:hAnsi="Times New Roman" w:cs="Times New Roman"/>
                <w:sz w:val="22"/>
                <w:szCs w:val="22"/>
              </w:rPr>
              <w:t>4</w:t>
            </w:r>
          </w:p>
        </w:tc>
      </w:tr>
    </w:tbl>
    <w:p w:rsidR="000B6A10" w:rsidRPr="00B45C76" w:rsidRDefault="000B6A10" w:rsidP="00172326">
      <w:pPr>
        <w:spacing w:before="240" w:after="240"/>
        <w:jc w:val="center"/>
        <w:rPr>
          <w:b/>
          <w:bCs/>
          <w:color w:val="000000"/>
        </w:rPr>
      </w:pPr>
      <w:r w:rsidRPr="00B45C76">
        <w:rPr>
          <w:b/>
          <w:bCs/>
          <w:color w:val="000000"/>
        </w:rPr>
        <w:t>Finansinis turtas ir finansiniai įsipareigojimai</w:t>
      </w:r>
    </w:p>
    <w:p w:rsidR="00B45C76" w:rsidRPr="00777651" w:rsidRDefault="00B45C76" w:rsidP="00C44613">
      <w:pPr>
        <w:ind w:firstLine="709"/>
        <w:jc w:val="both"/>
      </w:pPr>
      <w:r w:rsidRPr="00777651">
        <w:rPr>
          <w:b/>
        </w:rPr>
        <w:t>Finansinis turtas</w:t>
      </w:r>
      <w:r w:rsidRPr="00777651">
        <w:t xml:space="preserve"> apskaitomas vadovaujantis apskaitos principais ir taisyklėmis</w:t>
      </w:r>
      <w:r w:rsidR="00166338">
        <w:t>, nustatytom</w:t>
      </w:r>
      <w:r w:rsidRPr="00777651">
        <w:t xml:space="preserve">is 17-ajame VSAFAS „Finansinis turtas ir finansiniai įsipareigojimai.“ </w:t>
      </w:r>
    </w:p>
    <w:p w:rsidR="00B45C76" w:rsidRPr="00777651" w:rsidRDefault="00B45C76" w:rsidP="00C44613">
      <w:pPr>
        <w:ind w:firstLine="709"/>
        <w:jc w:val="both"/>
      </w:pPr>
      <w:r w:rsidRPr="00777651">
        <w:tab/>
        <w:t>Ilgalaikio finansinio turto įstaiga neturi.</w:t>
      </w:r>
    </w:p>
    <w:p w:rsidR="00B45C76" w:rsidRPr="00777651" w:rsidRDefault="00B45C76" w:rsidP="00C44613">
      <w:pPr>
        <w:ind w:firstLine="709"/>
        <w:jc w:val="both"/>
        <w:rPr>
          <w:i/>
        </w:rPr>
      </w:pPr>
      <w:r w:rsidRPr="00777651">
        <w:tab/>
        <w:t>Prie trumpalaikio finansinio turto priskiriama:</w:t>
      </w:r>
    </w:p>
    <w:p w:rsidR="00B45C76" w:rsidRPr="00777651" w:rsidRDefault="00B45C76" w:rsidP="00C44613">
      <w:pPr>
        <w:numPr>
          <w:ilvl w:val="0"/>
          <w:numId w:val="39"/>
        </w:numPr>
        <w:jc w:val="both"/>
      </w:pPr>
      <w:r w:rsidRPr="00777651">
        <w:t>trumpalaikės investicijos;</w:t>
      </w:r>
    </w:p>
    <w:p w:rsidR="00B45C76" w:rsidRPr="00777651" w:rsidRDefault="00B45C76" w:rsidP="00C44613">
      <w:pPr>
        <w:numPr>
          <w:ilvl w:val="0"/>
          <w:numId w:val="39"/>
        </w:numPr>
        <w:jc w:val="both"/>
      </w:pPr>
      <w:r w:rsidRPr="00777651">
        <w:t>išankstiniai apmokėjimai;</w:t>
      </w:r>
    </w:p>
    <w:p w:rsidR="00B45C76" w:rsidRPr="00777651" w:rsidRDefault="00B45C76" w:rsidP="00C44613">
      <w:pPr>
        <w:numPr>
          <w:ilvl w:val="0"/>
          <w:numId w:val="39"/>
        </w:numPr>
        <w:jc w:val="both"/>
      </w:pPr>
      <w:r w:rsidRPr="00777651">
        <w:t>per vienus metus gautinos sumos;</w:t>
      </w:r>
    </w:p>
    <w:p w:rsidR="00B45C76" w:rsidRPr="00777651" w:rsidRDefault="00B45C76" w:rsidP="00C44613">
      <w:pPr>
        <w:numPr>
          <w:ilvl w:val="0"/>
          <w:numId w:val="39"/>
        </w:numPr>
        <w:jc w:val="both"/>
      </w:pPr>
      <w:r w:rsidRPr="00777651">
        <w:t>pinigai ir jų ekvivalentai;</w:t>
      </w:r>
    </w:p>
    <w:p w:rsidR="00B45C76" w:rsidRPr="00777651" w:rsidRDefault="00B45C76" w:rsidP="00C44613">
      <w:pPr>
        <w:numPr>
          <w:ilvl w:val="0"/>
          <w:numId w:val="39"/>
        </w:numPr>
        <w:jc w:val="both"/>
      </w:pPr>
      <w:r w:rsidRPr="00777651">
        <w:t>kitas trumpalaikis finansinis turtas.</w:t>
      </w:r>
    </w:p>
    <w:p w:rsidR="00B45C76" w:rsidRPr="00777651" w:rsidRDefault="00B45C76" w:rsidP="00C44613">
      <w:pPr>
        <w:ind w:firstLine="709"/>
        <w:jc w:val="both"/>
        <w:rPr>
          <w:snapToGrid w:val="0"/>
        </w:rPr>
      </w:pPr>
      <w:bookmarkStart w:id="1" w:name="_Toc165137588"/>
      <w:bookmarkStart w:id="2" w:name="_Toc165137893"/>
      <w:bookmarkEnd w:id="1"/>
      <w:bookmarkEnd w:id="2"/>
      <w:r w:rsidRPr="00777651">
        <w:rPr>
          <w:b/>
          <w:snapToGrid w:val="0"/>
        </w:rPr>
        <w:t>Finansinių įsipareigojimų</w:t>
      </w:r>
      <w:r w:rsidRPr="00777651">
        <w:rPr>
          <w:snapToGrid w:val="0"/>
        </w:rPr>
        <w:t xml:space="preserve"> apskaitos principai, metodai ir taisyklės nustatyti 17</w:t>
      </w:r>
      <w:r w:rsidR="00166338">
        <w:rPr>
          <w:snapToGrid w:val="0"/>
        </w:rPr>
        <w:t>-ajame</w:t>
      </w:r>
      <w:r w:rsidRPr="00777651">
        <w:rPr>
          <w:snapToGrid w:val="0"/>
        </w:rPr>
        <w:t xml:space="preserve"> VSAFAS „Finansinis turtas ir finansiniai įsipareigojimai“, 18-ajame VSAFAS „Atidėjiniai, neapibrėžtieji įsipareigojimai, neapibrėžtasis turtas ir įvykiai pasibaigus ataskaitiniam laikotarpiui“, 19-ajame VSAFAS „Nuoma, finansinė nuoma (lizingas) ir kitos turto perdavimo sutartys“ ir 24-ajame VSAFAS „Su darbo santykiais susijusios išmokos“.</w:t>
      </w:r>
    </w:p>
    <w:p w:rsidR="00B45C76" w:rsidRPr="00777651" w:rsidRDefault="00B45C76" w:rsidP="00C44613">
      <w:pPr>
        <w:ind w:firstLine="709"/>
        <w:jc w:val="both"/>
      </w:pPr>
      <w:r w:rsidRPr="00777651">
        <w:tab/>
        <w:t xml:space="preserve">Įsipareigojimai yra skirstomi į ilgalaikius ir trumpalaikius, atsižvelgiant į numatomą įsipareigojimų įvykdymo laiką. Įsipareigojimai registruojami apskaitoje tik tada, kai gavus turtą ar paslaugas įstaiga prisiima įsipareigojimą atsiskaityti pinigais arba turtu. </w:t>
      </w:r>
    </w:p>
    <w:p w:rsidR="00B45C76" w:rsidRPr="00777651" w:rsidRDefault="00B45C76" w:rsidP="00C44613">
      <w:pPr>
        <w:ind w:firstLine="709"/>
        <w:jc w:val="both"/>
      </w:pPr>
      <w:r w:rsidRPr="00777651">
        <w:tab/>
        <w:t>Ataskaitinio laikotarpio pabaigoje ilgalaikių skolų dalis, kuri turės būti sugrąžinta per ateinančius finansinius metus, perkeliama į trumpalaikių įsipareigojimų grupę. Trumpalaikiai įsipareigojimai yra tie, kuriuos įstaiga turės įvykdyti per vienerius metus nuo finansinės būklės ataskaitos sudarymo datos.</w:t>
      </w:r>
    </w:p>
    <w:p w:rsidR="00B45C76" w:rsidRPr="00777651" w:rsidRDefault="00B45C76" w:rsidP="00C44613">
      <w:pPr>
        <w:ind w:firstLine="709"/>
        <w:jc w:val="both"/>
      </w:pPr>
      <w:r w:rsidRPr="00777651">
        <w:rPr>
          <w:b/>
        </w:rPr>
        <w:t>Finansinės nuomos (lizingo)</w:t>
      </w:r>
      <w:r w:rsidRPr="00777651">
        <w:t xml:space="preserve"> ūkinės operacijos apskaitomos vadovaujantis apskaitos principais ir taisyklėmis kurios nurodytos 19</w:t>
      </w:r>
      <w:r w:rsidR="00166338">
        <w:t>-ajame</w:t>
      </w:r>
      <w:r w:rsidRPr="00777651">
        <w:t xml:space="preserve"> VSAFAS „Nuoma, finansinė nuoma (lizingas) ir kitos turto perdavimo sutartys“.</w:t>
      </w:r>
    </w:p>
    <w:p w:rsidR="00B45C76" w:rsidRPr="00777651" w:rsidRDefault="00166338" w:rsidP="00C44613">
      <w:pPr>
        <w:ind w:firstLine="709"/>
        <w:jc w:val="both"/>
      </w:pPr>
      <w:r>
        <w:rPr>
          <w:b/>
        </w:rPr>
        <w:t>Atostoginių kaupimas</w:t>
      </w:r>
      <w:r>
        <w:t xml:space="preserve"> priskiriamas</w:t>
      </w:r>
      <w:r w:rsidR="00B45C76" w:rsidRPr="00777651">
        <w:t xml:space="preserve"> su darbo santykiais susijusiems įsipareigojimams. Atostoginių kaupimai apskaitomi vadovaujantis apskaitos principais, nustatytais 24</w:t>
      </w:r>
      <w:r>
        <w:t>-ajame</w:t>
      </w:r>
      <w:r w:rsidR="00B45C76" w:rsidRPr="00777651">
        <w:t xml:space="preserve"> VSAFAS „Su darbo santykiais susijusios išmokos“</w:t>
      </w:r>
    </w:p>
    <w:p w:rsidR="00B45C76" w:rsidRPr="00777651" w:rsidRDefault="00166338" w:rsidP="00C44613">
      <w:pPr>
        <w:ind w:firstLine="709"/>
        <w:jc w:val="both"/>
      </w:pPr>
      <w:r>
        <w:t>Atostoginių kaupimas</w:t>
      </w:r>
      <w:r w:rsidR="00B45C76" w:rsidRPr="00777651">
        <w:t xml:space="preserve"> darbuotojams – tai įsipareigojimas suteikti apmokamas atostogas, kuriomis jie nepasinaudojo ataskaitinį laikotarpį. Sukaupta už kasmetines atostogas mokėtina suma apskaitoje registruojama kiekvienų metų paskutinę dieną – t.</w:t>
      </w:r>
      <w:r>
        <w:t xml:space="preserve"> </w:t>
      </w:r>
      <w:r w:rsidR="00B45C76" w:rsidRPr="00777651">
        <w:t xml:space="preserve">y. gruodžio 31 d. </w:t>
      </w:r>
    </w:p>
    <w:p w:rsidR="00B45C76" w:rsidRPr="00777651" w:rsidRDefault="00B45C76" w:rsidP="00C44613">
      <w:pPr>
        <w:ind w:firstLine="709"/>
        <w:jc w:val="both"/>
      </w:pPr>
      <w:r w:rsidRPr="00777651">
        <w:t>Tuo atveju, kai už faktiškai darbuotojams suteiktas atostogas apskaičiuota didesnė suma, negu užregistruoti apskaitoje atostoginių kaupimai, sumos skirtumui atliekamas buhalteris įrašas, atitinkamai didinant sąnaudas ir įsipareigojimus.</w:t>
      </w:r>
    </w:p>
    <w:p w:rsidR="00B45C76" w:rsidRPr="00777651" w:rsidRDefault="00B45C76" w:rsidP="00C44613">
      <w:pPr>
        <w:ind w:firstLine="709"/>
        <w:jc w:val="both"/>
      </w:pPr>
      <w:r w:rsidRPr="00777651">
        <w:t>Tuo atveju, kai už faktiškai darbuotojams suteiktas atostogas apskaičiuota mažesnė suma, negu užregistruoti apskaitoje atostoginių kaupimai, sumos skirtumui atliekamas reversinis buhalteris įrašas, atitinkamai sumažinant sąnaudas ir įsipareigojimus.</w:t>
      </w:r>
    </w:p>
    <w:p w:rsidR="000B6A10" w:rsidRDefault="00B45C76" w:rsidP="00C44613">
      <w:pPr>
        <w:pStyle w:val="Style29"/>
        <w:spacing w:line="240" w:lineRule="auto"/>
        <w:ind w:firstLine="709"/>
        <w:jc w:val="both"/>
      </w:pPr>
      <w:r w:rsidRPr="00777651">
        <w:t xml:space="preserve">Atostoginių kaupimai apima darbdavio mokamas socialinio draudimo įmokas, skaičiuojamas nuo apskaičiuoto darbo užmokesčio ir įmokas į Garantinį fondą. </w:t>
      </w:r>
    </w:p>
    <w:p w:rsidR="000B6A10" w:rsidRDefault="000B6A10" w:rsidP="00172326">
      <w:pPr>
        <w:spacing w:before="240" w:after="240"/>
        <w:ind w:firstLine="851"/>
        <w:jc w:val="center"/>
        <w:rPr>
          <w:b/>
          <w:bCs/>
          <w:color w:val="000000"/>
        </w:rPr>
      </w:pPr>
      <w:r w:rsidRPr="00B45C76">
        <w:rPr>
          <w:b/>
          <w:bCs/>
          <w:color w:val="000000"/>
        </w:rPr>
        <w:t>Atsargos</w:t>
      </w:r>
    </w:p>
    <w:p w:rsidR="00B45C76" w:rsidRPr="00777651" w:rsidRDefault="00B45C76" w:rsidP="00C44613">
      <w:pPr>
        <w:ind w:firstLine="709"/>
        <w:jc w:val="both"/>
      </w:pPr>
      <w:r w:rsidRPr="00777651">
        <w:lastRenderedPageBreak/>
        <w:t>Atsargos apskaitomos vadovaujantis apskaitos prin</w:t>
      </w:r>
      <w:r w:rsidR="00166338">
        <w:t>cipais ir taisyklėmis, nustatytom</w:t>
      </w:r>
      <w:r w:rsidRPr="00777651">
        <w:t xml:space="preserve">is </w:t>
      </w:r>
      <w:r w:rsidR="00166338">
        <w:br/>
      </w:r>
      <w:r w:rsidRPr="00777651">
        <w:t>8</w:t>
      </w:r>
      <w:r w:rsidR="00166338">
        <w:t>-ajame</w:t>
      </w:r>
      <w:r w:rsidRPr="00777651">
        <w:t xml:space="preserve"> VSAFAS „Atsargos“.</w:t>
      </w:r>
    </w:p>
    <w:p w:rsidR="00B45C76" w:rsidRPr="00777651" w:rsidRDefault="00B45C76" w:rsidP="00C44613">
      <w:pPr>
        <w:ind w:firstLine="709"/>
        <w:jc w:val="both"/>
      </w:pPr>
      <w:r w:rsidRPr="00777651">
        <w:t>Pirminio pripažinimo metu atsargos įvertinamos įsigijimo savikaina, o sudarant finansines ataskaitas – įsigijimo savikaina ar grynąja galimo realizavimo verte, atsižvelgiant į tai, kuri iš jų mažesnė.</w:t>
      </w:r>
    </w:p>
    <w:p w:rsidR="00B45C76" w:rsidRPr="00777651" w:rsidRDefault="00B45C76" w:rsidP="00C44613">
      <w:pPr>
        <w:ind w:firstLine="709"/>
        <w:jc w:val="both"/>
      </w:pPr>
      <w:r w:rsidRPr="00777651">
        <w:t xml:space="preserve">Įstaiga nėra pridėtinės vertės mokesčio mokėtoja pagal pajamas už teikiamas paslaugas, todėl šiai veiklai vykdyti įsigytas atsargas į apskaitą įtraukia su pridėtinės vertės mokesčiu. </w:t>
      </w:r>
    </w:p>
    <w:p w:rsidR="00B45C76" w:rsidRPr="00777651" w:rsidRDefault="00B45C76" w:rsidP="00C44613">
      <w:pPr>
        <w:ind w:firstLine="709"/>
        <w:jc w:val="both"/>
      </w:pPr>
      <w:r w:rsidRPr="00777651">
        <w:t>Apskaičiuodama atsargų, sunaudotų teikian</w:t>
      </w:r>
      <w:r w:rsidR="00166338">
        <w:t>t paslaugas, atsargų savikainą,</w:t>
      </w:r>
      <w:r w:rsidRPr="00777651">
        <w:t xml:space="preserve"> VšĮ Krekenavos PSPC taiko „ pirmas gautas, pirmas išduotas“ (FIFO) atsargų įkainojimo būdą.</w:t>
      </w:r>
    </w:p>
    <w:p w:rsidR="00B45C76" w:rsidRPr="00B45C76" w:rsidRDefault="00B45C76" w:rsidP="00C44613">
      <w:pPr>
        <w:ind w:firstLine="851"/>
        <w:jc w:val="both"/>
        <w:rPr>
          <w:b/>
          <w:bCs/>
          <w:color w:val="000000"/>
        </w:rPr>
      </w:pPr>
      <w:r w:rsidRPr="00777651">
        <w:t>Prie atsargų priskiriamas neatiduotas naudoti ūkinis, medicinos ir kitas inventorius. Atiduoto naudoti inventoriaus vertė iš karto įtraukiama į sąnaudas. Naudojamo inventoriaus kiekinė ir vertinė apskaita kontrolės tikslais tvarkoma nebalansinėse sąskaitose</w:t>
      </w:r>
      <w:bookmarkStart w:id="3" w:name="_Toc165137890"/>
      <w:bookmarkEnd w:id="3"/>
      <w:r w:rsidRPr="00777651">
        <w:t>.</w:t>
      </w:r>
    </w:p>
    <w:p w:rsidR="000B6A10" w:rsidRDefault="000B6A10" w:rsidP="00172326">
      <w:pPr>
        <w:spacing w:before="240" w:after="240"/>
        <w:ind w:firstLine="851"/>
        <w:jc w:val="center"/>
        <w:rPr>
          <w:b/>
          <w:bCs/>
          <w:color w:val="000000"/>
        </w:rPr>
      </w:pPr>
      <w:r w:rsidRPr="00B45C76">
        <w:rPr>
          <w:b/>
          <w:bCs/>
          <w:color w:val="000000"/>
        </w:rPr>
        <w:t>Finansavimo sumos</w:t>
      </w:r>
    </w:p>
    <w:p w:rsidR="00B45C76" w:rsidRPr="00777651" w:rsidRDefault="00B45C76" w:rsidP="00C44613">
      <w:pPr>
        <w:ind w:firstLine="709"/>
        <w:jc w:val="both"/>
      </w:pPr>
      <w:r w:rsidRPr="00777651">
        <w:t>Finansavimo sumos apskaitomos vadovaujantis apskaitos principais ir taisyklėmis</w:t>
      </w:r>
      <w:r w:rsidR="00166338">
        <w:t>, nustatytom</w:t>
      </w:r>
      <w:r w:rsidRPr="00777651">
        <w:t>is 20</w:t>
      </w:r>
      <w:r w:rsidR="00166338">
        <w:t>-ajame</w:t>
      </w:r>
      <w:r w:rsidRPr="00777651">
        <w:t xml:space="preserve"> VSAFAS „Finansavimo sumos“. Finansavimo sumos pripažįstamos, kai atitinka šiame VSAFAS nustatytus kriterijus.</w:t>
      </w:r>
    </w:p>
    <w:p w:rsidR="00B45C76" w:rsidRPr="00777651" w:rsidRDefault="00B45C76" w:rsidP="00C44613">
      <w:pPr>
        <w:ind w:firstLine="709"/>
        <w:jc w:val="both"/>
      </w:pPr>
      <w:r w:rsidRPr="00777651">
        <w:t>Finansavimo sumos – tai iš valstybės ir savivaldybės biudžetų, Privalomojo sveikatos draudimo fondo, Europos Sąjungos, Lietuvos ir užsienio paramos fondų gauti arba gautini pinigai arba kitas turtas, skirti įstatuose nustatytiems tikslams pasiekti ir funkcijoms atlikti bei vykdomoms programoms įgyvendinti. Finansavimo sumos apima gautus arba gautinus pinigus ir kaip paramą gautą turtą, įskaitant įsigytą už simbolinį atlyginimą.</w:t>
      </w:r>
    </w:p>
    <w:p w:rsidR="00B45C76" w:rsidRPr="00B45C76" w:rsidRDefault="00B45C76" w:rsidP="00C44613">
      <w:pPr>
        <w:ind w:firstLine="709"/>
        <w:jc w:val="both"/>
        <w:rPr>
          <w:b/>
          <w:bCs/>
          <w:color w:val="000000"/>
        </w:rPr>
      </w:pPr>
      <w:r w:rsidRPr="00777651">
        <w:t>Gautos (gautinos) ir panaudotos finansavimo sumos arba jų dalis pripažįstamos finansavimo pajamomis tais laikotarpiais, kuriais padaromos su finansavimo sumomis susijusios sąnaudos.</w:t>
      </w:r>
    </w:p>
    <w:p w:rsidR="000B6A10" w:rsidRDefault="000B6A10" w:rsidP="00172326">
      <w:pPr>
        <w:spacing w:before="240" w:after="240"/>
        <w:ind w:firstLine="851"/>
        <w:jc w:val="center"/>
        <w:rPr>
          <w:b/>
          <w:bCs/>
          <w:color w:val="000000"/>
        </w:rPr>
      </w:pPr>
      <w:r w:rsidRPr="00B45C76">
        <w:rPr>
          <w:b/>
          <w:bCs/>
          <w:color w:val="000000"/>
        </w:rPr>
        <w:t>Atidėjiniai</w:t>
      </w:r>
    </w:p>
    <w:p w:rsidR="00B45C76" w:rsidRPr="00777651" w:rsidRDefault="00B45C76" w:rsidP="00C44613">
      <w:pPr>
        <w:ind w:firstLine="709"/>
        <w:jc w:val="both"/>
        <w:rPr>
          <w:snapToGrid w:val="0"/>
        </w:rPr>
      </w:pPr>
      <w:r w:rsidRPr="00777651">
        <w:t xml:space="preserve">Atidėjiniai, neapibrėžtieji įsipareigojimai, neapibrėžtas turtas pripažįstami ir registruojami apskaitoje tada, kai atitinka visus 18-ajame VSAFAS </w:t>
      </w:r>
      <w:r w:rsidRPr="00777651">
        <w:rPr>
          <w:snapToGrid w:val="0"/>
        </w:rPr>
        <w:t>„Atidėjiniai, neapibrėžtieji įsipareigojimai, neapibrėžtasis turtas ir įvykiai pasibaigus ataskaitiniam laikotarpiui“ išvardytus pripažinimo kriterijus.</w:t>
      </w:r>
    </w:p>
    <w:p w:rsidR="000B6A10" w:rsidRDefault="000B6A10" w:rsidP="00172326">
      <w:pPr>
        <w:spacing w:before="240" w:after="240"/>
        <w:ind w:firstLine="851"/>
        <w:jc w:val="center"/>
        <w:rPr>
          <w:b/>
          <w:bCs/>
          <w:color w:val="000000"/>
        </w:rPr>
      </w:pPr>
      <w:r w:rsidRPr="00B45C76">
        <w:rPr>
          <w:b/>
          <w:bCs/>
          <w:color w:val="000000"/>
        </w:rPr>
        <w:t>Segmentai</w:t>
      </w:r>
    </w:p>
    <w:p w:rsidR="00B45C76" w:rsidRPr="00777651" w:rsidRDefault="00B45C76" w:rsidP="00C44613">
      <w:pPr>
        <w:tabs>
          <w:tab w:val="left" w:pos="0"/>
        </w:tabs>
        <w:ind w:firstLine="709"/>
        <w:jc w:val="both"/>
      </w:pPr>
      <w:r w:rsidRPr="00777651">
        <w:rPr>
          <w:rStyle w:val="FontStyle101"/>
          <w:sz w:val="24"/>
          <w:szCs w:val="24"/>
        </w:rPr>
        <w:t>Įstaigoje apskaita grupuoja</w:t>
      </w:r>
      <w:r w:rsidR="00166338">
        <w:rPr>
          <w:rStyle w:val="FontStyle101"/>
          <w:sz w:val="24"/>
          <w:szCs w:val="24"/>
        </w:rPr>
        <w:t>ma pagal segmentus, kaip nustatyta 25-ajame</w:t>
      </w:r>
      <w:r w:rsidRPr="00777651">
        <w:rPr>
          <w:rStyle w:val="FontStyle101"/>
          <w:sz w:val="24"/>
          <w:szCs w:val="24"/>
        </w:rPr>
        <w:t xml:space="preserve"> VSAFAS „Segmentai“. </w:t>
      </w:r>
      <w:r w:rsidRPr="00777651">
        <w:t>Segmentai – įstaigos pagrindinės veiklos dalys pagal atliekamas valstybės funkcijas, apimančios vienarūšes įstaigos teikiamas viešąsias paslaugas pagal v</w:t>
      </w:r>
      <w:r w:rsidR="00166338">
        <w:t>alstybės funkcijų klasifikaciją</w:t>
      </w:r>
      <w:r w:rsidRPr="00777651">
        <w:t xml:space="preserve">. </w:t>
      </w:r>
    </w:p>
    <w:p w:rsidR="00B45C76" w:rsidRPr="00777651" w:rsidRDefault="00B45C76" w:rsidP="00166338">
      <w:pPr>
        <w:tabs>
          <w:tab w:val="left" w:pos="0"/>
        </w:tabs>
        <w:ind w:firstLine="709"/>
        <w:jc w:val="both"/>
      </w:pPr>
      <w:r w:rsidRPr="00777651">
        <w:t>Įs</w:t>
      </w:r>
      <w:r w:rsidR="00166338">
        <w:t xml:space="preserve">taiga grupuoja šiuos segmentus: sveikatos priežiūros, </w:t>
      </w:r>
      <w:r w:rsidRPr="00777651">
        <w:t>socialinės apsaugos</w:t>
      </w:r>
      <w:r w:rsidR="00166338">
        <w:t>.</w:t>
      </w:r>
    </w:p>
    <w:p w:rsidR="00B45C76" w:rsidRPr="00B45C76" w:rsidRDefault="00B45C76" w:rsidP="00792998">
      <w:pPr>
        <w:ind w:firstLine="709"/>
        <w:jc w:val="both"/>
        <w:rPr>
          <w:b/>
          <w:bCs/>
          <w:color w:val="000000"/>
        </w:rPr>
      </w:pPr>
      <w:r w:rsidRPr="00777651">
        <w:t>Įstaiga išskiria pirminį veiklos segmentą – sveikatos priežiūrą. Apie šį segmentą pateikiama tokia informacija: segmento sąnaudos, segmento pinigų srautai. Įstaigos antriniai segmentai (socialinė apsauga) yra labai nežymus ir sudaro mažą procentą nuo bend</w:t>
      </w:r>
      <w:r w:rsidR="00197882">
        <w:t>r</w:t>
      </w:r>
      <w:r w:rsidRPr="00777651">
        <w:t>ųjų įstaigos pajamų ir atskiros apskaitos antrinių segmentų apskaitai n</w:t>
      </w:r>
      <w:r w:rsidR="00197882">
        <w:t>e</w:t>
      </w:r>
      <w:r w:rsidRPr="00777651">
        <w:t>taikoma.</w:t>
      </w:r>
    </w:p>
    <w:p w:rsidR="000B6A10" w:rsidRDefault="000B6A10" w:rsidP="00172326">
      <w:pPr>
        <w:spacing w:before="240" w:after="240"/>
        <w:ind w:firstLine="851"/>
        <w:jc w:val="center"/>
        <w:rPr>
          <w:b/>
          <w:bCs/>
          <w:color w:val="000000"/>
        </w:rPr>
      </w:pPr>
      <w:r w:rsidRPr="00B45C76">
        <w:rPr>
          <w:b/>
          <w:bCs/>
          <w:color w:val="000000"/>
        </w:rPr>
        <w:t>Kitos pajamos</w:t>
      </w:r>
    </w:p>
    <w:p w:rsidR="00B45C76" w:rsidRPr="00777651" w:rsidRDefault="00B45C76" w:rsidP="00792998">
      <w:pPr>
        <w:ind w:firstLine="709"/>
        <w:jc w:val="both"/>
        <w:rPr>
          <w:snapToGrid w:val="0"/>
        </w:rPr>
      </w:pPr>
      <w:r w:rsidRPr="00777651">
        <w:t>Pajamos įstaigoje apskaitomos vadovaujantis apskaitos principais ir taisyklėmis, nustatytomis 10-ajame VSAFAS „Kitos pajamos“ i</w:t>
      </w:r>
      <w:r w:rsidRPr="00777651">
        <w:rPr>
          <w:snapToGrid w:val="0"/>
        </w:rPr>
        <w:t>r 20-ajame VSAFAS „Finansavimo sumos“.</w:t>
      </w:r>
    </w:p>
    <w:p w:rsidR="00B45C76" w:rsidRPr="00777651" w:rsidRDefault="00B45C76" w:rsidP="00792998">
      <w:pPr>
        <w:ind w:firstLine="709"/>
        <w:jc w:val="both"/>
      </w:pPr>
      <w:r w:rsidRPr="00777651">
        <w:t>Finansavimo pajamos pripažįstamos pagal kaupimo principą – gautos finansavimo sumos arba jų dalys pripažįstamos pajamomis tais laikotarpiais, kuriais patiriamos su šiomis pajamomis susijusios sąnaudos.</w:t>
      </w:r>
    </w:p>
    <w:p w:rsidR="00B45C76" w:rsidRPr="00777651" w:rsidRDefault="00B45C76" w:rsidP="000D6D41">
      <w:pPr>
        <w:ind w:firstLine="709"/>
        <w:jc w:val="both"/>
      </w:pPr>
      <w:r w:rsidRPr="00777651">
        <w:t>Finansavimo sumos, skirtos nematerialiajam, ilgalaikiam materialiajam turtui įsigyti, pripa</w:t>
      </w:r>
      <w:r w:rsidR="000D6D41">
        <w:t xml:space="preserve">žįstamos finansavimo pajamomis: </w:t>
      </w:r>
      <w:r w:rsidRPr="00777651">
        <w:t>registruojant turt</w:t>
      </w:r>
      <w:r w:rsidR="000D6D41">
        <w:t>o nusidėvėjimą (amortizaciją);</w:t>
      </w:r>
      <w:r w:rsidRPr="00777651">
        <w:t xml:space="preserve"> re</w:t>
      </w:r>
      <w:r w:rsidR="000D6D41">
        <w:t>gistruojant turto nuvertėjimą;</w:t>
      </w:r>
      <w:r w:rsidRPr="00777651">
        <w:t xml:space="preserve"> registruojant turto pardavimą ar perleidimą ne</w:t>
      </w:r>
      <w:r w:rsidR="000D6D41">
        <w:t xml:space="preserve"> viešojo sektoriaus subjektams;</w:t>
      </w:r>
      <w:r w:rsidRPr="00777651">
        <w:t xml:space="preserve"> nurašant sugadintą ar dėl kitų priežasčių netinkamą naudoti turtą į sąnaudas.</w:t>
      </w:r>
    </w:p>
    <w:p w:rsidR="00B45C76" w:rsidRPr="00777651" w:rsidRDefault="00B45C76" w:rsidP="000D6D41">
      <w:pPr>
        <w:ind w:firstLine="709"/>
        <w:jc w:val="both"/>
      </w:pPr>
      <w:r w:rsidRPr="00777651">
        <w:lastRenderedPageBreak/>
        <w:t>Finansavimo sumos atsargoms įsigyti pripa</w:t>
      </w:r>
      <w:r w:rsidR="000D6D41">
        <w:t>žįstamos finansavimo pajamomis:</w:t>
      </w:r>
      <w:r w:rsidRPr="00777651">
        <w:t xml:space="preserve"> perdavus ūkin</w:t>
      </w:r>
      <w:r w:rsidR="000D6D41">
        <w:t>į inventorių naudoti veikloje;</w:t>
      </w:r>
      <w:r w:rsidRPr="00777651">
        <w:t xml:space="preserve"> sunaudojus m</w:t>
      </w:r>
      <w:r w:rsidR="000D6D41">
        <w:t>edžiagas ir žaliavas veikloje; pardavus atsargas;</w:t>
      </w:r>
      <w:r w:rsidRPr="00777651">
        <w:t xml:space="preserve"> atsargoms nuvertėjus; nurašius pripažintas nereikalingomis, netinkamomis (negalimomis) naudoti atsargas. </w:t>
      </w:r>
    </w:p>
    <w:p w:rsidR="00B45C76" w:rsidRPr="00777651" w:rsidRDefault="00B45C76" w:rsidP="000D6D41">
      <w:pPr>
        <w:ind w:firstLine="709"/>
        <w:jc w:val="both"/>
      </w:pPr>
      <w:r w:rsidRPr="00777651">
        <w:t xml:space="preserve">Finansavimo sumos kitoms išlaidoms kompensuoti pripažįstamos finansavimo pajamomis, kurios lygios turėtų sąnaudų sumai, tą patį mėnesį, kada jos patiriamos. </w:t>
      </w:r>
    </w:p>
    <w:p w:rsidR="00B45C76" w:rsidRPr="00777651" w:rsidRDefault="00B45C76" w:rsidP="00792998">
      <w:pPr>
        <w:ind w:firstLine="709"/>
        <w:jc w:val="both"/>
      </w:pPr>
      <w:r w:rsidRPr="00777651">
        <w:rPr>
          <w:b/>
        </w:rPr>
        <w:t>Pagrindinės veiklos kitos pajamos</w:t>
      </w:r>
      <w:r w:rsidRPr="00777651">
        <w:t xml:space="preserve"> apskaitomos vadovaujantis apskaitos principais ir taisyklėmis</w:t>
      </w:r>
      <w:r w:rsidR="00720F44">
        <w:t>, nustatytom</w:t>
      </w:r>
      <w:r w:rsidRPr="00777651">
        <w:t>is 10</w:t>
      </w:r>
      <w:r w:rsidR="00720F44">
        <w:t>-ajame</w:t>
      </w:r>
      <w:r w:rsidRPr="00777651">
        <w:t xml:space="preserve"> VSAFAS „Kitos pajamos“.</w:t>
      </w:r>
    </w:p>
    <w:p w:rsidR="00B45C76" w:rsidRPr="00777651" w:rsidRDefault="00B45C76" w:rsidP="00792998">
      <w:pPr>
        <w:ind w:firstLine="709"/>
        <w:jc w:val="both"/>
      </w:pPr>
      <w:r w:rsidRPr="00777651">
        <w:t>Pajamų apskaitai taikomas kaupimo principas. Pajamos registruojamos apskaitoje ir rodomos finansinėse ataskaitose tą ataskaitinį laikotarpį, kurį yra uždirbamos, t. y. kurį suteikiamos  paslaugos, atliekami darbai ar parduodamos prekės, nepriklausomai nuo pinigų gavimo momento. Pajamos įvertinamos ir finansinėse ataskaitose rodomos tikrąja verte.</w:t>
      </w:r>
    </w:p>
    <w:p w:rsidR="00B45C76" w:rsidRPr="00777651" w:rsidRDefault="00B45C76" w:rsidP="00792998">
      <w:pPr>
        <w:ind w:firstLine="709"/>
        <w:jc w:val="both"/>
      </w:pPr>
      <w:r w:rsidRPr="00777651">
        <w:t>Įstaigos pagrindinės veiklos pajamos yra pajamos , uždirbtos pagal savo tiesioginę veiklos paskirtį iš Privalomojo sveikatos draudimo fondo lėšų bei kitų asmenų už suteiktas medicinines paslaugas.</w:t>
      </w:r>
    </w:p>
    <w:p w:rsidR="00B45C76" w:rsidRPr="00777651" w:rsidRDefault="00B45C76" w:rsidP="00792998">
      <w:pPr>
        <w:ind w:firstLine="709"/>
        <w:jc w:val="both"/>
      </w:pPr>
      <w:r w:rsidRPr="00777651">
        <w:t>Kitos veiklos pajamos – tai įstaigos veikloje nebenaudojamo ilgalaikio turto, išskyrus finansinį, perleidimo pelnas, atsargų pardavimo pajamos, bei vienkartinių ir atsitiktinių ūkinių operacijų pajamos.</w:t>
      </w:r>
    </w:p>
    <w:p w:rsidR="00B45C76" w:rsidRPr="00B45C76" w:rsidRDefault="00B45C76" w:rsidP="00792998">
      <w:pPr>
        <w:spacing w:before="100" w:beforeAutospacing="1" w:after="100" w:afterAutospacing="1"/>
        <w:ind w:firstLine="709"/>
        <w:jc w:val="both"/>
        <w:rPr>
          <w:b/>
          <w:bCs/>
          <w:color w:val="000000"/>
        </w:rPr>
      </w:pPr>
      <w:r w:rsidRPr="00777651">
        <w:t>Finansinės ir investicinės veiklos pajamos – tai įstaigos gautos palūkanos už kredito įstaigose laikomus pinigus, gautos baudų, delspinigių ir kitų netesybų pajamos, valiut</w:t>
      </w:r>
      <w:r w:rsidR="00197882">
        <w:t>o</w:t>
      </w:r>
      <w:r w:rsidRPr="00777651">
        <w:t>s kurso teigiama įtaka.</w:t>
      </w:r>
    </w:p>
    <w:p w:rsidR="000B6A10" w:rsidRDefault="000B6A10" w:rsidP="00172326">
      <w:pPr>
        <w:spacing w:before="240" w:after="240"/>
        <w:ind w:firstLine="851"/>
        <w:jc w:val="center"/>
        <w:rPr>
          <w:b/>
          <w:bCs/>
          <w:color w:val="000000"/>
        </w:rPr>
      </w:pPr>
      <w:r w:rsidRPr="00B45C76">
        <w:rPr>
          <w:b/>
          <w:bCs/>
          <w:color w:val="000000"/>
        </w:rPr>
        <w:t>Sąnaudos</w:t>
      </w:r>
    </w:p>
    <w:p w:rsidR="00B45C76" w:rsidRPr="00777651" w:rsidRDefault="00B45C76" w:rsidP="00792998">
      <w:pPr>
        <w:ind w:firstLine="709"/>
        <w:jc w:val="both"/>
        <w:rPr>
          <w:bCs/>
        </w:rPr>
      </w:pPr>
      <w:r w:rsidRPr="00777651">
        <w:t>Sąnaudos apskaitomos vadovaujantis apskaitos principais ir taisyklėmis</w:t>
      </w:r>
      <w:r w:rsidR="00720F44">
        <w:t>, nustatytom</w:t>
      </w:r>
      <w:r w:rsidRPr="00777651">
        <w:t xml:space="preserve">is </w:t>
      </w:r>
      <w:r w:rsidR="00720F44">
        <w:br/>
      </w:r>
      <w:r w:rsidRPr="00777651">
        <w:t>11</w:t>
      </w:r>
      <w:r w:rsidR="00720F44">
        <w:t>-ajame</w:t>
      </w:r>
      <w:r w:rsidRPr="00777651">
        <w:t xml:space="preserve"> VSAFAS „Sąnaudos“. </w:t>
      </w:r>
    </w:p>
    <w:p w:rsidR="00B45C76" w:rsidRPr="00777651" w:rsidRDefault="00B45C76" w:rsidP="00792998">
      <w:pPr>
        <w:ind w:firstLine="709"/>
        <w:jc w:val="both"/>
        <w:rPr>
          <w:bCs/>
        </w:rPr>
      </w:pPr>
      <w:r w:rsidRPr="00777651">
        <w:rPr>
          <w:bCs/>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tam tikrų pajamų uždirbimu ir jos neduos ekonominės naudos ateinančiais ataskaitiniais laikotarpiais, šios išlaidos pripažįstamos sąnaudomis tą patį laikotarpį, kada buvo padarytos.</w:t>
      </w:r>
    </w:p>
    <w:p w:rsidR="00B45C76" w:rsidRPr="00777651" w:rsidRDefault="00B45C76" w:rsidP="00792998">
      <w:pPr>
        <w:ind w:firstLine="709"/>
        <w:jc w:val="both"/>
        <w:rPr>
          <w:bCs/>
        </w:rPr>
      </w:pPr>
      <w:r w:rsidRPr="00777651">
        <w:rPr>
          <w:bCs/>
        </w:rPr>
        <w:t>Sąnaudų dydis įvertinamas sumokėta arba mokėtina pinigų suma.</w:t>
      </w:r>
    </w:p>
    <w:p w:rsidR="00B45C76" w:rsidRPr="00777651" w:rsidRDefault="00B45C76" w:rsidP="00720F44">
      <w:pPr>
        <w:ind w:firstLine="709"/>
        <w:jc w:val="both"/>
        <w:rPr>
          <w:bCs/>
        </w:rPr>
      </w:pPr>
      <w:r w:rsidRPr="00777651">
        <w:t>Įstaigoje sąnaudos pagal veiklos sritis skirstomos į šias grupes:</w:t>
      </w:r>
      <w:r w:rsidR="00720F44">
        <w:rPr>
          <w:bCs/>
        </w:rPr>
        <w:t xml:space="preserve"> pagrindinės veiklos sąnaudos; kitos veiklos sąnaudos;</w:t>
      </w:r>
      <w:r w:rsidRPr="00777651">
        <w:rPr>
          <w:bCs/>
        </w:rPr>
        <w:t xml:space="preserve"> finansinės ir investicinės veiklos sąnaudos.</w:t>
      </w:r>
    </w:p>
    <w:p w:rsidR="00B45C76" w:rsidRPr="00777651" w:rsidRDefault="00B45C76" w:rsidP="00792998">
      <w:pPr>
        <w:ind w:firstLine="709"/>
        <w:jc w:val="both"/>
      </w:pPr>
      <w:r w:rsidRPr="00777651">
        <w:t>Pagrindinės veiklos sąnaudoms priskiriamos šios sąnaudos:</w:t>
      </w:r>
    </w:p>
    <w:p w:rsidR="00B45C76" w:rsidRPr="00777651" w:rsidRDefault="00B45C76" w:rsidP="00792998">
      <w:pPr>
        <w:ind w:firstLine="709"/>
        <w:jc w:val="both"/>
      </w:pPr>
      <w:r w:rsidRPr="00777651">
        <w:t>- darbo užmokesčio ir socialinio draudimo sąnaudos – visos viešojo sektoriaus subjekto sąnaudos, susijusios su jo darbo santykiais, t. y. atlyginimai, priedai, premijos, mokami darbuotojams, atostoginių išmokų sukauptos sumos ir kitos išmokos, kurios priskiriamos prie darbo užmokesčio sąnaudų, taip pat socialinio draudimo mokesčiai, mokami Valstybinio socialinio draudimo fondui;</w:t>
      </w:r>
    </w:p>
    <w:p w:rsidR="00B45C76" w:rsidRPr="00777651" w:rsidRDefault="00B45C76" w:rsidP="00792998">
      <w:pPr>
        <w:ind w:firstLine="709"/>
        <w:jc w:val="both"/>
      </w:pPr>
      <w:r w:rsidRPr="00777651">
        <w:t>- nusidėvėjimo ir amortizacijos sąnaudos – viso ilgalaikio turto, naudojamo pagrindinėje ir kitoje veikloje nusidėvėjimo ir amortizacijos sąnaudos;</w:t>
      </w:r>
    </w:p>
    <w:p w:rsidR="00B45C76" w:rsidRPr="00777651" w:rsidRDefault="00B45C76" w:rsidP="00792998">
      <w:pPr>
        <w:ind w:firstLine="709"/>
        <w:jc w:val="both"/>
      </w:pPr>
      <w:r w:rsidRPr="00777651">
        <w:t>- komunalinių paslaugų sąnaudos, įskaitant šildymą, vandentiekį ir kanalizaciją, elektros energiją ir kitas panašias sąnaudas;</w:t>
      </w:r>
    </w:p>
    <w:p w:rsidR="00B45C76" w:rsidRPr="00777651" w:rsidRDefault="00B45C76" w:rsidP="00792998">
      <w:pPr>
        <w:ind w:firstLine="709"/>
        <w:jc w:val="both"/>
      </w:pPr>
      <w:r w:rsidRPr="00777651">
        <w:t>- ryšių sąnaudos –telefoninių pokalbių, interneto paslaugų, jų įdiegimo, priežiūros ir panašios sąnaudos;</w:t>
      </w:r>
    </w:p>
    <w:p w:rsidR="00B45C76" w:rsidRPr="00777651" w:rsidRDefault="00B45C76" w:rsidP="00792998">
      <w:pPr>
        <w:ind w:firstLine="709"/>
        <w:jc w:val="both"/>
      </w:pPr>
      <w:r w:rsidRPr="00777651">
        <w:t>- komandiruočių sąnaudos – įstaigos darbuotojų kelionių ir su jomis susijusios apgyvendinimo, dienpinigių, kelionės bilietų sąnaudos, neįskaitant darbo užmokesčio ir socialinio draudimo įmokų. Jei komandiruotė susijusi su kvalifikacijos kėlimu, visos susijusios sąnaudos, išskyrus mokestį už kvalifikacijos kėlimą, priskiriamos prie komandiruočių sąnaudų;</w:t>
      </w:r>
    </w:p>
    <w:p w:rsidR="00B45C76" w:rsidRPr="00777651" w:rsidRDefault="00B45C76" w:rsidP="00792998">
      <w:pPr>
        <w:ind w:firstLine="709"/>
        <w:jc w:val="both"/>
      </w:pPr>
      <w:r w:rsidRPr="00777651">
        <w:t>- transporto sąnaudos – įstaigos naudojamų automobilių degalų, nuomos, eksploatacijos, remonto, transporto draudimo ir kitos panašios sąnaudos, taip pat trečiųjų šalių suteiktų transporto paslaugų sąnaudos;</w:t>
      </w:r>
    </w:p>
    <w:p w:rsidR="00B45C76" w:rsidRPr="00777651" w:rsidRDefault="00B45C76" w:rsidP="00792998">
      <w:pPr>
        <w:ind w:firstLine="709"/>
        <w:jc w:val="both"/>
      </w:pPr>
      <w:r w:rsidRPr="00777651">
        <w:t>- kvalifikacijos kėlimo sąnaudos – įstaigos darbuotojų profesinės kvalifikacijos, įgūdžių, žinių tobulinimo sąnaudos;</w:t>
      </w:r>
    </w:p>
    <w:p w:rsidR="00B45C76" w:rsidRPr="00777651" w:rsidRDefault="00B45C76" w:rsidP="00792998">
      <w:pPr>
        <w:ind w:firstLine="709"/>
        <w:jc w:val="both"/>
      </w:pPr>
      <w:r w:rsidRPr="00777651">
        <w:lastRenderedPageBreak/>
        <w:t>- paprastojo remonto ir eksploatacijos sąnaudos – įstaigos patalpų, turimos įrangos bei įrenginių ir kito ilgalaikio materialiojo turto ir (arba) atitinkamo nuomojamo ar pagal kitas sutartis, pagal kurias perduodamos turto valdymo ir (arba) naudojimo, ir (arba) disponavimo juo teisės, turimo turto, išskyrus transporto priemones, eksploatacijos, paprastojo remonto sąnaudos, tarp jų tokiam remontui sunaudotos medžiagos, objektų apsaugos ir kitos panašios sąnaudos;</w:t>
      </w:r>
    </w:p>
    <w:p w:rsidR="00B45C76" w:rsidRPr="00777651" w:rsidRDefault="00B45C76" w:rsidP="00792998">
      <w:pPr>
        <w:ind w:firstLine="709"/>
        <w:jc w:val="both"/>
      </w:pPr>
      <w:r w:rsidRPr="00777651">
        <w:t>- nuvertėjimo ir nurašytų sumų sąnaudos – įstaigos atsargų nuvertėjimo iki grynosios galimo realizavimo vertės, abejotinų skolų, ilgalaikio materialiojo turto, nematerialiojo turto ir kito turto nurašymo ir nuvertėjimo sąnaudos. Ankstesniais ataskaitiniais laikotarpiais užregistruoto nuvertėjimo sumažėjimas, atsiradęs dėl naujų ūkinių įvykių ar pasikeitusių aplinkybių, registruojamas tose pačiose sąskaitose, kuriose ankstesniais ataskaitiniais laikotarpiais buvo registruotos nuvertėjimo sąnaudos;</w:t>
      </w:r>
    </w:p>
    <w:p w:rsidR="00B45C76" w:rsidRPr="00777651" w:rsidRDefault="00B45C76" w:rsidP="00792998">
      <w:pPr>
        <w:ind w:firstLine="709"/>
        <w:jc w:val="both"/>
      </w:pPr>
      <w:r w:rsidRPr="00777651">
        <w:t>- sunaudotų atsargų savikaina – atiduotų naudoti atsargų (medikamentų, maisto, aprangos ir patalynės, kitų prekių) nurašymo sąnaudos;</w:t>
      </w:r>
    </w:p>
    <w:p w:rsidR="00B45C76" w:rsidRPr="00777651" w:rsidRDefault="00B45C76" w:rsidP="00792998">
      <w:pPr>
        <w:ind w:firstLine="709"/>
        <w:jc w:val="both"/>
      </w:pPr>
      <w:r w:rsidRPr="00777651">
        <w:t>- kitų paslaugų sąnaudos – įvairių kitų paslaugų (pvz.,</w:t>
      </w:r>
      <w:r w:rsidR="00197882">
        <w:t xml:space="preserve"> darbų saugos, medicininių </w:t>
      </w:r>
      <w:r w:rsidRPr="00777651">
        <w:t>atliekų tvarkymo, teisinių konsultavimo paslaugų, med</w:t>
      </w:r>
      <w:r w:rsidR="00197882">
        <w:t xml:space="preserve">icininių </w:t>
      </w:r>
      <w:r w:rsidRPr="00777651">
        <w:t xml:space="preserve">paslaugų pagal sutartis, turto, išskyrus transporto priemonių, sąnaudos; </w:t>
      </w:r>
    </w:p>
    <w:p w:rsidR="00B45C76" w:rsidRPr="00777651" w:rsidRDefault="00B45C76" w:rsidP="00792998">
      <w:pPr>
        <w:ind w:firstLine="709"/>
        <w:jc w:val="both"/>
      </w:pPr>
      <w:r w:rsidRPr="00777651">
        <w:t>- kitos pagrindinės veiklos sąnaudos – kitos įstaigos pagrindinės veiklos sąnaudos, nepriskiriamos išvardytoms sąnaudų grupėms.</w:t>
      </w:r>
    </w:p>
    <w:p w:rsidR="00B45C76" w:rsidRPr="00777651" w:rsidRDefault="00B45C76" w:rsidP="00792998">
      <w:pPr>
        <w:ind w:firstLine="709"/>
        <w:jc w:val="both"/>
      </w:pPr>
      <w:r w:rsidRPr="00777651">
        <w:t>Kitos veiklos sąnaudos – įstaigos sąnaudos, patiriamos iš kitos nei pagrindinė ar finansinė ir investicinė veiklos. Prie kitos veiklos sąnaudų priskiriama įstaigos:</w:t>
      </w:r>
    </w:p>
    <w:p w:rsidR="00B45C76" w:rsidRPr="00777651" w:rsidRDefault="00B45C76" w:rsidP="00792998">
      <w:pPr>
        <w:ind w:firstLine="709"/>
        <w:jc w:val="both"/>
      </w:pPr>
      <w:r w:rsidRPr="00777651">
        <w:t>- nuostoliai iš ilgalaikio materialiojo turto ir nematerialiojo turto perleidimo, apskaičiuoti pagal 10-ojo VSAFAS „Kitos pajamos“ nuostatas;</w:t>
      </w:r>
    </w:p>
    <w:p w:rsidR="00B45C76" w:rsidRPr="00777651" w:rsidRDefault="00B45C76" w:rsidP="00792998">
      <w:pPr>
        <w:ind w:firstLine="709"/>
        <w:jc w:val="both"/>
      </w:pPr>
      <w:r w:rsidRPr="00777651">
        <w:t>- sąnaudos, susijusios su pajamų, rodomų kitos veiklos pajamų straipsnyje, uždirbimu, tarp jų sąnaudos, susijusios su komercine įstaigos veikla, tokia kaip turto nuoma, paslaugų teikimu ir pan. Prie tokių sąnaudų priskiriamos šioms paslaugoms teikti naudojamo ilgalaikio materialiojo turto nusidėvėjimo sąnaudos (jei ilgalaikio materialiojo turto vienetas naudojamas tik nepagrindinei veiklai), komunalinių paslaugų sąnaudos, darbo užmokestis ir kitos sąnaudos, susijusios su kita veikla, ir panašiai.</w:t>
      </w:r>
    </w:p>
    <w:p w:rsidR="00B45C76" w:rsidRPr="00777651" w:rsidRDefault="00B45C76" w:rsidP="00792998">
      <w:pPr>
        <w:ind w:firstLine="709"/>
        <w:jc w:val="both"/>
      </w:pPr>
      <w:r w:rsidRPr="00777651">
        <w:t>Prie finansinės ir investicinės veiklos sąnaudų priskiriamos tokios sąnaudos:</w:t>
      </w:r>
    </w:p>
    <w:p w:rsidR="00B45C76" w:rsidRPr="00777651" w:rsidRDefault="00B45C76" w:rsidP="00792998">
      <w:pPr>
        <w:ind w:firstLine="709"/>
        <w:jc w:val="both"/>
      </w:pPr>
      <w:r w:rsidRPr="00777651">
        <w:t xml:space="preserve">- nuostoliai dėl valiutų kursų pasikeitimo, atsirandantys dėl atliekamų pirkimų, pardavimų, skolinimo, skolinimosi, mokėjimų bei kitų ūkinių operacijų užsienio valiuta, taip pat piniginio turto ir piniginių įsipareigojimų likučių kita nei Lietuvos Respublikos piniginis vienetas valiuta perkainojimo. </w:t>
      </w:r>
    </w:p>
    <w:p w:rsidR="00B45C76" w:rsidRPr="00777651" w:rsidRDefault="00B45C76" w:rsidP="00792998">
      <w:pPr>
        <w:ind w:firstLine="709"/>
        <w:jc w:val="both"/>
      </w:pPr>
      <w:r w:rsidRPr="00777651">
        <w:t>- delspinigiai ir baudos – įstaigai už ataskaitinį laikotarpį apskaičiuoti delspinigiai ir baudos už pavėluotus atsiskaitymus;</w:t>
      </w:r>
    </w:p>
    <w:p w:rsidR="00B45C76" w:rsidRPr="00777651" w:rsidRDefault="00B45C76" w:rsidP="00792998">
      <w:pPr>
        <w:ind w:firstLine="709"/>
        <w:jc w:val="both"/>
      </w:pPr>
      <w:r w:rsidRPr="00777651">
        <w:t>- palūkanų sąnaudos – palūkanos už ilgalaikes ir trumpalaikes paskolas ir kitus skolinius, tarp jų ir finansinės nuomos (lizingo), įsipareigojimus. Prie palūkanų sąnaudų taip pat priskiriama atidėjinių ir kitų įsipareigojimų vertės pokyčio dėl jų įvertinimo amortizuota savikaina suma, išskyrus tuos atvejus, kai šis pokytis atsiranda dėl diskonto normos pasikeitimo, kai vadovaujamasi 7-ojo VSAFAS „Apskaitos politikos, apskaitinių įverčių keitimas ir klaidų taisymas“ nuostatomis, taikomomis apskaitinių įverčių keitimui;</w:t>
      </w:r>
    </w:p>
    <w:p w:rsidR="00B45C76" w:rsidRPr="00777651" w:rsidRDefault="00B45C76" w:rsidP="00720F44">
      <w:pPr>
        <w:pStyle w:val="Betarp"/>
        <w:ind w:firstLine="709"/>
      </w:pPr>
      <w:r w:rsidRPr="00777651">
        <w:t>- kitos finansinės ir investicinės veiklos sąnaudos.</w:t>
      </w:r>
    </w:p>
    <w:p w:rsidR="00B45C76" w:rsidRPr="00B45C76" w:rsidRDefault="00B45C76" w:rsidP="00720F44">
      <w:pPr>
        <w:pStyle w:val="Betarp"/>
        <w:ind w:firstLine="709"/>
        <w:jc w:val="both"/>
        <w:rPr>
          <w:b/>
          <w:bCs/>
          <w:color w:val="000000"/>
        </w:rPr>
      </w:pPr>
      <w:r w:rsidRPr="00777651">
        <w:t>Sąnaudos dėl apskaitos politikos keitimo ir esminių klaidų taisymo poveikio ankstesniems ataskaitiniams laikotarpiams veiklos rezultatų ataskaitoje rodomos atskirame straipsnyje „Apskaitos politikos keitimo bei esmini</w:t>
      </w:r>
      <w:r w:rsidR="003A42BB">
        <w:t>ų klaidų taisymo įtaka“, kaip tai nustatyta 7-ajame</w:t>
      </w:r>
      <w:r w:rsidRPr="00777651">
        <w:t xml:space="preserve"> VSAFAS „Apskaitos politikos, apskaitinių įverčių keitimas ir klaidų taisymas“.</w:t>
      </w:r>
    </w:p>
    <w:p w:rsidR="000B6A10" w:rsidRPr="00172326" w:rsidRDefault="000B6A10" w:rsidP="00172326">
      <w:pPr>
        <w:spacing w:before="240" w:after="240"/>
        <w:ind w:firstLine="851"/>
        <w:jc w:val="center"/>
        <w:rPr>
          <w:b/>
          <w:bCs/>
          <w:color w:val="000000"/>
        </w:rPr>
      </w:pPr>
      <w:r w:rsidRPr="00172326">
        <w:rPr>
          <w:b/>
          <w:bCs/>
          <w:color w:val="000000"/>
        </w:rPr>
        <w:t>Operacijos užsienio valiuta</w:t>
      </w:r>
    </w:p>
    <w:p w:rsidR="00B45C76" w:rsidRPr="00B45C76" w:rsidRDefault="00B45C76" w:rsidP="00792998">
      <w:pPr>
        <w:tabs>
          <w:tab w:val="left" w:pos="709"/>
        </w:tabs>
        <w:spacing w:before="100" w:beforeAutospacing="1" w:after="100" w:afterAutospacing="1"/>
        <w:ind w:firstLine="709"/>
        <w:jc w:val="both"/>
        <w:rPr>
          <w:b/>
          <w:bCs/>
          <w:color w:val="000000"/>
        </w:rPr>
      </w:pPr>
      <w:r w:rsidRPr="00777651">
        <w:rPr>
          <w:rStyle w:val="FontStyle101"/>
          <w:sz w:val="24"/>
          <w:szCs w:val="24"/>
        </w:rPr>
        <w:t>Sandorių užsienio valiuta apskaitos principai nustatyti 21-ajame VSAFAS „Sandoriai užsienio valiuta“. 201</w:t>
      </w:r>
      <w:r w:rsidR="00BF7B39">
        <w:rPr>
          <w:rStyle w:val="FontStyle101"/>
          <w:sz w:val="24"/>
          <w:szCs w:val="24"/>
        </w:rPr>
        <w:t>3</w:t>
      </w:r>
      <w:r w:rsidR="003A42BB">
        <w:rPr>
          <w:rStyle w:val="FontStyle101"/>
          <w:sz w:val="24"/>
          <w:szCs w:val="24"/>
        </w:rPr>
        <w:t xml:space="preserve"> </w:t>
      </w:r>
      <w:r w:rsidRPr="00777651">
        <w:rPr>
          <w:rStyle w:val="FontStyle101"/>
          <w:sz w:val="24"/>
          <w:szCs w:val="24"/>
        </w:rPr>
        <w:t>m. įstaiga operacijų užsienio valiuta nevykdė.</w:t>
      </w:r>
    </w:p>
    <w:p w:rsidR="000B6A10" w:rsidRDefault="000B6A10" w:rsidP="00172326">
      <w:pPr>
        <w:spacing w:before="240" w:after="240"/>
        <w:ind w:firstLine="851"/>
        <w:jc w:val="center"/>
        <w:rPr>
          <w:b/>
          <w:bCs/>
          <w:color w:val="000000"/>
        </w:rPr>
      </w:pPr>
      <w:r w:rsidRPr="00761D07">
        <w:rPr>
          <w:b/>
          <w:bCs/>
          <w:color w:val="000000"/>
        </w:rPr>
        <w:t>Straipsnių tarpusavio užskaitos</w:t>
      </w:r>
    </w:p>
    <w:p w:rsidR="00761D07" w:rsidRPr="00777651" w:rsidRDefault="00761D07" w:rsidP="003A42BB">
      <w:pPr>
        <w:pStyle w:val="Style90"/>
        <w:tabs>
          <w:tab w:val="left" w:pos="811"/>
          <w:tab w:val="left" w:leader="underscore" w:pos="13507"/>
        </w:tabs>
        <w:ind w:firstLine="709"/>
        <w:jc w:val="both"/>
        <w:rPr>
          <w:rStyle w:val="FontStyle101"/>
          <w:sz w:val="24"/>
          <w:szCs w:val="24"/>
        </w:rPr>
      </w:pPr>
      <w:r w:rsidRPr="00777651">
        <w:rPr>
          <w:rStyle w:val="FontStyle101"/>
          <w:sz w:val="24"/>
          <w:szCs w:val="24"/>
        </w:rPr>
        <w:lastRenderedPageBreak/>
        <w:t>Įstaigoje per ataskaitinį laikotarpį buvo atli</w:t>
      </w:r>
      <w:r w:rsidR="003A42BB">
        <w:rPr>
          <w:rStyle w:val="FontStyle101"/>
          <w:sz w:val="24"/>
          <w:szCs w:val="24"/>
        </w:rPr>
        <w:t xml:space="preserve">ktos šios tarpusavio užskaitos: </w:t>
      </w:r>
      <w:r w:rsidRPr="00777651">
        <w:rPr>
          <w:rStyle w:val="FontStyle101"/>
          <w:sz w:val="24"/>
          <w:szCs w:val="24"/>
        </w:rPr>
        <w:t>su Panevėžio teritorine ligon</w:t>
      </w:r>
      <w:r w:rsidR="003A42BB">
        <w:rPr>
          <w:rStyle w:val="FontStyle101"/>
          <w:sz w:val="24"/>
          <w:szCs w:val="24"/>
        </w:rPr>
        <w:t xml:space="preserve">ių kasa (toliau – TLK), </w:t>
      </w:r>
      <w:r w:rsidRPr="00777651">
        <w:rPr>
          <w:rStyle w:val="FontStyle101"/>
          <w:sz w:val="24"/>
          <w:szCs w:val="24"/>
        </w:rPr>
        <w:t>su valstybinio socialinio draudimo fondo valdybos Panevėžio teritorinių skyriumi</w:t>
      </w:r>
      <w:r>
        <w:rPr>
          <w:rStyle w:val="FontStyle101"/>
          <w:sz w:val="24"/>
          <w:szCs w:val="24"/>
        </w:rPr>
        <w:t xml:space="preserve"> (toliau </w:t>
      </w:r>
      <w:r w:rsidRPr="00777651">
        <w:rPr>
          <w:rStyle w:val="FontStyle101"/>
          <w:sz w:val="24"/>
          <w:szCs w:val="24"/>
        </w:rPr>
        <w:t xml:space="preserve">VSDFV Panevėžio teritorinis skyrius) </w:t>
      </w:r>
    </w:p>
    <w:p w:rsidR="00761D07" w:rsidRPr="00761D07" w:rsidRDefault="00761D07" w:rsidP="00792998">
      <w:pPr>
        <w:ind w:firstLine="709"/>
        <w:jc w:val="both"/>
        <w:rPr>
          <w:b/>
          <w:bCs/>
          <w:color w:val="000000"/>
        </w:rPr>
      </w:pPr>
      <w:r w:rsidRPr="00777651">
        <w:rPr>
          <w:rStyle w:val="FontStyle101"/>
          <w:sz w:val="24"/>
          <w:szCs w:val="24"/>
        </w:rPr>
        <w:t>Tarpusavio užskaitos atliktos įmokoms, apskaičiuotoms nuo darbo užmokesčio, priskaityto iš PSDF biudžeto lėšų.</w:t>
      </w:r>
    </w:p>
    <w:p w:rsidR="000B6A10" w:rsidRDefault="000B6A10" w:rsidP="00172326">
      <w:pPr>
        <w:spacing w:before="240" w:after="240"/>
        <w:ind w:firstLine="851"/>
        <w:jc w:val="center"/>
        <w:rPr>
          <w:b/>
          <w:bCs/>
          <w:color w:val="000000"/>
        </w:rPr>
      </w:pPr>
      <w:r w:rsidRPr="00761D07">
        <w:rPr>
          <w:b/>
          <w:bCs/>
          <w:color w:val="000000"/>
        </w:rPr>
        <w:t>Kiti apskaitos principai</w:t>
      </w:r>
    </w:p>
    <w:p w:rsidR="00761D07" w:rsidRPr="00761D07" w:rsidRDefault="00761D07" w:rsidP="00792998">
      <w:pPr>
        <w:spacing w:before="100" w:beforeAutospacing="1" w:after="100" w:afterAutospacing="1"/>
        <w:ind w:firstLine="709"/>
        <w:jc w:val="both"/>
        <w:rPr>
          <w:b/>
          <w:bCs/>
          <w:color w:val="000000"/>
        </w:rPr>
      </w:pPr>
      <w:r w:rsidRPr="00777651">
        <w:rPr>
          <w:rStyle w:val="FontStyle101"/>
          <w:sz w:val="24"/>
          <w:szCs w:val="24"/>
        </w:rPr>
        <w:t>Palaikomojo gydymo ir slaugos ligoninės sąnaudas, kurių negalime tiesiogiai priskirti pagal padalinį, įstaiga skirsto pagal įvykdytų lovadienių skaičių per mėnesį.</w:t>
      </w:r>
    </w:p>
    <w:p w:rsidR="00E95CFE" w:rsidRPr="00E54173" w:rsidRDefault="00E95CFE" w:rsidP="00172326">
      <w:pPr>
        <w:spacing w:before="240" w:after="240"/>
        <w:ind w:firstLine="851"/>
        <w:jc w:val="center"/>
        <w:rPr>
          <w:b/>
          <w:bCs/>
          <w:color w:val="000000"/>
        </w:rPr>
      </w:pPr>
      <w:r w:rsidRPr="00E54173">
        <w:rPr>
          <w:b/>
          <w:bCs/>
          <w:color w:val="000000"/>
        </w:rPr>
        <w:t>Apskaitos politikos</w:t>
      </w:r>
      <w:r w:rsidR="00E54173" w:rsidRPr="00E54173">
        <w:rPr>
          <w:b/>
          <w:bCs/>
          <w:color w:val="000000"/>
        </w:rPr>
        <w:t>, apskaitinių įverčių keitimas ir klaidų taisymas</w:t>
      </w:r>
    </w:p>
    <w:p w:rsidR="00761D07" w:rsidRPr="00777651" w:rsidRDefault="00761D07" w:rsidP="00792998">
      <w:pPr>
        <w:pStyle w:val="Style66"/>
        <w:spacing w:line="240" w:lineRule="auto"/>
        <w:ind w:firstLine="709"/>
        <w:jc w:val="both"/>
      </w:pPr>
      <w:r w:rsidRPr="00777651">
        <w:t xml:space="preserve">Apskaitos politikos keitimo principai nustatyti 7-ajame VSAFAS „Apskaitos politikos, apskaitinių įverčių keitimas ir klaidų taisymas“. </w:t>
      </w:r>
    </w:p>
    <w:p w:rsidR="00761D07" w:rsidRPr="00777651" w:rsidRDefault="00761D07" w:rsidP="00792998">
      <w:pPr>
        <w:pStyle w:val="Style66"/>
        <w:spacing w:line="240" w:lineRule="auto"/>
        <w:ind w:firstLine="709"/>
        <w:jc w:val="both"/>
      </w:pPr>
      <w:r w:rsidRPr="00777651">
        <w:t>Pasirinkta apskaitos politika taikoma nuolat arba gana ilgą laiką tam, kad būtų galima palyginti skirtingų ataskaitinių laikotarpių finansines ataskaitas. Tokio palyginimo reikia finansinės būklės, veiklos rezultatų, grynojo turto ir pinigų srautų keitimosi tendencijoms nustatyti.</w:t>
      </w:r>
    </w:p>
    <w:p w:rsidR="00761D07" w:rsidRPr="00777651" w:rsidRDefault="00761D07" w:rsidP="00792998">
      <w:pPr>
        <w:pStyle w:val="Style66"/>
        <w:spacing w:line="240" w:lineRule="auto"/>
        <w:ind w:firstLine="709"/>
        <w:jc w:val="both"/>
      </w:pPr>
      <w:r w:rsidRPr="00777651">
        <w:t>Apskaitos politika keičiama dėl VSAFAS pasikeitimo arba, jei kiti teisės aktai to reikalauja. Apskaitos politikos keitimas finansinėse ataskaitose rodomas taikant retrospektyvinį būdą, t.</w:t>
      </w:r>
      <w:r w:rsidR="00990503">
        <w:t xml:space="preserve"> </w:t>
      </w:r>
      <w:r w:rsidRPr="00777651">
        <w:t>y. nauja apskaitos politika taikoma taip, lyg ji visada būtų buvusi naudojama, todėl pakeista apskaitos politika yra pritaikoma ūkinėms operacijoms ir ūkiniams įvykiams nuo jų atsiradimo.</w:t>
      </w:r>
    </w:p>
    <w:p w:rsidR="00761D07" w:rsidRPr="00777651" w:rsidRDefault="00761D07" w:rsidP="00792998">
      <w:pPr>
        <w:pStyle w:val="Style66"/>
        <w:spacing w:line="240" w:lineRule="auto"/>
        <w:ind w:firstLine="709"/>
        <w:jc w:val="both"/>
      </w:pPr>
      <w:r w:rsidRPr="00777651">
        <w:t>Apskaitos politikos keitimo per ataskaitinį laikotarpį nebuvo.</w:t>
      </w:r>
    </w:p>
    <w:p w:rsidR="00761D07" w:rsidRPr="00777651" w:rsidRDefault="00761D07" w:rsidP="00792998">
      <w:pPr>
        <w:pStyle w:val="Style11"/>
        <w:ind w:firstLine="709"/>
        <w:rPr>
          <w:rStyle w:val="FontStyle107"/>
          <w:b/>
          <w:sz w:val="24"/>
          <w:szCs w:val="24"/>
        </w:rPr>
      </w:pPr>
      <w:r w:rsidRPr="00777651">
        <w:t>Kai turto ar įsipareigojimų vertės negali būti tiksliai apskaičiuotos, o tik įvertintos, naudojami apskaitiniai įverčiai. Ataskaitiniu laikotarpį apskaitinių įverčių keitimo nebuvo.</w:t>
      </w:r>
    </w:p>
    <w:p w:rsidR="0039071D" w:rsidRPr="00172326" w:rsidRDefault="00990503" w:rsidP="00990503">
      <w:pPr>
        <w:pStyle w:val="Style42"/>
        <w:spacing w:before="360" w:after="240"/>
        <w:rPr>
          <w:rStyle w:val="FontStyle115"/>
          <w:sz w:val="24"/>
          <w:szCs w:val="24"/>
        </w:rPr>
      </w:pPr>
      <w:r>
        <w:rPr>
          <w:rStyle w:val="FontStyle115"/>
          <w:sz w:val="24"/>
          <w:szCs w:val="24"/>
        </w:rPr>
        <w:t xml:space="preserve">III. </w:t>
      </w:r>
      <w:r w:rsidR="0039071D" w:rsidRPr="00172326">
        <w:rPr>
          <w:rStyle w:val="FontStyle115"/>
          <w:sz w:val="24"/>
          <w:szCs w:val="24"/>
        </w:rPr>
        <w:t>PASTABOS</w:t>
      </w:r>
    </w:p>
    <w:p w:rsidR="002161AB" w:rsidRPr="000844DD" w:rsidRDefault="00061B89" w:rsidP="00FD3647">
      <w:pPr>
        <w:spacing w:before="240" w:after="240"/>
        <w:ind w:firstLine="709"/>
        <w:jc w:val="both"/>
        <w:rPr>
          <w:b/>
          <w:bCs/>
          <w:color w:val="000000"/>
        </w:rPr>
      </w:pPr>
      <w:r>
        <w:rPr>
          <w:b/>
          <w:bCs/>
          <w:color w:val="000000"/>
        </w:rPr>
        <w:t>Ilgalaikis n</w:t>
      </w:r>
      <w:r w:rsidR="000844DD" w:rsidRPr="000844DD">
        <w:rPr>
          <w:b/>
          <w:bCs/>
          <w:color w:val="000000"/>
        </w:rPr>
        <w:t>ematerialusis turtas</w:t>
      </w:r>
      <w:r w:rsidR="00EE2C1C">
        <w:rPr>
          <w:b/>
          <w:bCs/>
          <w:color w:val="000000"/>
        </w:rPr>
        <w:t xml:space="preserve"> (P03)</w:t>
      </w:r>
    </w:p>
    <w:p w:rsidR="00061B89" w:rsidRPr="00257C26" w:rsidRDefault="00061B89" w:rsidP="00FD3647">
      <w:pPr>
        <w:ind w:firstLine="709"/>
        <w:jc w:val="both"/>
      </w:pPr>
      <w:r w:rsidRPr="00257C26">
        <w:t xml:space="preserve">Ataskaitinio laikotarpio pabaigoje </w:t>
      </w:r>
      <w:r>
        <w:t>įstaigoje</w:t>
      </w:r>
      <w:r w:rsidRPr="00257C26">
        <w:t xml:space="preserve"> užregistruoto ilgalaikio </w:t>
      </w:r>
      <w:r>
        <w:t>ne</w:t>
      </w:r>
      <w:r w:rsidRPr="00257C26">
        <w:t xml:space="preserve">materialiojo turto likutinė vertė sudarė </w:t>
      </w:r>
      <w:r w:rsidR="00F861EF">
        <w:t>641,</w:t>
      </w:r>
      <w:r w:rsidR="00CF37F3">
        <w:t>81</w:t>
      </w:r>
      <w:r w:rsidR="00F861EF">
        <w:t xml:space="preserve"> Lt</w:t>
      </w:r>
      <w:r w:rsidRPr="00257C26">
        <w:t xml:space="preserve">. </w:t>
      </w:r>
      <w:r>
        <w:t>Visą nematerialųjį</w:t>
      </w:r>
      <w:r w:rsidRPr="00257C26">
        <w:t xml:space="preserve"> turt</w:t>
      </w:r>
      <w:r>
        <w:t>ą</w:t>
      </w:r>
      <w:r w:rsidRPr="00257C26">
        <w:t xml:space="preserve"> sudarė </w:t>
      </w:r>
      <w:r>
        <w:t>programinė įranga ir jos licencijos.</w:t>
      </w:r>
    </w:p>
    <w:p w:rsidR="00436DD7" w:rsidRDefault="00061B89" w:rsidP="00436DD7">
      <w:pPr>
        <w:pStyle w:val="Style90"/>
        <w:tabs>
          <w:tab w:val="left" w:pos="811"/>
          <w:tab w:val="left" w:leader="underscore" w:pos="13507"/>
        </w:tabs>
        <w:ind w:firstLine="709"/>
        <w:jc w:val="both"/>
      </w:pPr>
      <w:r w:rsidRPr="00257C26">
        <w:t>201</w:t>
      </w:r>
      <w:r w:rsidR="00CF37F3">
        <w:t>3</w:t>
      </w:r>
      <w:r w:rsidR="00F861EF">
        <w:t xml:space="preserve"> m.</w:t>
      </w:r>
      <w:r w:rsidRPr="00257C26">
        <w:t xml:space="preserve"> apskaičiuota </w:t>
      </w:r>
      <w:r w:rsidR="00F861EF">
        <w:t>519,</w:t>
      </w:r>
      <w:r w:rsidR="00CF37F3">
        <w:t>11</w:t>
      </w:r>
      <w:r w:rsidR="00F861EF">
        <w:t xml:space="preserve"> Lt</w:t>
      </w:r>
      <w:r w:rsidRPr="00257C26">
        <w:t xml:space="preserve"> nematerialiojo turto amortizacija ir ataskaitinio laikotarpio pabaigoje sudarė </w:t>
      </w:r>
      <w:r w:rsidR="00CF37F3">
        <w:t>10</w:t>
      </w:r>
      <w:r w:rsidR="00F861EF">
        <w:t xml:space="preserve"> 437,</w:t>
      </w:r>
      <w:r w:rsidR="00CF37F3">
        <w:t>99</w:t>
      </w:r>
      <w:r w:rsidR="00F861EF">
        <w:t xml:space="preserve"> Lt</w:t>
      </w:r>
      <w:r w:rsidRPr="00257C26">
        <w:t xml:space="preserve">. </w:t>
      </w:r>
    </w:p>
    <w:p w:rsidR="00061B89" w:rsidRDefault="00436DD7" w:rsidP="00FD3647">
      <w:pPr>
        <w:pStyle w:val="Style90"/>
        <w:tabs>
          <w:tab w:val="left" w:pos="811"/>
          <w:tab w:val="left" w:leader="underscore" w:pos="13507"/>
        </w:tabs>
        <w:ind w:firstLine="709"/>
        <w:jc w:val="both"/>
      </w:pPr>
      <w:r>
        <w:t xml:space="preserve">Per ataskaitinį laikotarpį įstaiga įsigijo nematerialaus turto už </w:t>
      </w:r>
      <w:r w:rsidR="00F861EF">
        <w:t>762,</w:t>
      </w:r>
      <w:r w:rsidR="005D1CEE">
        <w:t>82</w:t>
      </w:r>
      <w:r w:rsidR="00F861EF">
        <w:t xml:space="preserve"> Lt, tai –</w:t>
      </w:r>
      <w:r>
        <w:t xml:space="preserve"> antivirusinė programa.</w:t>
      </w:r>
    </w:p>
    <w:p w:rsidR="00D73B96" w:rsidRPr="00777651" w:rsidRDefault="00700E89" w:rsidP="00B54DD1">
      <w:pPr>
        <w:pStyle w:val="Style90"/>
        <w:tabs>
          <w:tab w:val="left" w:pos="811"/>
          <w:tab w:val="left" w:leader="underscore" w:pos="13507"/>
        </w:tabs>
        <w:ind w:firstLine="709"/>
        <w:jc w:val="both"/>
      </w:pPr>
      <w:r w:rsidRPr="00777651">
        <w:t>Įstaiga nematerialaus turto, kurio neribotas naudingo tarnavimo laikas, neturi.</w:t>
      </w:r>
    </w:p>
    <w:p w:rsidR="00D73B96" w:rsidRPr="00777651" w:rsidRDefault="00D73B96" w:rsidP="00B54DD1">
      <w:pPr>
        <w:pStyle w:val="Style71"/>
        <w:spacing w:after="100" w:afterAutospacing="1" w:line="240" w:lineRule="auto"/>
        <w:ind w:firstLine="709"/>
        <w:jc w:val="both"/>
        <w:rPr>
          <w:rStyle w:val="FontStyle170"/>
          <w:sz w:val="24"/>
          <w:szCs w:val="24"/>
        </w:rPr>
      </w:pPr>
      <w:r w:rsidRPr="00777651">
        <w:rPr>
          <w:rStyle w:val="FontStyle170"/>
          <w:sz w:val="24"/>
          <w:szCs w:val="24"/>
        </w:rPr>
        <w:t>Nematerialiojo turto, kurio naudingo tarnavimo laikas neribotas, balansinė vertė:</w:t>
      </w:r>
    </w:p>
    <w:tbl>
      <w:tblPr>
        <w:tblW w:w="4680" w:type="dxa"/>
        <w:jc w:val="center"/>
        <w:tblLook w:val="04A0" w:firstRow="1" w:lastRow="0" w:firstColumn="1" w:lastColumn="0" w:noHBand="0" w:noVBand="1"/>
      </w:tblPr>
      <w:tblGrid>
        <w:gridCol w:w="2340"/>
        <w:gridCol w:w="2340"/>
      </w:tblGrid>
      <w:tr w:rsidR="00B54DD1" w:rsidRPr="00B54DD1">
        <w:trPr>
          <w:trHeight w:val="510"/>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54DD1" w:rsidRDefault="00B54DD1" w:rsidP="00AC3461">
            <w:pPr>
              <w:jc w:val="center"/>
              <w:rPr>
                <w:b/>
                <w:bCs/>
                <w:color w:val="000000"/>
                <w:sz w:val="20"/>
                <w:szCs w:val="20"/>
              </w:rPr>
            </w:pPr>
            <w:r w:rsidRPr="00B54DD1">
              <w:rPr>
                <w:b/>
                <w:bCs/>
                <w:color w:val="000000"/>
                <w:sz w:val="20"/>
                <w:szCs w:val="20"/>
              </w:rPr>
              <w:t>Ataskaitinis</w:t>
            </w:r>
          </w:p>
          <w:p w:rsidR="00B54DD1" w:rsidRPr="00B54DD1" w:rsidRDefault="00B54DD1" w:rsidP="00AC3461">
            <w:pPr>
              <w:jc w:val="center"/>
              <w:rPr>
                <w:b/>
                <w:bCs/>
                <w:color w:val="000000"/>
                <w:sz w:val="20"/>
                <w:szCs w:val="20"/>
              </w:rPr>
            </w:pPr>
            <w:r w:rsidRPr="00B54DD1">
              <w:rPr>
                <w:b/>
                <w:bCs/>
                <w:color w:val="000000"/>
                <w:sz w:val="20"/>
                <w:szCs w:val="20"/>
              </w:rPr>
              <w:t>laikotarpis</w:t>
            </w:r>
          </w:p>
        </w:tc>
        <w:tc>
          <w:tcPr>
            <w:tcW w:w="2340" w:type="dxa"/>
            <w:tcBorders>
              <w:top w:val="single" w:sz="4" w:space="0" w:color="auto"/>
              <w:left w:val="nil"/>
              <w:bottom w:val="single" w:sz="4" w:space="0" w:color="auto"/>
              <w:right w:val="single" w:sz="4" w:space="0" w:color="auto"/>
            </w:tcBorders>
            <w:shd w:val="clear" w:color="auto" w:fill="auto"/>
          </w:tcPr>
          <w:p w:rsidR="00B54DD1" w:rsidRPr="00B54DD1" w:rsidRDefault="00B54DD1" w:rsidP="00AC3461">
            <w:pPr>
              <w:jc w:val="center"/>
              <w:rPr>
                <w:b/>
                <w:bCs/>
                <w:color w:val="000000"/>
                <w:sz w:val="20"/>
                <w:szCs w:val="20"/>
              </w:rPr>
            </w:pPr>
            <w:r w:rsidRPr="00B54DD1">
              <w:rPr>
                <w:b/>
                <w:bCs/>
                <w:color w:val="000000"/>
                <w:sz w:val="20"/>
                <w:szCs w:val="20"/>
              </w:rPr>
              <w:t>Praėjęs ataskaitinis laikotarpis</w:t>
            </w:r>
          </w:p>
        </w:tc>
      </w:tr>
      <w:tr w:rsidR="00B54DD1" w:rsidRPr="00B54DD1">
        <w:trPr>
          <w:trHeight w:val="435"/>
          <w:jc w:val="center"/>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54DD1" w:rsidRPr="00B54DD1" w:rsidRDefault="00B54DD1" w:rsidP="00AC3461">
            <w:pPr>
              <w:jc w:val="center"/>
              <w:rPr>
                <w:color w:val="000000"/>
                <w:sz w:val="22"/>
                <w:szCs w:val="22"/>
              </w:rPr>
            </w:pPr>
            <w:r>
              <w:rPr>
                <w:color w:val="000000"/>
                <w:sz w:val="22"/>
                <w:szCs w:val="22"/>
              </w:rPr>
              <w:t>0,00</w:t>
            </w:r>
            <w:r w:rsidRPr="00B54DD1">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center"/>
          </w:tcPr>
          <w:p w:rsidR="00B54DD1" w:rsidRPr="00B54DD1" w:rsidRDefault="00B54DD1" w:rsidP="00AC3461">
            <w:pPr>
              <w:jc w:val="center"/>
              <w:rPr>
                <w:color w:val="000000"/>
                <w:sz w:val="22"/>
                <w:szCs w:val="22"/>
              </w:rPr>
            </w:pPr>
            <w:r>
              <w:rPr>
                <w:color w:val="000000"/>
                <w:sz w:val="22"/>
                <w:szCs w:val="22"/>
              </w:rPr>
              <w:t>0,00</w:t>
            </w:r>
            <w:r w:rsidRPr="00B54DD1">
              <w:rPr>
                <w:color w:val="000000"/>
                <w:sz w:val="22"/>
                <w:szCs w:val="22"/>
              </w:rPr>
              <w:t> </w:t>
            </w:r>
          </w:p>
        </w:tc>
      </w:tr>
    </w:tbl>
    <w:p w:rsidR="00D73B96" w:rsidRDefault="00D73B96" w:rsidP="00B54DD1">
      <w:pPr>
        <w:pStyle w:val="Style71"/>
        <w:spacing w:before="100" w:beforeAutospacing="1" w:after="100" w:afterAutospacing="1" w:line="240" w:lineRule="auto"/>
        <w:ind w:firstLine="709"/>
        <w:jc w:val="both"/>
        <w:rPr>
          <w:rStyle w:val="FontStyle170"/>
          <w:sz w:val="24"/>
          <w:szCs w:val="24"/>
        </w:rPr>
      </w:pPr>
      <w:r w:rsidRPr="00777651">
        <w:rPr>
          <w:rStyle w:val="FontStyle170"/>
          <w:sz w:val="24"/>
          <w:szCs w:val="24"/>
        </w:rPr>
        <w:t>Nematerialiojo turto, kuris yra visiškai amortizuotas, tačiau vis dar naudojamas veikloje, įsigijimo ar pasigaminimo savikainą sudaro:</w:t>
      </w:r>
    </w:p>
    <w:tbl>
      <w:tblPr>
        <w:tblW w:w="4680" w:type="dxa"/>
        <w:jc w:val="center"/>
        <w:tblLook w:val="04A0" w:firstRow="1" w:lastRow="0" w:firstColumn="1" w:lastColumn="0" w:noHBand="0" w:noVBand="1"/>
      </w:tblPr>
      <w:tblGrid>
        <w:gridCol w:w="2340"/>
        <w:gridCol w:w="2340"/>
      </w:tblGrid>
      <w:tr w:rsidR="00B54DD1" w:rsidRPr="00B54DD1">
        <w:trPr>
          <w:trHeight w:val="510"/>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54DD1" w:rsidRDefault="00B54DD1" w:rsidP="00B54DD1">
            <w:pPr>
              <w:jc w:val="center"/>
              <w:rPr>
                <w:b/>
                <w:bCs/>
                <w:color w:val="000000"/>
                <w:sz w:val="20"/>
                <w:szCs w:val="20"/>
              </w:rPr>
            </w:pPr>
            <w:r w:rsidRPr="00B54DD1">
              <w:rPr>
                <w:b/>
                <w:bCs/>
                <w:color w:val="000000"/>
                <w:sz w:val="20"/>
                <w:szCs w:val="20"/>
              </w:rPr>
              <w:t>Ataskaitinis</w:t>
            </w:r>
          </w:p>
          <w:p w:rsidR="00B54DD1" w:rsidRPr="00B54DD1" w:rsidRDefault="00B54DD1" w:rsidP="00B54DD1">
            <w:pPr>
              <w:jc w:val="center"/>
              <w:rPr>
                <w:b/>
                <w:bCs/>
                <w:color w:val="000000"/>
                <w:sz w:val="20"/>
                <w:szCs w:val="20"/>
              </w:rPr>
            </w:pPr>
            <w:r w:rsidRPr="00B54DD1">
              <w:rPr>
                <w:b/>
                <w:bCs/>
                <w:color w:val="000000"/>
                <w:sz w:val="20"/>
                <w:szCs w:val="20"/>
              </w:rPr>
              <w:t>laikotarpis</w:t>
            </w:r>
          </w:p>
        </w:tc>
        <w:tc>
          <w:tcPr>
            <w:tcW w:w="2340" w:type="dxa"/>
            <w:tcBorders>
              <w:top w:val="single" w:sz="4" w:space="0" w:color="auto"/>
              <w:left w:val="nil"/>
              <w:bottom w:val="single" w:sz="4" w:space="0" w:color="auto"/>
              <w:right w:val="single" w:sz="4" w:space="0" w:color="auto"/>
            </w:tcBorders>
            <w:shd w:val="clear" w:color="auto" w:fill="auto"/>
          </w:tcPr>
          <w:p w:rsidR="00B54DD1" w:rsidRPr="00B54DD1" w:rsidRDefault="00B54DD1" w:rsidP="00B54DD1">
            <w:pPr>
              <w:jc w:val="center"/>
              <w:rPr>
                <w:b/>
                <w:bCs/>
                <w:color w:val="000000"/>
                <w:sz w:val="20"/>
                <w:szCs w:val="20"/>
              </w:rPr>
            </w:pPr>
            <w:r w:rsidRPr="00B54DD1">
              <w:rPr>
                <w:b/>
                <w:bCs/>
                <w:color w:val="000000"/>
                <w:sz w:val="20"/>
                <w:szCs w:val="20"/>
              </w:rPr>
              <w:t>Praėjęs ataskaitinis laikotarpis</w:t>
            </w:r>
          </w:p>
        </w:tc>
      </w:tr>
      <w:tr w:rsidR="00B54DD1" w:rsidRPr="00B54DD1">
        <w:trPr>
          <w:trHeight w:val="435"/>
          <w:jc w:val="center"/>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54DD1" w:rsidRPr="00B54DD1" w:rsidRDefault="00F861EF" w:rsidP="00B54DD1">
            <w:pPr>
              <w:jc w:val="center"/>
              <w:rPr>
                <w:color w:val="000000"/>
                <w:sz w:val="22"/>
                <w:szCs w:val="22"/>
              </w:rPr>
            </w:pPr>
            <w:r>
              <w:rPr>
                <w:color w:val="000000"/>
                <w:sz w:val="22"/>
                <w:szCs w:val="22"/>
              </w:rPr>
              <w:t>9 655,</w:t>
            </w:r>
            <w:r w:rsidR="00D16CD6">
              <w:rPr>
                <w:color w:val="000000"/>
                <w:sz w:val="22"/>
                <w:szCs w:val="22"/>
              </w:rPr>
              <w:t>80</w:t>
            </w:r>
          </w:p>
        </w:tc>
        <w:tc>
          <w:tcPr>
            <w:tcW w:w="2340" w:type="dxa"/>
            <w:tcBorders>
              <w:top w:val="nil"/>
              <w:left w:val="nil"/>
              <w:bottom w:val="single" w:sz="4" w:space="0" w:color="auto"/>
              <w:right w:val="single" w:sz="4" w:space="0" w:color="auto"/>
            </w:tcBorders>
            <w:shd w:val="clear" w:color="auto" w:fill="auto"/>
            <w:noWrap/>
            <w:vAlign w:val="center"/>
          </w:tcPr>
          <w:p w:rsidR="00B54DD1" w:rsidRPr="00B54DD1" w:rsidRDefault="00B54DD1" w:rsidP="00B54DD1">
            <w:pPr>
              <w:jc w:val="center"/>
              <w:rPr>
                <w:color w:val="000000"/>
                <w:sz w:val="22"/>
                <w:szCs w:val="22"/>
              </w:rPr>
            </w:pPr>
          </w:p>
        </w:tc>
      </w:tr>
    </w:tbl>
    <w:p w:rsidR="00D73B96" w:rsidRPr="00777651" w:rsidRDefault="00D73B96" w:rsidP="00B54DD1">
      <w:pPr>
        <w:pStyle w:val="Style88"/>
        <w:tabs>
          <w:tab w:val="left" w:pos="8870"/>
        </w:tabs>
        <w:spacing w:before="100" w:beforeAutospacing="1" w:after="100" w:afterAutospacing="1" w:line="240" w:lineRule="auto"/>
        <w:ind w:firstLine="709"/>
        <w:rPr>
          <w:rStyle w:val="FontStyle137"/>
          <w:rFonts w:ascii="Times New Roman" w:hAnsi="Times New Roman" w:cs="Times New Roman"/>
        </w:rPr>
      </w:pPr>
      <w:r w:rsidRPr="00777651">
        <w:rPr>
          <w:rStyle w:val="FontStyle170"/>
          <w:sz w:val="24"/>
          <w:szCs w:val="24"/>
        </w:rPr>
        <w:t>Nematerialiojo turto, kurio kontrolę riboja sutartys ar</w:t>
      </w:r>
      <w:r w:rsidR="00B54DD1">
        <w:rPr>
          <w:rStyle w:val="FontStyle170"/>
          <w:sz w:val="24"/>
          <w:szCs w:val="24"/>
        </w:rPr>
        <w:t xml:space="preserve"> </w:t>
      </w:r>
      <w:r w:rsidRPr="00777651">
        <w:rPr>
          <w:rStyle w:val="FontStyle170"/>
          <w:sz w:val="24"/>
          <w:szCs w:val="24"/>
        </w:rPr>
        <w:t>teisės aktai, likutinė vertė</w:t>
      </w:r>
      <w:r w:rsidR="00C37854" w:rsidRPr="00777651">
        <w:rPr>
          <w:rStyle w:val="FontStyle170"/>
          <w:sz w:val="24"/>
          <w:szCs w:val="24"/>
        </w:rPr>
        <w:t xml:space="preserve"> </w:t>
      </w:r>
      <w:r w:rsidRPr="00777651">
        <w:rPr>
          <w:rStyle w:val="FontStyle170"/>
          <w:sz w:val="24"/>
          <w:szCs w:val="24"/>
        </w:rPr>
        <w:t>yra:</w:t>
      </w:r>
    </w:p>
    <w:tbl>
      <w:tblPr>
        <w:tblW w:w="4680" w:type="dxa"/>
        <w:jc w:val="center"/>
        <w:tblLook w:val="04A0" w:firstRow="1" w:lastRow="0" w:firstColumn="1" w:lastColumn="0" w:noHBand="0" w:noVBand="1"/>
      </w:tblPr>
      <w:tblGrid>
        <w:gridCol w:w="2340"/>
        <w:gridCol w:w="2340"/>
      </w:tblGrid>
      <w:tr w:rsidR="00B54DD1" w:rsidRPr="00B54DD1">
        <w:trPr>
          <w:trHeight w:val="510"/>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54DD1" w:rsidRDefault="00B54DD1" w:rsidP="00B54DD1">
            <w:pPr>
              <w:jc w:val="center"/>
              <w:rPr>
                <w:b/>
                <w:bCs/>
                <w:color w:val="000000"/>
                <w:sz w:val="20"/>
                <w:szCs w:val="20"/>
              </w:rPr>
            </w:pPr>
            <w:r w:rsidRPr="00B54DD1">
              <w:rPr>
                <w:b/>
                <w:bCs/>
                <w:color w:val="000000"/>
                <w:sz w:val="20"/>
                <w:szCs w:val="20"/>
              </w:rPr>
              <w:t>Ataskaitinis</w:t>
            </w:r>
          </w:p>
          <w:p w:rsidR="00B54DD1" w:rsidRPr="00B54DD1" w:rsidRDefault="00B54DD1" w:rsidP="00B54DD1">
            <w:pPr>
              <w:jc w:val="center"/>
              <w:rPr>
                <w:b/>
                <w:bCs/>
                <w:color w:val="000000"/>
                <w:sz w:val="20"/>
                <w:szCs w:val="20"/>
              </w:rPr>
            </w:pPr>
            <w:r w:rsidRPr="00B54DD1">
              <w:rPr>
                <w:b/>
                <w:bCs/>
                <w:color w:val="000000"/>
                <w:sz w:val="20"/>
                <w:szCs w:val="20"/>
              </w:rPr>
              <w:t>laikotarpis</w:t>
            </w:r>
          </w:p>
        </w:tc>
        <w:tc>
          <w:tcPr>
            <w:tcW w:w="2340" w:type="dxa"/>
            <w:tcBorders>
              <w:top w:val="single" w:sz="4" w:space="0" w:color="auto"/>
              <w:left w:val="nil"/>
              <w:bottom w:val="single" w:sz="4" w:space="0" w:color="auto"/>
              <w:right w:val="single" w:sz="4" w:space="0" w:color="auto"/>
            </w:tcBorders>
            <w:shd w:val="clear" w:color="auto" w:fill="auto"/>
          </w:tcPr>
          <w:p w:rsidR="00B54DD1" w:rsidRPr="00B54DD1" w:rsidRDefault="00B54DD1" w:rsidP="00B54DD1">
            <w:pPr>
              <w:jc w:val="center"/>
              <w:rPr>
                <w:b/>
                <w:bCs/>
                <w:color w:val="000000"/>
                <w:sz w:val="20"/>
                <w:szCs w:val="20"/>
              </w:rPr>
            </w:pPr>
            <w:r w:rsidRPr="00B54DD1">
              <w:rPr>
                <w:b/>
                <w:bCs/>
                <w:color w:val="000000"/>
                <w:sz w:val="20"/>
                <w:szCs w:val="20"/>
              </w:rPr>
              <w:t>Praėjęs ataskaitinis laikotarpis</w:t>
            </w:r>
          </w:p>
        </w:tc>
      </w:tr>
      <w:tr w:rsidR="00B54DD1" w:rsidRPr="00B54DD1">
        <w:trPr>
          <w:trHeight w:val="435"/>
          <w:jc w:val="center"/>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54DD1" w:rsidRPr="00B54DD1" w:rsidRDefault="00B54DD1" w:rsidP="00B54DD1">
            <w:pPr>
              <w:jc w:val="center"/>
              <w:rPr>
                <w:color w:val="000000"/>
                <w:sz w:val="22"/>
                <w:szCs w:val="22"/>
              </w:rPr>
            </w:pPr>
            <w:r>
              <w:rPr>
                <w:color w:val="000000"/>
                <w:sz w:val="22"/>
                <w:szCs w:val="22"/>
              </w:rPr>
              <w:lastRenderedPageBreak/>
              <w:t>0,00</w:t>
            </w:r>
            <w:r w:rsidRPr="00B54DD1">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center"/>
          </w:tcPr>
          <w:p w:rsidR="00B54DD1" w:rsidRPr="00B54DD1" w:rsidRDefault="00B54DD1" w:rsidP="00B54DD1">
            <w:pPr>
              <w:jc w:val="center"/>
              <w:rPr>
                <w:color w:val="000000"/>
                <w:sz w:val="22"/>
                <w:szCs w:val="22"/>
              </w:rPr>
            </w:pPr>
            <w:r>
              <w:rPr>
                <w:color w:val="000000"/>
                <w:sz w:val="22"/>
                <w:szCs w:val="22"/>
              </w:rPr>
              <w:t>0,00</w:t>
            </w:r>
            <w:r w:rsidRPr="00B54DD1">
              <w:rPr>
                <w:color w:val="000000"/>
                <w:sz w:val="22"/>
                <w:szCs w:val="22"/>
              </w:rPr>
              <w:t> </w:t>
            </w:r>
          </w:p>
        </w:tc>
      </w:tr>
    </w:tbl>
    <w:p w:rsidR="00F861EF" w:rsidRDefault="00F861EF" w:rsidP="00B54DD1">
      <w:pPr>
        <w:pStyle w:val="Style71"/>
        <w:spacing w:before="100" w:beforeAutospacing="1" w:after="100" w:afterAutospacing="1" w:line="240" w:lineRule="auto"/>
        <w:ind w:firstLine="709"/>
        <w:jc w:val="both"/>
        <w:rPr>
          <w:rStyle w:val="FontStyle170"/>
          <w:sz w:val="24"/>
          <w:szCs w:val="24"/>
        </w:rPr>
      </w:pPr>
    </w:p>
    <w:p w:rsidR="00F861EF" w:rsidRDefault="00F861EF" w:rsidP="00B54DD1">
      <w:pPr>
        <w:pStyle w:val="Style71"/>
        <w:spacing w:before="100" w:beforeAutospacing="1" w:after="100" w:afterAutospacing="1" w:line="240" w:lineRule="auto"/>
        <w:ind w:firstLine="709"/>
        <w:jc w:val="both"/>
        <w:rPr>
          <w:rStyle w:val="FontStyle170"/>
          <w:sz w:val="24"/>
          <w:szCs w:val="24"/>
        </w:rPr>
      </w:pPr>
    </w:p>
    <w:p w:rsidR="00F861EF" w:rsidRDefault="00F861EF" w:rsidP="00B54DD1">
      <w:pPr>
        <w:pStyle w:val="Style71"/>
        <w:spacing w:before="100" w:beforeAutospacing="1" w:after="100" w:afterAutospacing="1" w:line="240" w:lineRule="auto"/>
        <w:ind w:firstLine="709"/>
        <w:jc w:val="both"/>
        <w:rPr>
          <w:rStyle w:val="FontStyle170"/>
          <w:sz w:val="24"/>
          <w:szCs w:val="24"/>
        </w:rPr>
      </w:pPr>
    </w:p>
    <w:p w:rsidR="00D73B96" w:rsidRPr="00777651" w:rsidRDefault="00D73B96" w:rsidP="00B54DD1">
      <w:pPr>
        <w:pStyle w:val="Style71"/>
        <w:spacing w:before="100" w:beforeAutospacing="1" w:after="100" w:afterAutospacing="1" w:line="240" w:lineRule="auto"/>
        <w:ind w:firstLine="709"/>
        <w:jc w:val="both"/>
        <w:rPr>
          <w:rStyle w:val="FontStyle170"/>
          <w:sz w:val="24"/>
          <w:szCs w:val="24"/>
        </w:rPr>
      </w:pPr>
      <w:r w:rsidRPr="00777651">
        <w:rPr>
          <w:rStyle w:val="FontStyle170"/>
          <w:sz w:val="24"/>
          <w:szCs w:val="24"/>
        </w:rPr>
        <w:t>Nematerialiojo turto, užstatyto kaip įsipareigojimų įvykdymo garantija, likutinė vertė yra:</w:t>
      </w:r>
    </w:p>
    <w:tbl>
      <w:tblPr>
        <w:tblW w:w="4680" w:type="dxa"/>
        <w:jc w:val="center"/>
        <w:tblLook w:val="04A0" w:firstRow="1" w:lastRow="0" w:firstColumn="1" w:lastColumn="0" w:noHBand="0" w:noVBand="1"/>
      </w:tblPr>
      <w:tblGrid>
        <w:gridCol w:w="2340"/>
        <w:gridCol w:w="2340"/>
      </w:tblGrid>
      <w:tr w:rsidR="00B54DD1" w:rsidRPr="00B54DD1">
        <w:trPr>
          <w:trHeight w:val="510"/>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54DD1" w:rsidRDefault="00B54DD1" w:rsidP="00B54DD1">
            <w:pPr>
              <w:jc w:val="center"/>
              <w:rPr>
                <w:b/>
                <w:bCs/>
                <w:color w:val="000000"/>
                <w:sz w:val="20"/>
                <w:szCs w:val="20"/>
              </w:rPr>
            </w:pPr>
            <w:r w:rsidRPr="00B54DD1">
              <w:rPr>
                <w:b/>
                <w:bCs/>
                <w:color w:val="000000"/>
                <w:sz w:val="20"/>
                <w:szCs w:val="20"/>
              </w:rPr>
              <w:t>Ataskaitinis</w:t>
            </w:r>
          </w:p>
          <w:p w:rsidR="00B54DD1" w:rsidRPr="00B54DD1" w:rsidRDefault="00B54DD1" w:rsidP="00B54DD1">
            <w:pPr>
              <w:jc w:val="center"/>
              <w:rPr>
                <w:b/>
                <w:bCs/>
                <w:color w:val="000000"/>
                <w:sz w:val="20"/>
                <w:szCs w:val="20"/>
              </w:rPr>
            </w:pPr>
            <w:r w:rsidRPr="00B54DD1">
              <w:rPr>
                <w:b/>
                <w:bCs/>
                <w:color w:val="000000"/>
                <w:sz w:val="20"/>
                <w:szCs w:val="20"/>
              </w:rPr>
              <w:t>laikotarpis</w:t>
            </w:r>
          </w:p>
        </w:tc>
        <w:tc>
          <w:tcPr>
            <w:tcW w:w="2340" w:type="dxa"/>
            <w:tcBorders>
              <w:top w:val="single" w:sz="4" w:space="0" w:color="auto"/>
              <w:left w:val="nil"/>
              <w:bottom w:val="single" w:sz="4" w:space="0" w:color="auto"/>
              <w:right w:val="single" w:sz="4" w:space="0" w:color="auto"/>
            </w:tcBorders>
            <w:shd w:val="clear" w:color="auto" w:fill="auto"/>
          </w:tcPr>
          <w:p w:rsidR="00B54DD1" w:rsidRPr="00B54DD1" w:rsidRDefault="00B54DD1" w:rsidP="00AC3461">
            <w:pPr>
              <w:jc w:val="center"/>
              <w:rPr>
                <w:b/>
                <w:bCs/>
                <w:color w:val="000000"/>
                <w:sz w:val="20"/>
                <w:szCs w:val="20"/>
              </w:rPr>
            </w:pPr>
            <w:r w:rsidRPr="00B54DD1">
              <w:rPr>
                <w:b/>
                <w:bCs/>
                <w:color w:val="000000"/>
                <w:sz w:val="20"/>
                <w:szCs w:val="20"/>
              </w:rPr>
              <w:t>Praėjęs ataskaitinis laikotarpis</w:t>
            </w:r>
          </w:p>
        </w:tc>
      </w:tr>
      <w:tr w:rsidR="00B54DD1" w:rsidRPr="00B54DD1">
        <w:trPr>
          <w:trHeight w:val="435"/>
          <w:jc w:val="center"/>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54DD1" w:rsidRPr="00B54DD1" w:rsidRDefault="00B54DD1" w:rsidP="00B54DD1">
            <w:pPr>
              <w:jc w:val="center"/>
              <w:rPr>
                <w:color w:val="000000"/>
                <w:sz w:val="22"/>
                <w:szCs w:val="22"/>
              </w:rPr>
            </w:pPr>
            <w:r>
              <w:rPr>
                <w:color w:val="000000"/>
                <w:sz w:val="22"/>
                <w:szCs w:val="22"/>
              </w:rPr>
              <w:t>0,00</w:t>
            </w:r>
          </w:p>
        </w:tc>
        <w:tc>
          <w:tcPr>
            <w:tcW w:w="2340" w:type="dxa"/>
            <w:tcBorders>
              <w:top w:val="nil"/>
              <w:left w:val="nil"/>
              <w:bottom w:val="single" w:sz="4" w:space="0" w:color="auto"/>
              <w:right w:val="single" w:sz="4" w:space="0" w:color="auto"/>
            </w:tcBorders>
            <w:shd w:val="clear" w:color="auto" w:fill="auto"/>
            <w:noWrap/>
            <w:vAlign w:val="center"/>
          </w:tcPr>
          <w:p w:rsidR="00B54DD1" w:rsidRPr="00B54DD1" w:rsidRDefault="00B54DD1" w:rsidP="00B54DD1">
            <w:pPr>
              <w:jc w:val="center"/>
              <w:rPr>
                <w:color w:val="000000"/>
                <w:sz w:val="22"/>
                <w:szCs w:val="22"/>
              </w:rPr>
            </w:pPr>
            <w:r>
              <w:rPr>
                <w:color w:val="000000"/>
                <w:sz w:val="22"/>
                <w:szCs w:val="22"/>
              </w:rPr>
              <w:t>0,00</w:t>
            </w:r>
          </w:p>
        </w:tc>
      </w:tr>
    </w:tbl>
    <w:p w:rsidR="00D73B96" w:rsidRPr="00777651" w:rsidRDefault="00D73B96" w:rsidP="00B54DD1">
      <w:pPr>
        <w:pStyle w:val="Style71"/>
        <w:spacing w:before="100" w:beforeAutospacing="1" w:after="100" w:afterAutospacing="1" w:line="240" w:lineRule="auto"/>
        <w:ind w:firstLine="709"/>
        <w:jc w:val="both"/>
        <w:rPr>
          <w:rStyle w:val="FontStyle170"/>
          <w:sz w:val="24"/>
          <w:szCs w:val="24"/>
        </w:rPr>
      </w:pPr>
      <w:r w:rsidRPr="00777651">
        <w:rPr>
          <w:rStyle w:val="FontStyle170"/>
          <w:sz w:val="24"/>
          <w:szCs w:val="24"/>
        </w:rPr>
        <w:t>Nebenaudojamo veikloje nematerialiojo turto likutinę</w:t>
      </w:r>
      <w:r w:rsidR="00197882">
        <w:rPr>
          <w:rStyle w:val="FontStyle170"/>
          <w:sz w:val="24"/>
          <w:szCs w:val="24"/>
        </w:rPr>
        <w:t xml:space="preserve"> </w:t>
      </w:r>
      <w:r w:rsidRPr="00777651">
        <w:rPr>
          <w:rStyle w:val="FontStyle170"/>
          <w:sz w:val="24"/>
          <w:szCs w:val="24"/>
        </w:rPr>
        <w:t>vertę sudaro :</w:t>
      </w:r>
    </w:p>
    <w:tbl>
      <w:tblPr>
        <w:tblW w:w="4680" w:type="dxa"/>
        <w:jc w:val="center"/>
        <w:tblLook w:val="04A0" w:firstRow="1" w:lastRow="0" w:firstColumn="1" w:lastColumn="0" w:noHBand="0" w:noVBand="1"/>
      </w:tblPr>
      <w:tblGrid>
        <w:gridCol w:w="2340"/>
        <w:gridCol w:w="2340"/>
      </w:tblGrid>
      <w:tr w:rsidR="00B54DD1" w:rsidRPr="00B54DD1">
        <w:trPr>
          <w:trHeight w:val="510"/>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54DD1" w:rsidRDefault="00B54DD1" w:rsidP="00B54DD1">
            <w:pPr>
              <w:jc w:val="center"/>
              <w:rPr>
                <w:b/>
                <w:bCs/>
                <w:color w:val="000000"/>
                <w:sz w:val="20"/>
                <w:szCs w:val="20"/>
              </w:rPr>
            </w:pPr>
            <w:r w:rsidRPr="00B54DD1">
              <w:rPr>
                <w:b/>
                <w:bCs/>
                <w:color w:val="000000"/>
                <w:sz w:val="20"/>
                <w:szCs w:val="20"/>
              </w:rPr>
              <w:t>Ataskaitinis</w:t>
            </w:r>
          </w:p>
          <w:p w:rsidR="00B54DD1" w:rsidRPr="00B54DD1" w:rsidRDefault="00B54DD1" w:rsidP="00B54DD1">
            <w:pPr>
              <w:jc w:val="center"/>
              <w:rPr>
                <w:b/>
                <w:bCs/>
                <w:color w:val="000000"/>
                <w:sz w:val="20"/>
                <w:szCs w:val="20"/>
              </w:rPr>
            </w:pPr>
            <w:r w:rsidRPr="00B54DD1">
              <w:rPr>
                <w:b/>
                <w:bCs/>
                <w:color w:val="000000"/>
                <w:sz w:val="20"/>
                <w:szCs w:val="20"/>
              </w:rPr>
              <w:t>laikotarpis</w:t>
            </w:r>
          </w:p>
        </w:tc>
        <w:tc>
          <w:tcPr>
            <w:tcW w:w="2340" w:type="dxa"/>
            <w:tcBorders>
              <w:top w:val="single" w:sz="4" w:space="0" w:color="auto"/>
              <w:left w:val="nil"/>
              <w:bottom w:val="single" w:sz="4" w:space="0" w:color="auto"/>
              <w:right w:val="single" w:sz="4" w:space="0" w:color="auto"/>
            </w:tcBorders>
            <w:shd w:val="clear" w:color="auto" w:fill="auto"/>
          </w:tcPr>
          <w:p w:rsidR="00B54DD1" w:rsidRPr="00B54DD1" w:rsidRDefault="00B54DD1" w:rsidP="00B54DD1">
            <w:pPr>
              <w:jc w:val="center"/>
              <w:rPr>
                <w:b/>
                <w:bCs/>
                <w:color w:val="000000"/>
                <w:sz w:val="20"/>
                <w:szCs w:val="20"/>
              </w:rPr>
            </w:pPr>
            <w:r w:rsidRPr="00B54DD1">
              <w:rPr>
                <w:b/>
                <w:bCs/>
                <w:color w:val="000000"/>
                <w:sz w:val="20"/>
                <w:szCs w:val="20"/>
              </w:rPr>
              <w:t>Praėjęs ataskaitinis laikotarpis</w:t>
            </w:r>
          </w:p>
        </w:tc>
      </w:tr>
      <w:tr w:rsidR="00B54DD1" w:rsidRPr="00B54DD1">
        <w:trPr>
          <w:trHeight w:val="435"/>
          <w:jc w:val="center"/>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54DD1" w:rsidRPr="00B54DD1" w:rsidRDefault="00B54DD1" w:rsidP="00AC3461">
            <w:pPr>
              <w:jc w:val="center"/>
              <w:rPr>
                <w:color w:val="000000"/>
                <w:sz w:val="22"/>
                <w:szCs w:val="22"/>
              </w:rPr>
            </w:pPr>
            <w:r>
              <w:rPr>
                <w:color w:val="000000"/>
                <w:sz w:val="22"/>
                <w:szCs w:val="22"/>
              </w:rPr>
              <w:t>0,00</w:t>
            </w:r>
            <w:r w:rsidRPr="00B54DD1">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center"/>
          </w:tcPr>
          <w:p w:rsidR="00B54DD1" w:rsidRPr="00B54DD1" w:rsidRDefault="00B54DD1" w:rsidP="00AC3461">
            <w:pPr>
              <w:jc w:val="center"/>
              <w:rPr>
                <w:color w:val="000000"/>
                <w:sz w:val="22"/>
                <w:szCs w:val="22"/>
              </w:rPr>
            </w:pPr>
            <w:r>
              <w:rPr>
                <w:color w:val="000000"/>
                <w:sz w:val="22"/>
                <w:szCs w:val="22"/>
              </w:rPr>
              <w:t>0,00</w:t>
            </w:r>
            <w:r w:rsidRPr="00B54DD1">
              <w:rPr>
                <w:color w:val="000000"/>
                <w:sz w:val="22"/>
                <w:szCs w:val="22"/>
              </w:rPr>
              <w:t> </w:t>
            </w:r>
          </w:p>
        </w:tc>
      </w:tr>
    </w:tbl>
    <w:p w:rsidR="00D73B96" w:rsidRDefault="00D73B96" w:rsidP="00B54DD1">
      <w:pPr>
        <w:pStyle w:val="Style77"/>
        <w:spacing w:line="240" w:lineRule="auto"/>
        <w:ind w:firstLine="709"/>
        <w:jc w:val="both"/>
        <w:rPr>
          <w:rStyle w:val="FontStyle172"/>
          <w:sz w:val="24"/>
          <w:szCs w:val="24"/>
        </w:rPr>
      </w:pPr>
      <w:r w:rsidRPr="00777651">
        <w:rPr>
          <w:rStyle w:val="FontStyle172"/>
          <w:sz w:val="24"/>
          <w:szCs w:val="24"/>
        </w:rPr>
        <w:t>Per ataskaitinį laikotarpį patikėjimo teise perduoto kitiems subjektams turto likutinė vertė atidavimo momentu buvo:</w:t>
      </w:r>
    </w:p>
    <w:tbl>
      <w:tblPr>
        <w:tblW w:w="4680" w:type="dxa"/>
        <w:jc w:val="center"/>
        <w:tblLook w:val="04A0" w:firstRow="1" w:lastRow="0" w:firstColumn="1" w:lastColumn="0" w:noHBand="0" w:noVBand="1"/>
      </w:tblPr>
      <w:tblGrid>
        <w:gridCol w:w="2340"/>
        <w:gridCol w:w="2340"/>
      </w:tblGrid>
      <w:tr w:rsidR="00B54DD1" w:rsidRPr="00B54DD1">
        <w:trPr>
          <w:trHeight w:val="510"/>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54DD1" w:rsidRDefault="00B54DD1" w:rsidP="00B54DD1">
            <w:pPr>
              <w:jc w:val="center"/>
              <w:rPr>
                <w:b/>
                <w:bCs/>
                <w:color w:val="000000"/>
                <w:sz w:val="20"/>
                <w:szCs w:val="20"/>
              </w:rPr>
            </w:pPr>
            <w:r w:rsidRPr="00B54DD1">
              <w:rPr>
                <w:b/>
                <w:bCs/>
                <w:color w:val="000000"/>
                <w:sz w:val="20"/>
                <w:szCs w:val="20"/>
              </w:rPr>
              <w:t>Ataskaitinis</w:t>
            </w:r>
          </w:p>
          <w:p w:rsidR="00B54DD1" w:rsidRPr="00B54DD1" w:rsidRDefault="00B54DD1" w:rsidP="00B54DD1">
            <w:pPr>
              <w:jc w:val="center"/>
              <w:rPr>
                <w:b/>
                <w:bCs/>
                <w:color w:val="000000"/>
                <w:sz w:val="20"/>
                <w:szCs w:val="20"/>
              </w:rPr>
            </w:pPr>
            <w:r w:rsidRPr="00B54DD1">
              <w:rPr>
                <w:b/>
                <w:bCs/>
                <w:color w:val="000000"/>
                <w:sz w:val="20"/>
                <w:szCs w:val="20"/>
              </w:rPr>
              <w:t>laikotarpis</w:t>
            </w:r>
          </w:p>
        </w:tc>
        <w:tc>
          <w:tcPr>
            <w:tcW w:w="2340" w:type="dxa"/>
            <w:tcBorders>
              <w:top w:val="single" w:sz="4" w:space="0" w:color="auto"/>
              <w:left w:val="nil"/>
              <w:bottom w:val="single" w:sz="4" w:space="0" w:color="auto"/>
              <w:right w:val="single" w:sz="4" w:space="0" w:color="auto"/>
            </w:tcBorders>
            <w:shd w:val="clear" w:color="auto" w:fill="auto"/>
          </w:tcPr>
          <w:p w:rsidR="00B54DD1" w:rsidRPr="00B54DD1" w:rsidRDefault="00B54DD1" w:rsidP="00AC3461">
            <w:pPr>
              <w:jc w:val="center"/>
              <w:rPr>
                <w:b/>
                <w:bCs/>
                <w:color w:val="000000"/>
                <w:sz w:val="20"/>
                <w:szCs w:val="20"/>
              </w:rPr>
            </w:pPr>
            <w:r w:rsidRPr="00B54DD1">
              <w:rPr>
                <w:b/>
                <w:bCs/>
                <w:color w:val="000000"/>
                <w:sz w:val="20"/>
                <w:szCs w:val="20"/>
              </w:rPr>
              <w:t>Praėjęs ataskaitinis laikotarpis</w:t>
            </w:r>
          </w:p>
        </w:tc>
      </w:tr>
      <w:tr w:rsidR="00B54DD1" w:rsidRPr="00B54DD1">
        <w:trPr>
          <w:trHeight w:val="435"/>
          <w:jc w:val="center"/>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54DD1" w:rsidRPr="00B54DD1" w:rsidRDefault="00B54DD1" w:rsidP="00AC3461">
            <w:pPr>
              <w:jc w:val="center"/>
              <w:rPr>
                <w:color w:val="000000"/>
                <w:sz w:val="22"/>
                <w:szCs w:val="22"/>
              </w:rPr>
            </w:pPr>
            <w:r>
              <w:rPr>
                <w:color w:val="000000"/>
                <w:sz w:val="22"/>
                <w:szCs w:val="22"/>
              </w:rPr>
              <w:t>0,00</w:t>
            </w:r>
            <w:r w:rsidRPr="00B54DD1">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center"/>
          </w:tcPr>
          <w:p w:rsidR="00B54DD1" w:rsidRPr="00B54DD1" w:rsidRDefault="00B54DD1" w:rsidP="00AC3461">
            <w:pPr>
              <w:jc w:val="center"/>
              <w:rPr>
                <w:color w:val="000000"/>
                <w:sz w:val="22"/>
                <w:szCs w:val="22"/>
              </w:rPr>
            </w:pPr>
            <w:r>
              <w:rPr>
                <w:color w:val="000000"/>
                <w:sz w:val="22"/>
                <w:szCs w:val="22"/>
              </w:rPr>
              <w:t>0,00</w:t>
            </w:r>
            <w:r w:rsidRPr="00B54DD1">
              <w:rPr>
                <w:color w:val="000000"/>
                <w:sz w:val="22"/>
                <w:szCs w:val="22"/>
              </w:rPr>
              <w:t> </w:t>
            </w:r>
          </w:p>
        </w:tc>
      </w:tr>
    </w:tbl>
    <w:p w:rsidR="006E60A4" w:rsidRDefault="00D73B96" w:rsidP="00F861EF">
      <w:pPr>
        <w:pStyle w:val="Style77"/>
        <w:spacing w:before="100" w:beforeAutospacing="1" w:after="100" w:afterAutospacing="1" w:line="240" w:lineRule="auto"/>
        <w:ind w:firstLine="709"/>
        <w:jc w:val="both"/>
        <w:rPr>
          <w:rStyle w:val="FontStyle172"/>
          <w:sz w:val="24"/>
          <w:szCs w:val="24"/>
        </w:rPr>
      </w:pPr>
      <w:r w:rsidRPr="00777651">
        <w:rPr>
          <w:rStyle w:val="FontStyle172"/>
          <w:sz w:val="24"/>
          <w:szCs w:val="24"/>
        </w:rPr>
        <w:t>Nematerialiojo turto tyrimų išlaidų sumą, pripažintą ataskaitinio laikotarpio sąnaudomis,</w:t>
      </w:r>
      <w:r w:rsidR="002764F6" w:rsidRPr="00777651">
        <w:rPr>
          <w:rStyle w:val="FontStyle172"/>
          <w:sz w:val="24"/>
          <w:szCs w:val="24"/>
        </w:rPr>
        <w:t xml:space="preserve"> s</w:t>
      </w:r>
      <w:r w:rsidRPr="00777651">
        <w:rPr>
          <w:rStyle w:val="FontStyle172"/>
          <w:sz w:val="24"/>
          <w:szCs w:val="24"/>
        </w:rPr>
        <w:t>udaro</w:t>
      </w:r>
      <w:r w:rsidR="002764F6" w:rsidRPr="00777651">
        <w:rPr>
          <w:rStyle w:val="FontStyle172"/>
          <w:sz w:val="24"/>
          <w:szCs w:val="24"/>
        </w:rPr>
        <w:t>:</w:t>
      </w:r>
    </w:p>
    <w:tbl>
      <w:tblPr>
        <w:tblW w:w="4680" w:type="dxa"/>
        <w:jc w:val="center"/>
        <w:tblLook w:val="04A0" w:firstRow="1" w:lastRow="0" w:firstColumn="1" w:lastColumn="0" w:noHBand="0" w:noVBand="1"/>
      </w:tblPr>
      <w:tblGrid>
        <w:gridCol w:w="2340"/>
        <w:gridCol w:w="2340"/>
      </w:tblGrid>
      <w:tr w:rsidR="00B54DD1" w:rsidRPr="00B54DD1">
        <w:trPr>
          <w:trHeight w:val="510"/>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54DD1" w:rsidRDefault="00B54DD1" w:rsidP="00B54DD1">
            <w:pPr>
              <w:jc w:val="center"/>
              <w:rPr>
                <w:b/>
                <w:bCs/>
                <w:color w:val="000000"/>
                <w:sz w:val="20"/>
                <w:szCs w:val="20"/>
              </w:rPr>
            </w:pPr>
            <w:r w:rsidRPr="00B54DD1">
              <w:rPr>
                <w:b/>
                <w:bCs/>
                <w:color w:val="000000"/>
                <w:sz w:val="20"/>
                <w:szCs w:val="20"/>
              </w:rPr>
              <w:t>Ataskaitinis</w:t>
            </w:r>
          </w:p>
          <w:p w:rsidR="00B54DD1" w:rsidRPr="00B54DD1" w:rsidRDefault="00B54DD1" w:rsidP="00B54DD1">
            <w:pPr>
              <w:jc w:val="center"/>
              <w:rPr>
                <w:b/>
                <w:bCs/>
                <w:color w:val="000000"/>
                <w:sz w:val="20"/>
                <w:szCs w:val="20"/>
              </w:rPr>
            </w:pPr>
            <w:r w:rsidRPr="00B54DD1">
              <w:rPr>
                <w:b/>
                <w:bCs/>
                <w:color w:val="000000"/>
                <w:sz w:val="20"/>
                <w:szCs w:val="20"/>
              </w:rPr>
              <w:t>laikotarpis</w:t>
            </w:r>
          </w:p>
        </w:tc>
        <w:tc>
          <w:tcPr>
            <w:tcW w:w="2340" w:type="dxa"/>
            <w:tcBorders>
              <w:top w:val="single" w:sz="4" w:space="0" w:color="auto"/>
              <w:left w:val="nil"/>
              <w:bottom w:val="single" w:sz="4" w:space="0" w:color="auto"/>
              <w:right w:val="single" w:sz="4" w:space="0" w:color="auto"/>
            </w:tcBorders>
            <w:shd w:val="clear" w:color="auto" w:fill="auto"/>
          </w:tcPr>
          <w:p w:rsidR="00B54DD1" w:rsidRPr="00B54DD1" w:rsidRDefault="00B54DD1" w:rsidP="00AC3461">
            <w:pPr>
              <w:jc w:val="center"/>
              <w:rPr>
                <w:b/>
                <w:bCs/>
                <w:color w:val="000000"/>
                <w:sz w:val="20"/>
                <w:szCs w:val="20"/>
              </w:rPr>
            </w:pPr>
            <w:r w:rsidRPr="00B54DD1">
              <w:rPr>
                <w:b/>
                <w:bCs/>
                <w:color w:val="000000"/>
                <w:sz w:val="20"/>
                <w:szCs w:val="20"/>
              </w:rPr>
              <w:t>Praėjęs ataskaitinis laikotarpis</w:t>
            </w:r>
          </w:p>
        </w:tc>
      </w:tr>
      <w:tr w:rsidR="00B54DD1" w:rsidRPr="00B54DD1">
        <w:trPr>
          <w:trHeight w:val="435"/>
          <w:jc w:val="center"/>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54DD1" w:rsidRPr="00B54DD1" w:rsidRDefault="00B54DD1" w:rsidP="00AC3461">
            <w:pPr>
              <w:jc w:val="center"/>
              <w:rPr>
                <w:color w:val="000000"/>
                <w:sz w:val="22"/>
                <w:szCs w:val="22"/>
              </w:rPr>
            </w:pPr>
            <w:r>
              <w:rPr>
                <w:color w:val="000000"/>
                <w:sz w:val="22"/>
                <w:szCs w:val="22"/>
              </w:rPr>
              <w:t>0,00</w:t>
            </w:r>
            <w:r w:rsidRPr="00B54DD1">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center"/>
          </w:tcPr>
          <w:p w:rsidR="00B54DD1" w:rsidRPr="00B54DD1" w:rsidRDefault="00B54DD1" w:rsidP="00AC3461">
            <w:pPr>
              <w:jc w:val="center"/>
              <w:rPr>
                <w:color w:val="000000"/>
                <w:sz w:val="22"/>
                <w:szCs w:val="22"/>
              </w:rPr>
            </w:pPr>
            <w:r>
              <w:rPr>
                <w:color w:val="000000"/>
                <w:sz w:val="22"/>
                <w:szCs w:val="22"/>
              </w:rPr>
              <w:t>0,00</w:t>
            </w:r>
            <w:r w:rsidRPr="00B54DD1">
              <w:rPr>
                <w:color w:val="000000"/>
                <w:sz w:val="22"/>
                <w:szCs w:val="22"/>
              </w:rPr>
              <w:t> </w:t>
            </w:r>
          </w:p>
        </w:tc>
      </w:tr>
    </w:tbl>
    <w:p w:rsidR="00B54DD1" w:rsidRPr="00777651" w:rsidRDefault="00B54DD1" w:rsidP="002764F6">
      <w:pPr>
        <w:pStyle w:val="Style77"/>
        <w:spacing w:line="240" w:lineRule="auto"/>
        <w:ind w:firstLine="0"/>
        <w:rPr>
          <w:rStyle w:val="FontStyle172"/>
          <w:sz w:val="24"/>
          <w:szCs w:val="24"/>
        </w:rPr>
      </w:pPr>
    </w:p>
    <w:p w:rsidR="007660F3" w:rsidRDefault="00135B29" w:rsidP="00F861EF">
      <w:pPr>
        <w:pStyle w:val="Style19"/>
        <w:ind w:firstLine="709"/>
        <w:jc w:val="both"/>
        <w:rPr>
          <w:rStyle w:val="FontStyle172"/>
          <w:sz w:val="24"/>
          <w:szCs w:val="24"/>
        </w:rPr>
      </w:pPr>
      <w:r w:rsidRPr="00777651">
        <w:rPr>
          <w:rStyle w:val="FontStyle172"/>
          <w:sz w:val="24"/>
          <w:szCs w:val="24"/>
        </w:rPr>
        <w:t xml:space="preserve">Pagal finansinės nuomos (lizingo) sutartis įsigyto turto, kurio finansinės nuomos (lizingo) sutarties laikotarpis nėra pasibaigęs, </w:t>
      </w:r>
      <w:r w:rsidR="007660F3" w:rsidRPr="00777651">
        <w:rPr>
          <w:rStyle w:val="FontStyle172"/>
          <w:sz w:val="24"/>
          <w:szCs w:val="24"/>
        </w:rPr>
        <w:t>įstaiga neturi.</w:t>
      </w:r>
    </w:p>
    <w:p w:rsidR="00B54DD1" w:rsidRPr="00777651" w:rsidRDefault="00B54DD1" w:rsidP="00F861EF">
      <w:pPr>
        <w:pStyle w:val="Style19"/>
        <w:ind w:firstLine="709"/>
        <w:jc w:val="both"/>
        <w:rPr>
          <w:rStyle w:val="FontStyle172"/>
          <w:sz w:val="24"/>
          <w:szCs w:val="24"/>
        </w:rPr>
      </w:pPr>
      <w:r>
        <w:rPr>
          <w:rStyle w:val="FontStyle172"/>
          <w:sz w:val="24"/>
          <w:szCs w:val="24"/>
        </w:rPr>
        <w:t>Per ataskaitinį laikotarpį įstaiga neturėjo naujo materialiojo turto, įsigyto perduoti.</w:t>
      </w:r>
    </w:p>
    <w:p w:rsidR="00C71B06" w:rsidRDefault="000844DD" w:rsidP="00F861EF">
      <w:pPr>
        <w:ind w:firstLine="709"/>
        <w:jc w:val="both"/>
      </w:pPr>
      <w:r w:rsidRPr="00777651">
        <w:t xml:space="preserve">Informacija apie nematerialaus turto (toliau </w:t>
      </w:r>
      <w:r w:rsidR="00F861EF">
        <w:t xml:space="preserve">– </w:t>
      </w:r>
      <w:r w:rsidRPr="00777651">
        <w:t>NT) balansinės vertės pasikeitimą per ataskaitinį laikotarpį pateikta 1 priede</w:t>
      </w:r>
      <w:r>
        <w:t>.</w:t>
      </w:r>
    </w:p>
    <w:p w:rsidR="00197882" w:rsidRDefault="00197882" w:rsidP="00FD3647">
      <w:pPr>
        <w:ind w:firstLine="709"/>
        <w:jc w:val="both"/>
      </w:pPr>
    </w:p>
    <w:p w:rsidR="00061B89" w:rsidRPr="000844DD" w:rsidRDefault="00061B89" w:rsidP="00FD3647">
      <w:pPr>
        <w:spacing w:before="240" w:after="240"/>
        <w:ind w:firstLine="709"/>
        <w:jc w:val="both"/>
        <w:rPr>
          <w:b/>
          <w:bCs/>
          <w:color w:val="000000"/>
        </w:rPr>
      </w:pPr>
      <w:r>
        <w:rPr>
          <w:b/>
          <w:bCs/>
          <w:color w:val="000000"/>
        </w:rPr>
        <w:t>Ilgalaikis m</w:t>
      </w:r>
      <w:r w:rsidRPr="000844DD">
        <w:rPr>
          <w:b/>
          <w:bCs/>
          <w:color w:val="000000"/>
        </w:rPr>
        <w:t>aterialusis turtas</w:t>
      </w:r>
      <w:r w:rsidR="00EE2C1C">
        <w:rPr>
          <w:b/>
          <w:bCs/>
          <w:color w:val="000000"/>
        </w:rPr>
        <w:t xml:space="preserve"> (P04)</w:t>
      </w:r>
    </w:p>
    <w:p w:rsidR="00061B89" w:rsidRPr="00257C26" w:rsidRDefault="00061B89" w:rsidP="00FD3647">
      <w:pPr>
        <w:ind w:firstLine="709"/>
        <w:jc w:val="both"/>
      </w:pPr>
      <w:r w:rsidRPr="00257C26">
        <w:t xml:space="preserve">Ilgalaikio materialiojo turto balansinės vertės pasikeitimas per ataskaitinį laikotarpį pateiktas šio aiškinamojo rašto </w:t>
      </w:r>
      <w:r>
        <w:t>2</w:t>
      </w:r>
      <w:r w:rsidRPr="00257C26">
        <w:t xml:space="preserve"> priede.</w:t>
      </w:r>
    </w:p>
    <w:p w:rsidR="00061B89" w:rsidRPr="00257C26" w:rsidRDefault="00061B89" w:rsidP="00FD3647">
      <w:pPr>
        <w:ind w:firstLine="709"/>
        <w:jc w:val="both"/>
      </w:pPr>
      <w:r w:rsidRPr="00257C26">
        <w:t xml:space="preserve">Ataskaitinio laikotarpio pabaigoje </w:t>
      </w:r>
      <w:r>
        <w:t>įstaigoje</w:t>
      </w:r>
      <w:r w:rsidRPr="00257C26">
        <w:t xml:space="preserve"> užregistruoto ilgalaikio materialiojo turto likutinė vertė sudarė</w:t>
      </w:r>
      <w:r w:rsidR="00FF76A8">
        <w:t xml:space="preserve"> </w:t>
      </w:r>
      <w:r w:rsidR="000F1A30">
        <w:t>12</w:t>
      </w:r>
      <w:r w:rsidR="00F861EF">
        <w:t xml:space="preserve"> 545,</w:t>
      </w:r>
      <w:r w:rsidR="000F1A30">
        <w:t>08</w:t>
      </w:r>
      <w:r w:rsidR="00F861EF">
        <w:t xml:space="preserve"> Lt</w:t>
      </w:r>
      <w:r w:rsidRPr="00257C26">
        <w:t xml:space="preserve">. Didžiausią dalį turto sudarė </w:t>
      </w:r>
      <w:r w:rsidR="00FB7396">
        <w:t>mašinos ir įrenginiai</w:t>
      </w:r>
      <w:r w:rsidR="00FF76A8">
        <w:t xml:space="preserve"> (</w:t>
      </w:r>
      <w:r w:rsidR="00FB7396">
        <w:t>6</w:t>
      </w:r>
      <w:r w:rsidR="00F861EF">
        <w:t xml:space="preserve"> 561,</w:t>
      </w:r>
      <w:r w:rsidR="00FB7396">
        <w:t>15</w:t>
      </w:r>
      <w:r w:rsidR="00F861EF">
        <w:t xml:space="preserve"> Lt</w:t>
      </w:r>
      <w:r w:rsidR="00FF76A8">
        <w:t xml:space="preserve">) bei </w:t>
      </w:r>
      <w:r w:rsidR="00FB7396">
        <w:t>transporto</w:t>
      </w:r>
      <w:r w:rsidR="00FF76A8">
        <w:t xml:space="preserve"> </w:t>
      </w:r>
      <w:r w:rsidR="00FB7396">
        <w:t>priemonės</w:t>
      </w:r>
      <w:r w:rsidR="00FF76A8">
        <w:t xml:space="preserve"> (</w:t>
      </w:r>
      <w:r w:rsidR="00FB7396">
        <w:t>5</w:t>
      </w:r>
      <w:r w:rsidR="00F861EF">
        <w:t xml:space="preserve"> 983,</w:t>
      </w:r>
      <w:r w:rsidR="00FB7396">
        <w:t>93</w:t>
      </w:r>
      <w:r w:rsidR="00F861EF">
        <w:t xml:space="preserve"> Lt</w:t>
      </w:r>
      <w:r w:rsidR="00FF76A8">
        <w:t xml:space="preserve">). </w:t>
      </w:r>
    </w:p>
    <w:p w:rsidR="00FF76A8" w:rsidRDefault="00061B89" w:rsidP="00087F74">
      <w:pPr>
        <w:pStyle w:val="Style106"/>
        <w:ind w:firstLine="709"/>
        <w:jc w:val="both"/>
        <w:rPr>
          <w:rStyle w:val="FontStyle170"/>
          <w:sz w:val="24"/>
          <w:szCs w:val="24"/>
        </w:rPr>
      </w:pPr>
      <w:r w:rsidRPr="00257C26">
        <w:t>201</w:t>
      </w:r>
      <w:r w:rsidR="000F1A30">
        <w:t>3</w:t>
      </w:r>
      <w:r w:rsidR="00F861EF">
        <w:t xml:space="preserve"> m. </w:t>
      </w:r>
      <w:r w:rsidRPr="00257C26">
        <w:t>apskaičiuotas</w:t>
      </w:r>
      <w:r w:rsidR="00FF76A8">
        <w:t xml:space="preserve"> </w:t>
      </w:r>
      <w:r w:rsidR="00CD38A5">
        <w:t>19</w:t>
      </w:r>
      <w:r w:rsidR="00F861EF">
        <w:t xml:space="preserve"> 341,</w:t>
      </w:r>
      <w:r w:rsidR="00CD38A5">
        <w:t>82</w:t>
      </w:r>
      <w:r w:rsidR="00F861EF">
        <w:t xml:space="preserve"> Lt</w:t>
      </w:r>
      <w:r w:rsidRPr="00257C26">
        <w:t xml:space="preserve"> ilgalaikio materialiojo turto nusidėvėjimas</w:t>
      </w:r>
      <w:r w:rsidR="00F861EF">
        <w:t>,</w:t>
      </w:r>
      <w:r w:rsidRPr="00257C26">
        <w:t xml:space="preserve"> ir ataskaitinio laikotarpio pabaigoje sukaupto nusidėvėjimo suma sudarė </w:t>
      </w:r>
      <w:r w:rsidR="00CD38A5">
        <w:t>274</w:t>
      </w:r>
      <w:r w:rsidR="00F861EF">
        <w:t xml:space="preserve"> 637,</w:t>
      </w:r>
      <w:r w:rsidR="00CD38A5">
        <w:t>35</w:t>
      </w:r>
      <w:r w:rsidR="00F861EF">
        <w:t xml:space="preserve"> Lt</w:t>
      </w:r>
      <w:r w:rsidRPr="00257C26">
        <w:t>.</w:t>
      </w:r>
    </w:p>
    <w:p w:rsidR="00CF30E5" w:rsidRDefault="00CF30E5" w:rsidP="00087F74">
      <w:pPr>
        <w:pStyle w:val="Style106"/>
        <w:spacing w:after="100" w:afterAutospacing="1"/>
        <w:ind w:firstLine="709"/>
        <w:rPr>
          <w:rStyle w:val="FontStyle170"/>
          <w:sz w:val="24"/>
          <w:szCs w:val="24"/>
        </w:rPr>
      </w:pPr>
      <w:r w:rsidRPr="00777651">
        <w:rPr>
          <w:rStyle w:val="FontStyle170"/>
          <w:sz w:val="24"/>
          <w:szCs w:val="24"/>
        </w:rPr>
        <w:t>Materialiojo turto, kuris yra visiškai nudėvėtas, tačiau vis</w:t>
      </w:r>
      <w:r w:rsidR="00F93EB3" w:rsidRPr="00777651">
        <w:rPr>
          <w:rStyle w:val="FontStyle170"/>
          <w:sz w:val="24"/>
          <w:szCs w:val="24"/>
        </w:rPr>
        <w:t xml:space="preserve"> </w:t>
      </w:r>
      <w:r w:rsidRPr="00777651">
        <w:rPr>
          <w:rStyle w:val="FontStyle170"/>
          <w:sz w:val="24"/>
          <w:szCs w:val="24"/>
        </w:rPr>
        <w:t>dar naudojamas veikloje, įsigijimo ar pasigaminimo savikaina:</w:t>
      </w:r>
    </w:p>
    <w:tbl>
      <w:tblPr>
        <w:tblW w:w="4680" w:type="dxa"/>
        <w:jc w:val="center"/>
        <w:tblLook w:val="04A0" w:firstRow="1" w:lastRow="0" w:firstColumn="1" w:lastColumn="0" w:noHBand="0" w:noVBand="1"/>
      </w:tblPr>
      <w:tblGrid>
        <w:gridCol w:w="2340"/>
        <w:gridCol w:w="2340"/>
      </w:tblGrid>
      <w:tr w:rsidR="00346CB4">
        <w:trPr>
          <w:trHeight w:val="510"/>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346CB4" w:rsidRDefault="00346CB4" w:rsidP="00346CB4">
            <w:pPr>
              <w:jc w:val="center"/>
              <w:rPr>
                <w:b/>
                <w:bCs/>
                <w:color w:val="000000"/>
                <w:sz w:val="20"/>
                <w:szCs w:val="20"/>
              </w:rPr>
            </w:pPr>
            <w:r w:rsidRPr="00B54DD1">
              <w:rPr>
                <w:b/>
                <w:bCs/>
                <w:color w:val="000000"/>
                <w:sz w:val="20"/>
                <w:szCs w:val="20"/>
              </w:rPr>
              <w:t>Ataskaitinis</w:t>
            </w:r>
          </w:p>
          <w:p w:rsidR="00346CB4" w:rsidRDefault="00346CB4" w:rsidP="00346CB4">
            <w:pPr>
              <w:jc w:val="center"/>
              <w:rPr>
                <w:b/>
                <w:bCs/>
                <w:color w:val="000000"/>
                <w:sz w:val="20"/>
                <w:szCs w:val="20"/>
              </w:rPr>
            </w:pPr>
            <w:r w:rsidRPr="00B54DD1">
              <w:rPr>
                <w:b/>
                <w:bCs/>
                <w:color w:val="000000"/>
                <w:sz w:val="20"/>
                <w:szCs w:val="20"/>
              </w:rPr>
              <w:t>laikotarpis</w:t>
            </w:r>
          </w:p>
        </w:tc>
        <w:tc>
          <w:tcPr>
            <w:tcW w:w="2340" w:type="dxa"/>
            <w:tcBorders>
              <w:top w:val="single" w:sz="4" w:space="0" w:color="auto"/>
              <w:left w:val="nil"/>
              <w:bottom w:val="single" w:sz="4" w:space="0" w:color="auto"/>
              <w:right w:val="single" w:sz="4" w:space="0" w:color="auto"/>
            </w:tcBorders>
            <w:shd w:val="clear" w:color="auto" w:fill="auto"/>
          </w:tcPr>
          <w:p w:rsidR="00346CB4" w:rsidRDefault="00346CB4">
            <w:pPr>
              <w:jc w:val="center"/>
              <w:rPr>
                <w:b/>
                <w:bCs/>
                <w:color w:val="000000"/>
                <w:sz w:val="20"/>
                <w:szCs w:val="20"/>
              </w:rPr>
            </w:pPr>
            <w:r>
              <w:rPr>
                <w:b/>
                <w:bCs/>
                <w:color w:val="000000"/>
                <w:sz w:val="20"/>
                <w:szCs w:val="20"/>
              </w:rPr>
              <w:t>Praėjęs ataskaitinis laikotarpis</w:t>
            </w:r>
          </w:p>
        </w:tc>
      </w:tr>
      <w:tr w:rsidR="00346CB4">
        <w:trPr>
          <w:trHeight w:val="435"/>
          <w:jc w:val="center"/>
        </w:trPr>
        <w:tc>
          <w:tcPr>
            <w:tcW w:w="2340" w:type="dxa"/>
            <w:tcBorders>
              <w:top w:val="nil"/>
              <w:left w:val="single" w:sz="4" w:space="0" w:color="auto"/>
              <w:bottom w:val="single" w:sz="4" w:space="0" w:color="auto"/>
              <w:right w:val="single" w:sz="4" w:space="0" w:color="auto"/>
            </w:tcBorders>
            <w:shd w:val="clear" w:color="auto" w:fill="auto"/>
            <w:noWrap/>
            <w:vAlign w:val="center"/>
          </w:tcPr>
          <w:p w:rsidR="00346CB4" w:rsidRDefault="00CF4504">
            <w:pPr>
              <w:jc w:val="center"/>
              <w:rPr>
                <w:color w:val="000000"/>
                <w:sz w:val="22"/>
                <w:szCs w:val="22"/>
              </w:rPr>
            </w:pPr>
            <w:r>
              <w:rPr>
                <w:color w:val="000000"/>
                <w:sz w:val="22"/>
                <w:szCs w:val="22"/>
              </w:rPr>
              <w:t>238</w:t>
            </w:r>
            <w:r w:rsidR="00F861EF">
              <w:rPr>
                <w:color w:val="000000"/>
                <w:sz w:val="22"/>
                <w:szCs w:val="22"/>
              </w:rPr>
              <w:t xml:space="preserve"> 716,</w:t>
            </w:r>
            <w:r>
              <w:rPr>
                <w:color w:val="000000"/>
                <w:sz w:val="22"/>
                <w:szCs w:val="22"/>
              </w:rPr>
              <w:t>24</w:t>
            </w:r>
          </w:p>
        </w:tc>
        <w:tc>
          <w:tcPr>
            <w:tcW w:w="2340" w:type="dxa"/>
            <w:tcBorders>
              <w:top w:val="nil"/>
              <w:left w:val="nil"/>
              <w:bottom w:val="single" w:sz="4" w:space="0" w:color="auto"/>
              <w:right w:val="single" w:sz="4" w:space="0" w:color="auto"/>
            </w:tcBorders>
            <w:shd w:val="clear" w:color="auto" w:fill="auto"/>
            <w:noWrap/>
            <w:vAlign w:val="center"/>
          </w:tcPr>
          <w:p w:rsidR="00346CB4" w:rsidRDefault="00346CB4">
            <w:pPr>
              <w:jc w:val="center"/>
              <w:rPr>
                <w:color w:val="000000"/>
                <w:sz w:val="22"/>
                <w:szCs w:val="22"/>
              </w:rPr>
            </w:pPr>
          </w:p>
        </w:tc>
      </w:tr>
    </w:tbl>
    <w:p w:rsidR="00CF30E5" w:rsidRPr="00777651" w:rsidRDefault="00CF30E5" w:rsidP="00087F74">
      <w:pPr>
        <w:pStyle w:val="Style106"/>
        <w:spacing w:before="100" w:beforeAutospacing="1" w:after="100" w:afterAutospacing="1"/>
        <w:ind w:firstLine="709"/>
        <w:rPr>
          <w:rStyle w:val="FontStyle170"/>
          <w:sz w:val="24"/>
          <w:szCs w:val="24"/>
        </w:rPr>
      </w:pPr>
      <w:r w:rsidRPr="00777651">
        <w:rPr>
          <w:rStyle w:val="FontStyle170"/>
          <w:sz w:val="24"/>
          <w:szCs w:val="24"/>
        </w:rPr>
        <w:t>Materialiojo turto, užstatyto kaip įsipareigojimų įvykdymo garantija, likutinė vertė yra:</w:t>
      </w:r>
    </w:p>
    <w:tbl>
      <w:tblPr>
        <w:tblW w:w="4680" w:type="dxa"/>
        <w:jc w:val="center"/>
        <w:tblLook w:val="04A0" w:firstRow="1" w:lastRow="0" w:firstColumn="1" w:lastColumn="0" w:noHBand="0" w:noVBand="1"/>
      </w:tblPr>
      <w:tblGrid>
        <w:gridCol w:w="2340"/>
        <w:gridCol w:w="2340"/>
      </w:tblGrid>
      <w:tr w:rsidR="00346CB4" w:rsidRPr="00B54DD1">
        <w:trPr>
          <w:trHeight w:val="510"/>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346CB4" w:rsidRDefault="00346CB4" w:rsidP="00AC3461">
            <w:pPr>
              <w:jc w:val="center"/>
              <w:rPr>
                <w:b/>
                <w:bCs/>
                <w:color w:val="000000"/>
                <w:sz w:val="20"/>
                <w:szCs w:val="20"/>
              </w:rPr>
            </w:pPr>
            <w:r w:rsidRPr="00B54DD1">
              <w:rPr>
                <w:b/>
                <w:bCs/>
                <w:color w:val="000000"/>
                <w:sz w:val="20"/>
                <w:szCs w:val="20"/>
              </w:rPr>
              <w:lastRenderedPageBreak/>
              <w:t>Ataskaitinis</w:t>
            </w:r>
          </w:p>
          <w:p w:rsidR="00346CB4" w:rsidRPr="00B54DD1" w:rsidRDefault="00346CB4" w:rsidP="00AC3461">
            <w:pPr>
              <w:jc w:val="center"/>
              <w:rPr>
                <w:b/>
                <w:bCs/>
                <w:color w:val="000000"/>
                <w:sz w:val="20"/>
                <w:szCs w:val="20"/>
              </w:rPr>
            </w:pPr>
            <w:r w:rsidRPr="00B54DD1">
              <w:rPr>
                <w:b/>
                <w:bCs/>
                <w:color w:val="000000"/>
                <w:sz w:val="20"/>
                <w:szCs w:val="20"/>
              </w:rPr>
              <w:t>laikotarpis</w:t>
            </w:r>
          </w:p>
        </w:tc>
        <w:tc>
          <w:tcPr>
            <w:tcW w:w="2340" w:type="dxa"/>
            <w:tcBorders>
              <w:top w:val="single" w:sz="4" w:space="0" w:color="auto"/>
              <w:left w:val="nil"/>
              <w:bottom w:val="single" w:sz="4" w:space="0" w:color="auto"/>
              <w:right w:val="single" w:sz="4" w:space="0" w:color="auto"/>
            </w:tcBorders>
            <w:shd w:val="clear" w:color="auto" w:fill="auto"/>
          </w:tcPr>
          <w:p w:rsidR="00346CB4" w:rsidRPr="00B54DD1" w:rsidRDefault="00346CB4" w:rsidP="00AC3461">
            <w:pPr>
              <w:jc w:val="center"/>
              <w:rPr>
                <w:b/>
                <w:bCs/>
                <w:color w:val="000000"/>
                <w:sz w:val="20"/>
                <w:szCs w:val="20"/>
              </w:rPr>
            </w:pPr>
            <w:r w:rsidRPr="00B54DD1">
              <w:rPr>
                <w:b/>
                <w:bCs/>
                <w:color w:val="000000"/>
                <w:sz w:val="20"/>
                <w:szCs w:val="20"/>
              </w:rPr>
              <w:t>Praėjęs ataskaitinis laikotarpis</w:t>
            </w:r>
          </w:p>
        </w:tc>
      </w:tr>
      <w:tr w:rsidR="00346CB4" w:rsidRPr="00B54DD1">
        <w:trPr>
          <w:trHeight w:val="435"/>
          <w:jc w:val="center"/>
        </w:trPr>
        <w:tc>
          <w:tcPr>
            <w:tcW w:w="2340" w:type="dxa"/>
            <w:tcBorders>
              <w:top w:val="nil"/>
              <w:left w:val="single" w:sz="4" w:space="0" w:color="auto"/>
              <w:bottom w:val="single" w:sz="4" w:space="0" w:color="auto"/>
              <w:right w:val="single" w:sz="4" w:space="0" w:color="auto"/>
            </w:tcBorders>
            <w:shd w:val="clear" w:color="auto" w:fill="auto"/>
            <w:noWrap/>
            <w:vAlign w:val="center"/>
          </w:tcPr>
          <w:p w:rsidR="00346CB4" w:rsidRPr="00B54DD1" w:rsidRDefault="00346CB4" w:rsidP="00AC3461">
            <w:pPr>
              <w:jc w:val="center"/>
              <w:rPr>
                <w:color w:val="000000"/>
                <w:sz w:val="22"/>
                <w:szCs w:val="22"/>
              </w:rPr>
            </w:pPr>
            <w:r>
              <w:rPr>
                <w:color w:val="000000"/>
                <w:sz w:val="22"/>
                <w:szCs w:val="22"/>
              </w:rPr>
              <w:t>0,00</w:t>
            </w:r>
            <w:r w:rsidRPr="00B54DD1">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center"/>
          </w:tcPr>
          <w:p w:rsidR="00346CB4" w:rsidRPr="00B54DD1" w:rsidRDefault="00346CB4" w:rsidP="00AC3461">
            <w:pPr>
              <w:jc w:val="center"/>
              <w:rPr>
                <w:color w:val="000000"/>
                <w:sz w:val="22"/>
                <w:szCs w:val="22"/>
              </w:rPr>
            </w:pPr>
            <w:r>
              <w:rPr>
                <w:color w:val="000000"/>
                <w:sz w:val="22"/>
                <w:szCs w:val="22"/>
              </w:rPr>
              <w:t>0,00</w:t>
            </w:r>
            <w:r w:rsidRPr="00B54DD1">
              <w:rPr>
                <w:color w:val="000000"/>
                <w:sz w:val="22"/>
                <w:szCs w:val="22"/>
              </w:rPr>
              <w:t> </w:t>
            </w:r>
          </w:p>
        </w:tc>
      </w:tr>
    </w:tbl>
    <w:p w:rsidR="00F861EF" w:rsidRDefault="00F861EF" w:rsidP="00087F74">
      <w:pPr>
        <w:pStyle w:val="Style106"/>
        <w:spacing w:before="100" w:beforeAutospacing="1" w:after="100" w:afterAutospacing="1"/>
        <w:ind w:firstLine="709"/>
        <w:rPr>
          <w:rStyle w:val="FontStyle170"/>
          <w:sz w:val="24"/>
          <w:szCs w:val="24"/>
        </w:rPr>
      </w:pPr>
    </w:p>
    <w:p w:rsidR="00F861EF" w:rsidRDefault="00F861EF" w:rsidP="00087F74">
      <w:pPr>
        <w:pStyle w:val="Style106"/>
        <w:spacing w:before="100" w:beforeAutospacing="1" w:after="100" w:afterAutospacing="1"/>
        <w:ind w:firstLine="709"/>
        <w:rPr>
          <w:rStyle w:val="FontStyle170"/>
          <w:sz w:val="24"/>
          <w:szCs w:val="24"/>
        </w:rPr>
      </w:pPr>
    </w:p>
    <w:p w:rsidR="00CF30E5" w:rsidRPr="00777651" w:rsidRDefault="00CF30E5" w:rsidP="00087F74">
      <w:pPr>
        <w:pStyle w:val="Style106"/>
        <w:spacing w:before="100" w:beforeAutospacing="1" w:after="100" w:afterAutospacing="1"/>
        <w:ind w:firstLine="709"/>
        <w:rPr>
          <w:rStyle w:val="FontStyle170"/>
          <w:sz w:val="24"/>
          <w:szCs w:val="24"/>
        </w:rPr>
      </w:pPr>
      <w:r w:rsidRPr="00777651">
        <w:rPr>
          <w:rStyle w:val="FontStyle170"/>
          <w:sz w:val="24"/>
          <w:szCs w:val="24"/>
        </w:rPr>
        <w:t>Nebenaudojamo veikloje materialiojo turto likutinę vertę sudaro:</w:t>
      </w:r>
    </w:p>
    <w:tbl>
      <w:tblPr>
        <w:tblW w:w="4680" w:type="dxa"/>
        <w:jc w:val="center"/>
        <w:tblLook w:val="04A0" w:firstRow="1" w:lastRow="0" w:firstColumn="1" w:lastColumn="0" w:noHBand="0" w:noVBand="1"/>
      </w:tblPr>
      <w:tblGrid>
        <w:gridCol w:w="2340"/>
        <w:gridCol w:w="2340"/>
      </w:tblGrid>
      <w:tr w:rsidR="00346CB4" w:rsidRPr="00B54DD1">
        <w:trPr>
          <w:trHeight w:val="510"/>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346CB4" w:rsidRDefault="00346CB4" w:rsidP="00AC3461">
            <w:pPr>
              <w:jc w:val="center"/>
              <w:rPr>
                <w:b/>
                <w:bCs/>
                <w:color w:val="000000"/>
                <w:sz w:val="20"/>
                <w:szCs w:val="20"/>
              </w:rPr>
            </w:pPr>
            <w:r w:rsidRPr="00B54DD1">
              <w:rPr>
                <w:b/>
                <w:bCs/>
                <w:color w:val="000000"/>
                <w:sz w:val="20"/>
                <w:szCs w:val="20"/>
              </w:rPr>
              <w:t>Ataskaitinis</w:t>
            </w:r>
          </w:p>
          <w:p w:rsidR="00346CB4" w:rsidRPr="00B54DD1" w:rsidRDefault="00346CB4" w:rsidP="00AC3461">
            <w:pPr>
              <w:jc w:val="center"/>
              <w:rPr>
                <w:b/>
                <w:bCs/>
                <w:color w:val="000000"/>
                <w:sz w:val="20"/>
                <w:szCs w:val="20"/>
              </w:rPr>
            </w:pPr>
            <w:r w:rsidRPr="00B54DD1">
              <w:rPr>
                <w:b/>
                <w:bCs/>
                <w:color w:val="000000"/>
                <w:sz w:val="20"/>
                <w:szCs w:val="20"/>
              </w:rPr>
              <w:t>laikotarpis</w:t>
            </w:r>
          </w:p>
        </w:tc>
        <w:tc>
          <w:tcPr>
            <w:tcW w:w="2340" w:type="dxa"/>
            <w:tcBorders>
              <w:top w:val="single" w:sz="4" w:space="0" w:color="auto"/>
              <w:left w:val="nil"/>
              <w:bottom w:val="single" w:sz="4" w:space="0" w:color="auto"/>
              <w:right w:val="single" w:sz="4" w:space="0" w:color="auto"/>
            </w:tcBorders>
            <w:shd w:val="clear" w:color="auto" w:fill="auto"/>
          </w:tcPr>
          <w:p w:rsidR="00346CB4" w:rsidRPr="00B54DD1" w:rsidRDefault="00346CB4" w:rsidP="00AC3461">
            <w:pPr>
              <w:jc w:val="center"/>
              <w:rPr>
                <w:b/>
                <w:bCs/>
                <w:color w:val="000000"/>
                <w:sz w:val="20"/>
                <w:szCs w:val="20"/>
              </w:rPr>
            </w:pPr>
            <w:r w:rsidRPr="00B54DD1">
              <w:rPr>
                <w:b/>
                <w:bCs/>
                <w:color w:val="000000"/>
                <w:sz w:val="20"/>
                <w:szCs w:val="20"/>
              </w:rPr>
              <w:t>Praėjęs ataskaitinis laikotarpis</w:t>
            </w:r>
          </w:p>
        </w:tc>
      </w:tr>
      <w:tr w:rsidR="00346CB4" w:rsidRPr="00B54DD1">
        <w:trPr>
          <w:trHeight w:val="435"/>
          <w:jc w:val="center"/>
        </w:trPr>
        <w:tc>
          <w:tcPr>
            <w:tcW w:w="2340" w:type="dxa"/>
            <w:tcBorders>
              <w:top w:val="nil"/>
              <w:left w:val="single" w:sz="4" w:space="0" w:color="auto"/>
              <w:bottom w:val="single" w:sz="4" w:space="0" w:color="auto"/>
              <w:right w:val="single" w:sz="4" w:space="0" w:color="auto"/>
            </w:tcBorders>
            <w:shd w:val="clear" w:color="auto" w:fill="auto"/>
            <w:noWrap/>
            <w:vAlign w:val="center"/>
          </w:tcPr>
          <w:p w:rsidR="00346CB4" w:rsidRPr="00B54DD1" w:rsidRDefault="00346CB4" w:rsidP="00AC3461">
            <w:pPr>
              <w:jc w:val="center"/>
              <w:rPr>
                <w:color w:val="000000"/>
                <w:sz w:val="22"/>
                <w:szCs w:val="22"/>
              </w:rPr>
            </w:pPr>
            <w:r>
              <w:rPr>
                <w:color w:val="000000"/>
                <w:sz w:val="22"/>
                <w:szCs w:val="22"/>
              </w:rPr>
              <w:t>0,00</w:t>
            </w:r>
            <w:r w:rsidRPr="00B54DD1">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center"/>
          </w:tcPr>
          <w:p w:rsidR="00346CB4" w:rsidRPr="00B54DD1" w:rsidRDefault="00346CB4" w:rsidP="00AC3461">
            <w:pPr>
              <w:jc w:val="center"/>
              <w:rPr>
                <w:color w:val="000000"/>
                <w:sz w:val="22"/>
                <w:szCs w:val="22"/>
              </w:rPr>
            </w:pPr>
            <w:r>
              <w:rPr>
                <w:color w:val="000000"/>
                <w:sz w:val="22"/>
                <w:szCs w:val="22"/>
              </w:rPr>
              <w:t>0,00</w:t>
            </w:r>
            <w:r w:rsidRPr="00B54DD1">
              <w:rPr>
                <w:color w:val="000000"/>
                <w:sz w:val="22"/>
                <w:szCs w:val="22"/>
              </w:rPr>
              <w:t> </w:t>
            </w:r>
          </w:p>
        </w:tc>
      </w:tr>
    </w:tbl>
    <w:p w:rsidR="00CF30E5" w:rsidRPr="00777651" w:rsidRDefault="00CF30E5" w:rsidP="00087F74">
      <w:pPr>
        <w:pStyle w:val="Style106"/>
        <w:spacing w:before="100" w:beforeAutospacing="1" w:after="100" w:afterAutospacing="1"/>
        <w:ind w:firstLine="709"/>
        <w:rPr>
          <w:rStyle w:val="FontStyle170"/>
          <w:sz w:val="24"/>
          <w:szCs w:val="24"/>
        </w:rPr>
      </w:pPr>
      <w:r w:rsidRPr="00777651">
        <w:rPr>
          <w:rStyle w:val="FontStyle170"/>
          <w:sz w:val="24"/>
          <w:szCs w:val="24"/>
        </w:rPr>
        <w:t>Materialiojo turto, kuris laikinai nenaudojamas veikloje, likutinę vertę sudaro:</w:t>
      </w:r>
    </w:p>
    <w:tbl>
      <w:tblPr>
        <w:tblW w:w="4680" w:type="dxa"/>
        <w:jc w:val="center"/>
        <w:tblLook w:val="04A0" w:firstRow="1" w:lastRow="0" w:firstColumn="1" w:lastColumn="0" w:noHBand="0" w:noVBand="1"/>
      </w:tblPr>
      <w:tblGrid>
        <w:gridCol w:w="2340"/>
        <w:gridCol w:w="2340"/>
      </w:tblGrid>
      <w:tr w:rsidR="00346CB4" w:rsidRPr="00B54DD1">
        <w:trPr>
          <w:trHeight w:val="510"/>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346CB4" w:rsidRDefault="00346CB4" w:rsidP="00AC3461">
            <w:pPr>
              <w:jc w:val="center"/>
              <w:rPr>
                <w:b/>
                <w:bCs/>
                <w:color w:val="000000"/>
                <w:sz w:val="20"/>
                <w:szCs w:val="20"/>
              </w:rPr>
            </w:pPr>
            <w:r w:rsidRPr="00B54DD1">
              <w:rPr>
                <w:b/>
                <w:bCs/>
                <w:color w:val="000000"/>
                <w:sz w:val="20"/>
                <w:szCs w:val="20"/>
              </w:rPr>
              <w:t>Ataskaitinis</w:t>
            </w:r>
          </w:p>
          <w:p w:rsidR="00346CB4" w:rsidRPr="00B54DD1" w:rsidRDefault="00346CB4" w:rsidP="00AC3461">
            <w:pPr>
              <w:jc w:val="center"/>
              <w:rPr>
                <w:b/>
                <w:bCs/>
                <w:color w:val="000000"/>
                <w:sz w:val="20"/>
                <w:szCs w:val="20"/>
              </w:rPr>
            </w:pPr>
            <w:r w:rsidRPr="00B54DD1">
              <w:rPr>
                <w:b/>
                <w:bCs/>
                <w:color w:val="000000"/>
                <w:sz w:val="20"/>
                <w:szCs w:val="20"/>
              </w:rPr>
              <w:t>laikotarpis</w:t>
            </w:r>
          </w:p>
        </w:tc>
        <w:tc>
          <w:tcPr>
            <w:tcW w:w="2340" w:type="dxa"/>
            <w:tcBorders>
              <w:top w:val="single" w:sz="4" w:space="0" w:color="auto"/>
              <w:left w:val="nil"/>
              <w:bottom w:val="single" w:sz="4" w:space="0" w:color="auto"/>
              <w:right w:val="single" w:sz="4" w:space="0" w:color="auto"/>
            </w:tcBorders>
            <w:shd w:val="clear" w:color="auto" w:fill="auto"/>
          </w:tcPr>
          <w:p w:rsidR="00346CB4" w:rsidRPr="00B54DD1" w:rsidRDefault="00346CB4" w:rsidP="00AC3461">
            <w:pPr>
              <w:jc w:val="center"/>
              <w:rPr>
                <w:b/>
                <w:bCs/>
                <w:color w:val="000000"/>
                <w:sz w:val="20"/>
                <w:szCs w:val="20"/>
              </w:rPr>
            </w:pPr>
            <w:r w:rsidRPr="00B54DD1">
              <w:rPr>
                <w:b/>
                <w:bCs/>
                <w:color w:val="000000"/>
                <w:sz w:val="20"/>
                <w:szCs w:val="20"/>
              </w:rPr>
              <w:t>Praėjęs ataskaitinis laikotarpis</w:t>
            </w:r>
          </w:p>
        </w:tc>
      </w:tr>
      <w:tr w:rsidR="00346CB4" w:rsidRPr="00B54DD1">
        <w:trPr>
          <w:trHeight w:val="435"/>
          <w:jc w:val="center"/>
        </w:trPr>
        <w:tc>
          <w:tcPr>
            <w:tcW w:w="2340" w:type="dxa"/>
            <w:tcBorders>
              <w:top w:val="nil"/>
              <w:left w:val="single" w:sz="4" w:space="0" w:color="auto"/>
              <w:bottom w:val="single" w:sz="4" w:space="0" w:color="auto"/>
              <w:right w:val="single" w:sz="4" w:space="0" w:color="auto"/>
            </w:tcBorders>
            <w:shd w:val="clear" w:color="auto" w:fill="auto"/>
            <w:noWrap/>
            <w:vAlign w:val="center"/>
          </w:tcPr>
          <w:p w:rsidR="00346CB4" w:rsidRPr="00B54DD1" w:rsidRDefault="00346CB4" w:rsidP="00AC3461">
            <w:pPr>
              <w:jc w:val="center"/>
              <w:rPr>
                <w:color w:val="000000"/>
                <w:sz w:val="22"/>
                <w:szCs w:val="22"/>
              </w:rPr>
            </w:pPr>
            <w:r>
              <w:rPr>
                <w:color w:val="000000"/>
                <w:sz w:val="22"/>
                <w:szCs w:val="22"/>
              </w:rPr>
              <w:t>0,00</w:t>
            </w:r>
            <w:r w:rsidRPr="00B54DD1">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center"/>
          </w:tcPr>
          <w:p w:rsidR="00346CB4" w:rsidRPr="00B54DD1" w:rsidRDefault="00346CB4" w:rsidP="00AC3461">
            <w:pPr>
              <w:jc w:val="center"/>
              <w:rPr>
                <w:color w:val="000000"/>
                <w:sz w:val="22"/>
                <w:szCs w:val="22"/>
              </w:rPr>
            </w:pPr>
            <w:r>
              <w:rPr>
                <w:color w:val="000000"/>
                <w:sz w:val="22"/>
                <w:szCs w:val="22"/>
              </w:rPr>
              <w:t>0,00</w:t>
            </w:r>
            <w:r w:rsidRPr="00B54DD1">
              <w:rPr>
                <w:color w:val="000000"/>
                <w:sz w:val="22"/>
                <w:szCs w:val="22"/>
              </w:rPr>
              <w:t> </w:t>
            </w:r>
          </w:p>
        </w:tc>
      </w:tr>
    </w:tbl>
    <w:p w:rsidR="00CF30E5" w:rsidRDefault="00CF30E5" w:rsidP="00F861EF">
      <w:pPr>
        <w:pStyle w:val="Style106"/>
        <w:spacing w:before="100" w:beforeAutospacing="1"/>
        <w:ind w:firstLine="709"/>
        <w:jc w:val="both"/>
        <w:rPr>
          <w:rStyle w:val="FontStyle172"/>
          <w:sz w:val="24"/>
          <w:szCs w:val="24"/>
        </w:rPr>
      </w:pPr>
      <w:r w:rsidRPr="00777651">
        <w:rPr>
          <w:rStyle w:val="FontStyle172"/>
          <w:sz w:val="24"/>
          <w:szCs w:val="24"/>
        </w:rPr>
        <w:t>Dalis žemės ir pastatų įprastinėje veikloje yra nenaudojami ir laikomi vien tik</w:t>
      </w:r>
      <w:r w:rsidR="00C24AA1" w:rsidRPr="00777651">
        <w:rPr>
          <w:rStyle w:val="FontStyle172"/>
          <w:sz w:val="24"/>
          <w:szCs w:val="24"/>
        </w:rPr>
        <w:t xml:space="preserve"> </w:t>
      </w:r>
      <w:r w:rsidRPr="00777651">
        <w:rPr>
          <w:rStyle w:val="FontStyle172"/>
          <w:sz w:val="24"/>
          <w:szCs w:val="24"/>
        </w:rPr>
        <w:t>pajamoms iš nuomos</w:t>
      </w:r>
      <w:r w:rsidR="00F93EB3" w:rsidRPr="00777651">
        <w:rPr>
          <w:rStyle w:val="FontStyle172"/>
          <w:sz w:val="24"/>
          <w:szCs w:val="24"/>
        </w:rPr>
        <w:t xml:space="preserve"> </w:t>
      </w:r>
      <w:r w:rsidRPr="00777651">
        <w:rPr>
          <w:rStyle w:val="FontStyle172"/>
          <w:sz w:val="24"/>
          <w:szCs w:val="24"/>
        </w:rPr>
        <w:t xml:space="preserve">gauti. Tokio turto </w:t>
      </w:r>
      <w:r w:rsidR="00346CB4">
        <w:rPr>
          <w:rStyle w:val="FontStyle172"/>
          <w:sz w:val="24"/>
          <w:szCs w:val="24"/>
        </w:rPr>
        <w:t>įstaigoje nėra.</w:t>
      </w:r>
    </w:p>
    <w:p w:rsidR="0054580D" w:rsidRPr="00777651" w:rsidRDefault="00CF30E5" w:rsidP="00087F74">
      <w:pPr>
        <w:pStyle w:val="Style106"/>
        <w:ind w:firstLine="709"/>
        <w:rPr>
          <w:rStyle w:val="FontStyle157"/>
          <w:spacing w:val="0"/>
          <w:position w:val="-5"/>
          <w:sz w:val="24"/>
          <w:szCs w:val="24"/>
        </w:rPr>
      </w:pPr>
      <w:r w:rsidRPr="00777651">
        <w:rPr>
          <w:rStyle w:val="FontStyle172"/>
          <w:sz w:val="24"/>
          <w:szCs w:val="24"/>
        </w:rPr>
        <w:t xml:space="preserve">Sutarčių, pasirašytų dėl ilgalaikio materialiojo turto įsigijimo </w:t>
      </w:r>
      <w:r w:rsidR="00087F74">
        <w:rPr>
          <w:rStyle w:val="FontStyle172"/>
          <w:sz w:val="24"/>
          <w:szCs w:val="24"/>
        </w:rPr>
        <w:t>ateityje a</w:t>
      </w:r>
      <w:r w:rsidRPr="00777651">
        <w:rPr>
          <w:rStyle w:val="FontStyle172"/>
          <w:sz w:val="24"/>
          <w:szCs w:val="24"/>
        </w:rPr>
        <w:t>taskaitinio laikotarpio</w:t>
      </w:r>
      <w:r w:rsidR="00087F74">
        <w:rPr>
          <w:rStyle w:val="FontStyle172"/>
          <w:sz w:val="24"/>
          <w:szCs w:val="24"/>
        </w:rPr>
        <w:t xml:space="preserve"> pabaig</w:t>
      </w:r>
      <w:r w:rsidR="00197882">
        <w:rPr>
          <w:rStyle w:val="FontStyle172"/>
          <w:sz w:val="24"/>
          <w:szCs w:val="24"/>
        </w:rPr>
        <w:t>o</w:t>
      </w:r>
      <w:r w:rsidR="00087F74">
        <w:rPr>
          <w:rStyle w:val="FontStyle172"/>
          <w:sz w:val="24"/>
          <w:szCs w:val="24"/>
        </w:rPr>
        <w:t>je nėra.</w:t>
      </w:r>
    </w:p>
    <w:p w:rsidR="0099671C" w:rsidRPr="00777651" w:rsidRDefault="00FF76A8" w:rsidP="00087F74">
      <w:pPr>
        <w:pStyle w:val="Style106"/>
        <w:ind w:firstLine="720"/>
        <w:jc w:val="both"/>
        <w:rPr>
          <w:rStyle w:val="FontStyle172"/>
          <w:sz w:val="24"/>
          <w:szCs w:val="24"/>
        </w:rPr>
      </w:pPr>
      <w:r w:rsidRPr="00777651">
        <w:rPr>
          <w:rStyle w:val="FontStyle170"/>
          <w:sz w:val="24"/>
          <w:szCs w:val="24"/>
        </w:rPr>
        <w:t>Materialiojo turto, kurio kontrolę riboja sutartys ar teisės aktai</w:t>
      </w:r>
      <w:r>
        <w:rPr>
          <w:rStyle w:val="FontStyle170"/>
          <w:sz w:val="24"/>
          <w:szCs w:val="24"/>
        </w:rPr>
        <w:t>, nėra.</w:t>
      </w:r>
    </w:p>
    <w:p w:rsidR="00E669A3" w:rsidRPr="00777651" w:rsidRDefault="00E669A3" w:rsidP="00087F74">
      <w:pPr>
        <w:pStyle w:val="Style19"/>
        <w:ind w:firstLine="720"/>
        <w:jc w:val="both"/>
        <w:rPr>
          <w:rStyle w:val="FontStyle172"/>
          <w:sz w:val="24"/>
          <w:szCs w:val="24"/>
        </w:rPr>
      </w:pPr>
      <w:r w:rsidRPr="00777651">
        <w:rPr>
          <w:rStyle w:val="FontStyle172"/>
          <w:sz w:val="24"/>
          <w:szCs w:val="24"/>
        </w:rPr>
        <w:t xml:space="preserve">Turto pergrupavimo iš vienos turto grupės į kitą per ataskaitinį laikotarpį </w:t>
      </w:r>
      <w:r w:rsidR="00024FFC" w:rsidRPr="00777651">
        <w:rPr>
          <w:rStyle w:val="FontStyle172"/>
          <w:sz w:val="24"/>
          <w:szCs w:val="24"/>
        </w:rPr>
        <w:t>nebuvo.</w:t>
      </w:r>
    </w:p>
    <w:p w:rsidR="00DE0402" w:rsidRPr="00777651" w:rsidRDefault="00DE0402" w:rsidP="00087F74">
      <w:pPr>
        <w:pStyle w:val="Style19"/>
        <w:ind w:firstLine="720"/>
        <w:jc w:val="both"/>
        <w:rPr>
          <w:rStyle w:val="FontStyle172"/>
          <w:sz w:val="24"/>
          <w:szCs w:val="24"/>
        </w:rPr>
      </w:pPr>
      <w:r w:rsidRPr="00777651">
        <w:rPr>
          <w:rStyle w:val="FontStyle172"/>
          <w:sz w:val="24"/>
          <w:szCs w:val="24"/>
        </w:rPr>
        <w:t xml:space="preserve">AB Turto bankui perduoto atnaujinti ar parduoti turto įstaiga neturi. </w:t>
      </w:r>
    </w:p>
    <w:p w:rsidR="00A427C4" w:rsidRPr="00777651" w:rsidRDefault="00DA6B6A" w:rsidP="00087F74">
      <w:pPr>
        <w:pStyle w:val="Style19"/>
        <w:ind w:firstLine="709"/>
        <w:jc w:val="both"/>
        <w:rPr>
          <w:rStyle w:val="FontStyle172"/>
          <w:sz w:val="24"/>
          <w:szCs w:val="24"/>
        </w:rPr>
      </w:pPr>
      <w:r w:rsidRPr="00777651">
        <w:rPr>
          <w:rStyle w:val="FontStyle172"/>
          <w:sz w:val="24"/>
          <w:szCs w:val="24"/>
        </w:rPr>
        <w:t>Pagal finansinės nuomos (lizingo) sutartis įsigyto turto, kurio finansinės nuomos (lizingo) sutarties laikotarpis nėra pasibaigęs, įstaiga neturi.</w:t>
      </w:r>
    </w:p>
    <w:p w:rsidR="00F16742" w:rsidRPr="00FF76A8" w:rsidRDefault="00FF76A8" w:rsidP="00FD3647">
      <w:pPr>
        <w:spacing w:before="240" w:after="240"/>
        <w:ind w:firstLine="709"/>
        <w:jc w:val="both"/>
        <w:rPr>
          <w:b/>
          <w:bCs/>
          <w:color w:val="000000"/>
        </w:rPr>
      </w:pPr>
      <w:r w:rsidRPr="00FF76A8">
        <w:rPr>
          <w:b/>
          <w:bCs/>
          <w:color w:val="000000"/>
        </w:rPr>
        <w:t>Atsargos</w:t>
      </w:r>
      <w:r w:rsidR="00EE2C1C">
        <w:rPr>
          <w:b/>
          <w:bCs/>
          <w:color w:val="000000"/>
        </w:rPr>
        <w:t xml:space="preserve"> (P08)</w:t>
      </w:r>
    </w:p>
    <w:p w:rsidR="008141B2" w:rsidRDefault="008141B2" w:rsidP="00792998">
      <w:pPr>
        <w:ind w:firstLine="709"/>
        <w:jc w:val="both"/>
      </w:pPr>
      <w:r>
        <w:t>Įstaigos</w:t>
      </w:r>
      <w:r w:rsidRPr="00257C26">
        <w:t xml:space="preserve"> atsargų likutis paskutinę ataskaitinio laikotarpio dieną iš viso buvo </w:t>
      </w:r>
      <w:r w:rsidR="00672A6C">
        <w:t>100</w:t>
      </w:r>
      <w:r w:rsidR="00F861EF">
        <w:t xml:space="preserve"> 111,</w:t>
      </w:r>
      <w:r w:rsidR="00672A6C">
        <w:t>31</w:t>
      </w:r>
      <w:r w:rsidR="00F861EF">
        <w:t xml:space="preserve"> Lt</w:t>
      </w:r>
      <w:r w:rsidRPr="00257C26">
        <w:t xml:space="preserve">. Iš jų didžiausią dalį </w:t>
      </w:r>
      <w:r w:rsidR="00672A6C">
        <w:t>99</w:t>
      </w:r>
      <w:r w:rsidR="00F861EF">
        <w:t xml:space="preserve"> 560,</w:t>
      </w:r>
      <w:r w:rsidR="00672A6C">
        <w:t>79</w:t>
      </w:r>
      <w:r w:rsidR="00F861EF">
        <w:t xml:space="preserve"> Lt</w:t>
      </w:r>
      <w:r>
        <w:t xml:space="preserve"> </w:t>
      </w:r>
      <w:r w:rsidRPr="00257C26">
        <w:t>sudarė medžiagos, žaliavos</w:t>
      </w:r>
      <w:r w:rsidR="00F861EF">
        <w:t xml:space="preserve"> </w:t>
      </w:r>
      <w:r>
        <w:t xml:space="preserve">(tai medikamentai, slaugos asmens higienos, dezinfekavimo priemonės, maisto produktai). Likusią dalį </w:t>
      </w:r>
      <w:r w:rsidR="000172EC">
        <w:t>–</w:t>
      </w:r>
      <w:r w:rsidRPr="00257C26">
        <w:t xml:space="preserve"> </w:t>
      </w:r>
      <w:r w:rsidR="00F861EF">
        <w:t>550,</w:t>
      </w:r>
      <w:r w:rsidR="00D27BAF">
        <w:t>52</w:t>
      </w:r>
      <w:r w:rsidR="00F861EF">
        <w:t xml:space="preserve"> Lt –</w:t>
      </w:r>
      <w:r>
        <w:t xml:space="preserve"> </w:t>
      </w:r>
      <w:r w:rsidRPr="00257C26">
        <w:t>ūkinis inventorius</w:t>
      </w:r>
      <w:r>
        <w:t>,</w:t>
      </w:r>
      <w:r w:rsidRPr="00257C26">
        <w:t xml:space="preserve"> neatiduotas naudojimui</w:t>
      </w:r>
      <w:r>
        <w:t xml:space="preserve">. </w:t>
      </w:r>
    </w:p>
    <w:p w:rsidR="00767B48" w:rsidRDefault="00F861EF" w:rsidP="00792998">
      <w:pPr>
        <w:pStyle w:val="Style88"/>
        <w:tabs>
          <w:tab w:val="left" w:pos="10118"/>
        </w:tabs>
        <w:spacing w:line="240" w:lineRule="auto"/>
        <w:ind w:firstLine="709"/>
        <w:rPr>
          <w:rStyle w:val="FontStyle172"/>
          <w:bCs/>
          <w:sz w:val="24"/>
          <w:szCs w:val="24"/>
        </w:rPr>
      </w:pPr>
      <w:r>
        <w:rPr>
          <w:rStyle w:val="FontStyle172"/>
          <w:sz w:val="24"/>
          <w:szCs w:val="24"/>
        </w:rPr>
        <w:t xml:space="preserve">Per ataskaitinį laikotarpį </w:t>
      </w:r>
      <w:r w:rsidR="00767B48" w:rsidRPr="00B30A3A">
        <w:rPr>
          <w:rStyle w:val="FontStyle172"/>
          <w:sz w:val="24"/>
          <w:szCs w:val="24"/>
        </w:rPr>
        <w:t xml:space="preserve">įsigyta atsargų už </w:t>
      </w:r>
      <w:r w:rsidR="0096728D">
        <w:rPr>
          <w:rStyle w:val="FontStyle172"/>
          <w:sz w:val="24"/>
          <w:szCs w:val="24"/>
        </w:rPr>
        <w:t>222</w:t>
      </w:r>
      <w:r>
        <w:rPr>
          <w:rStyle w:val="FontStyle172"/>
          <w:sz w:val="24"/>
          <w:szCs w:val="24"/>
        </w:rPr>
        <w:t xml:space="preserve"> 553,</w:t>
      </w:r>
      <w:r w:rsidR="0096728D">
        <w:rPr>
          <w:rStyle w:val="FontStyle172"/>
          <w:sz w:val="24"/>
          <w:szCs w:val="24"/>
        </w:rPr>
        <w:t>32</w:t>
      </w:r>
      <w:r>
        <w:rPr>
          <w:rStyle w:val="FontStyle172"/>
          <w:sz w:val="24"/>
          <w:szCs w:val="24"/>
        </w:rPr>
        <w:t xml:space="preserve"> Lt</w:t>
      </w:r>
      <w:r w:rsidR="00767B48" w:rsidRPr="00B30A3A">
        <w:rPr>
          <w:rStyle w:val="FontStyle172"/>
          <w:sz w:val="24"/>
          <w:szCs w:val="24"/>
        </w:rPr>
        <w:t xml:space="preserve">. Iš jų: medikamentų ir medicininių priemonių už </w:t>
      </w:r>
      <w:r w:rsidR="0096728D">
        <w:rPr>
          <w:rStyle w:val="FontStyle172"/>
          <w:sz w:val="24"/>
          <w:szCs w:val="24"/>
        </w:rPr>
        <w:t>139</w:t>
      </w:r>
      <w:r>
        <w:rPr>
          <w:rStyle w:val="FontStyle172"/>
          <w:sz w:val="24"/>
          <w:szCs w:val="24"/>
        </w:rPr>
        <w:t xml:space="preserve"> 836,</w:t>
      </w:r>
      <w:r w:rsidR="0096728D">
        <w:rPr>
          <w:rStyle w:val="FontStyle172"/>
          <w:sz w:val="24"/>
          <w:szCs w:val="24"/>
        </w:rPr>
        <w:t>82</w:t>
      </w:r>
      <w:r>
        <w:rPr>
          <w:rStyle w:val="FontStyle172"/>
          <w:sz w:val="24"/>
          <w:szCs w:val="24"/>
        </w:rPr>
        <w:t xml:space="preserve"> Lt</w:t>
      </w:r>
      <w:r w:rsidR="00767B48" w:rsidRPr="00B30A3A">
        <w:rPr>
          <w:rStyle w:val="FontStyle172"/>
          <w:sz w:val="24"/>
          <w:szCs w:val="24"/>
        </w:rPr>
        <w:t xml:space="preserve">, medžiagų ir žaliavų (kuras šildymui, degalai, chemijos ir dezinfekavimo medžiagos, kanceliarinės prekės, maisto produktai) už </w:t>
      </w:r>
      <w:r w:rsidR="0096728D">
        <w:rPr>
          <w:rStyle w:val="FontStyle172"/>
          <w:sz w:val="24"/>
          <w:szCs w:val="24"/>
        </w:rPr>
        <w:t>82</w:t>
      </w:r>
      <w:r>
        <w:rPr>
          <w:rStyle w:val="FontStyle172"/>
          <w:sz w:val="24"/>
          <w:szCs w:val="24"/>
        </w:rPr>
        <w:t xml:space="preserve"> 716,</w:t>
      </w:r>
      <w:r w:rsidR="0096728D">
        <w:rPr>
          <w:rStyle w:val="FontStyle172"/>
          <w:sz w:val="24"/>
          <w:szCs w:val="24"/>
        </w:rPr>
        <w:t>50</w:t>
      </w:r>
      <w:r>
        <w:rPr>
          <w:rStyle w:val="FontStyle172"/>
          <w:sz w:val="24"/>
          <w:szCs w:val="24"/>
        </w:rPr>
        <w:t xml:space="preserve"> Lt</w:t>
      </w:r>
      <w:r w:rsidR="00B92A58">
        <w:rPr>
          <w:rStyle w:val="FontStyle172"/>
          <w:sz w:val="24"/>
          <w:szCs w:val="24"/>
        </w:rPr>
        <w:t>.</w:t>
      </w:r>
      <w:r w:rsidR="00767B48" w:rsidRPr="00B30A3A">
        <w:rPr>
          <w:rStyle w:val="FontStyle172"/>
          <w:sz w:val="24"/>
          <w:szCs w:val="24"/>
        </w:rPr>
        <w:t xml:space="preserve"> Per ataskaitinį laikotarpį įstaiga negavo nemokamai atsargų. Sunaudota įstaigos veikloje atsargų už </w:t>
      </w:r>
      <w:r w:rsidR="00572E7F">
        <w:rPr>
          <w:rStyle w:val="FontStyle172"/>
          <w:sz w:val="24"/>
          <w:szCs w:val="24"/>
        </w:rPr>
        <w:t>167</w:t>
      </w:r>
      <w:r>
        <w:rPr>
          <w:rStyle w:val="FontStyle172"/>
          <w:sz w:val="24"/>
          <w:szCs w:val="24"/>
        </w:rPr>
        <w:t xml:space="preserve"> 315,</w:t>
      </w:r>
      <w:r w:rsidR="00572E7F">
        <w:rPr>
          <w:rStyle w:val="FontStyle172"/>
          <w:sz w:val="24"/>
          <w:szCs w:val="24"/>
        </w:rPr>
        <w:t>83</w:t>
      </w:r>
      <w:r w:rsidR="00767B48" w:rsidRPr="00B30A3A">
        <w:rPr>
          <w:rStyle w:val="FontStyle172"/>
          <w:sz w:val="24"/>
          <w:szCs w:val="24"/>
        </w:rPr>
        <w:t xml:space="preserve"> Lt. Iš jų: </w:t>
      </w:r>
      <w:r w:rsidR="00572E7F">
        <w:rPr>
          <w:rStyle w:val="FontStyle172"/>
          <w:sz w:val="24"/>
          <w:szCs w:val="24"/>
        </w:rPr>
        <w:t>80</w:t>
      </w:r>
      <w:r>
        <w:rPr>
          <w:rStyle w:val="FontStyle172"/>
          <w:sz w:val="24"/>
          <w:szCs w:val="24"/>
        </w:rPr>
        <w:t xml:space="preserve"> 051,</w:t>
      </w:r>
      <w:r w:rsidR="00572E7F">
        <w:rPr>
          <w:rStyle w:val="FontStyle172"/>
          <w:sz w:val="24"/>
          <w:szCs w:val="24"/>
        </w:rPr>
        <w:t>92</w:t>
      </w:r>
      <w:r w:rsidR="00767B48" w:rsidRPr="00B30A3A">
        <w:rPr>
          <w:rStyle w:val="FontStyle172"/>
          <w:sz w:val="24"/>
          <w:szCs w:val="24"/>
        </w:rPr>
        <w:t xml:space="preserve"> Lt medikamentų ir medicininių priemonių, </w:t>
      </w:r>
      <w:r w:rsidR="00572E7F">
        <w:rPr>
          <w:rStyle w:val="FontStyle172"/>
          <w:sz w:val="24"/>
          <w:szCs w:val="24"/>
        </w:rPr>
        <w:t>84</w:t>
      </w:r>
      <w:r>
        <w:rPr>
          <w:rStyle w:val="FontStyle172"/>
          <w:sz w:val="24"/>
          <w:szCs w:val="24"/>
        </w:rPr>
        <w:t xml:space="preserve"> 185,</w:t>
      </w:r>
      <w:r w:rsidR="00572E7F">
        <w:rPr>
          <w:rStyle w:val="FontStyle172"/>
          <w:sz w:val="24"/>
          <w:szCs w:val="24"/>
        </w:rPr>
        <w:t>42</w:t>
      </w:r>
      <w:r w:rsidR="00767B48" w:rsidRPr="00B30A3A">
        <w:rPr>
          <w:rStyle w:val="FontStyle172"/>
          <w:sz w:val="24"/>
          <w:szCs w:val="24"/>
        </w:rPr>
        <w:t xml:space="preserve"> Lt medžiagų ir žaliavų (kuras šildymui, degalai, chemijos ir dezinfekaimo medžiagos, kanceliarinės prekės, maisto produktai), </w:t>
      </w:r>
      <w:r w:rsidR="00BF552C" w:rsidRPr="00B30A3A">
        <w:rPr>
          <w:rStyle w:val="FontStyle172"/>
          <w:sz w:val="24"/>
          <w:szCs w:val="24"/>
        </w:rPr>
        <w:t xml:space="preserve">į eksploataciją buvo išduota ir nurašyta </w:t>
      </w:r>
      <w:r w:rsidR="00572E7F">
        <w:rPr>
          <w:rStyle w:val="FontStyle172"/>
          <w:sz w:val="24"/>
          <w:szCs w:val="24"/>
        </w:rPr>
        <w:t>3</w:t>
      </w:r>
      <w:r>
        <w:rPr>
          <w:rStyle w:val="FontStyle172"/>
          <w:sz w:val="24"/>
          <w:szCs w:val="24"/>
        </w:rPr>
        <w:t xml:space="preserve"> 078,</w:t>
      </w:r>
      <w:r w:rsidR="00572E7F">
        <w:rPr>
          <w:rStyle w:val="FontStyle172"/>
          <w:sz w:val="24"/>
          <w:szCs w:val="24"/>
        </w:rPr>
        <w:t>49</w:t>
      </w:r>
      <w:r w:rsidR="00BF552C" w:rsidRPr="00B30A3A">
        <w:rPr>
          <w:rStyle w:val="FontStyle172"/>
          <w:sz w:val="24"/>
          <w:szCs w:val="24"/>
        </w:rPr>
        <w:t xml:space="preserve"> Lt </w:t>
      </w:r>
      <w:r w:rsidR="00767B48" w:rsidRPr="00B30A3A">
        <w:rPr>
          <w:rStyle w:val="FontStyle172"/>
          <w:sz w:val="24"/>
          <w:szCs w:val="24"/>
        </w:rPr>
        <w:t>ūkinio inventoriaus</w:t>
      </w:r>
      <w:r w:rsidR="00BF552C" w:rsidRPr="00B30A3A">
        <w:rPr>
          <w:rStyle w:val="FontStyle172"/>
          <w:sz w:val="24"/>
          <w:szCs w:val="24"/>
        </w:rPr>
        <w:t>.</w:t>
      </w:r>
      <w:r w:rsidR="00767B48" w:rsidRPr="00777651">
        <w:rPr>
          <w:rStyle w:val="FontStyle172"/>
          <w:sz w:val="24"/>
          <w:szCs w:val="24"/>
        </w:rPr>
        <w:t xml:space="preserve"> </w:t>
      </w:r>
    </w:p>
    <w:p w:rsidR="00F16742" w:rsidRPr="00777651" w:rsidRDefault="00F16742" w:rsidP="00792998">
      <w:pPr>
        <w:pStyle w:val="Style19"/>
        <w:ind w:firstLine="709"/>
        <w:rPr>
          <w:rStyle w:val="FontStyle172"/>
          <w:bCs/>
          <w:sz w:val="24"/>
          <w:szCs w:val="24"/>
        </w:rPr>
      </w:pPr>
      <w:r w:rsidRPr="00777651">
        <w:rPr>
          <w:rStyle w:val="FontStyle172"/>
          <w:bCs/>
          <w:sz w:val="24"/>
          <w:szCs w:val="24"/>
        </w:rPr>
        <w:t>Ataskaitiniais metais atsargų vertė sumažinta nebuvo.</w:t>
      </w:r>
      <w:r w:rsidR="004612EB" w:rsidRPr="00777651">
        <w:rPr>
          <w:rStyle w:val="FontStyle172"/>
          <w:bCs/>
          <w:sz w:val="24"/>
          <w:szCs w:val="24"/>
        </w:rPr>
        <w:t xml:space="preserve"> </w:t>
      </w:r>
    </w:p>
    <w:p w:rsidR="004612EB" w:rsidRPr="00777651" w:rsidRDefault="004612EB" w:rsidP="00792998">
      <w:pPr>
        <w:pStyle w:val="Style19"/>
        <w:ind w:firstLine="709"/>
        <w:rPr>
          <w:rStyle w:val="FontStyle172"/>
          <w:bCs/>
          <w:sz w:val="24"/>
          <w:szCs w:val="24"/>
        </w:rPr>
      </w:pPr>
      <w:r w:rsidRPr="00777651">
        <w:rPr>
          <w:rStyle w:val="FontStyle172"/>
          <w:bCs/>
          <w:sz w:val="24"/>
          <w:szCs w:val="24"/>
        </w:rPr>
        <w:t xml:space="preserve">Per ataskaitinį laikotarpį atsargose apskaitomo materialaus ir biologinio turto įstaiga neturėjo. </w:t>
      </w:r>
    </w:p>
    <w:p w:rsidR="00434741" w:rsidRDefault="00F16742" w:rsidP="00792998">
      <w:pPr>
        <w:pStyle w:val="Style19"/>
        <w:ind w:firstLine="709"/>
        <w:rPr>
          <w:rStyle w:val="FontStyle172"/>
          <w:bCs/>
          <w:sz w:val="24"/>
          <w:szCs w:val="24"/>
        </w:rPr>
      </w:pPr>
      <w:r w:rsidRPr="00777651">
        <w:rPr>
          <w:rStyle w:val="FontStyle172"/>
          <w:bCs/>
          <w:sz w:val="24"/>
          <w:szCs w:val="24"/>
        </w:rPr>
        <w:t>Informacija apie atsargų ver</w:t>
      </w:r>
      <w:r w:rsidR="006628E3" w:rsidRPr="00777651">
        <w:rPr>
          <w:rStyle w:val="FontStyle172"/>
          <w:bCs/>
          <w:sz w:val="24"/>
          <w:szCs w:val="24"/>
        </w:rPr>
        <w:t>t</w:t>
      </w:r>
      <w:r w:rsidR="008141B2">
        <w:rPr>
          <w:rStyle w:val="FontStyle172"/>
          <w:bCs/>
          <w:sz w:val="24"/>
          <w:szCs w:val="24"/>
        </w:rPr>
        <w:t>ės pasikeitimą per laikotarpį pateikta 3 priede</w:t>
      </w:r>
      <w:r w:rsidR="00BF552C">
        <w:rPr>
          <w:rStyle w:val="FontStyle172"/>
          <w:bCs/>
          <w:sz w:val="24"/>
          <w:szCs w:val="24"/>
        </w:rPr>
        <w:t>.</w:t>
      </w:r>
    </w:p>
    <w:p w:rsidR="00BF552C" w:rsidRPr="00BF552C" w:rsidRDefault="00BF552C" w:rsidP="00FD3647">
      <w:pPr>
        <w:spacing w:before="240" w:after="240"/>
        <w:ind w:firstLine="709"/>
        <w:jc w:val="both"/>
        <w:rPr>
          <w:b/>
          <w:bCs/>
          <w:color w:val="000000"/>
        </w:rPr>
      </w:pPr>
      <w:r w:rsidRPr="00BF552C">
        <w:rPr>
          <w:b/>
          <w:bCs/>
          <w:color w:val="000000"/>
        </w:rPr>
        <w:t>Išankstiniai apmokėjimai</w:t>
      </w:r>
      <w:r w:rsidR="00EE2C1C">
        <w:rPr>
          <w:b/>
          <w:bCs/>
          <w:color w:val="000000"/>
        </w:rPr>
        <w:t xml:space="preserve"> (P09)</w:t>
      </w:r>
    </w:p>
    <w:p w:rsidR="00BF552C" w:rsidRPr="00BF552C" w:rsidRDefault="00BF552C" w:rsidP="00F861EF">
      <w:pPr>
        <w:pStyle w:val="Style88"/>
        <w:tabs>
          <w:tab w:val="left" w:pos="10118"/>
        </w:tabs>
        <w:spacing w:line="240" w:lineRule="auto"/>
        <w:ind w:firstLine="709"/>
        <w:rPr>
          <w:rStyle w:val="FontStyle172"/>
          <w:sz w:val="24"/>
          <w:szCs w:val="24"/>
        </w:rPr>
      </w:pPr>
      <w:r w:rsidRPr="00257C26">
        <w:t>201</w:t>
      </w:r>
      <w:r w:rsidR="000F1A30">
        <w:t>3</w:t>
      </w:r>
      <w:r w:rsidRPr="00257C26">
        <w:t xml:space="preserve"> m. </w:t>
      </w:r>
      <w:r w:rsidR="00DB25DD">
        <w:t>gruodžio</w:t>
      </w:r>
      <w:r w:rsidRPr="00257C26">
        <w:t xml:space="preserve"> 3</w:t>
      </w:r>
      <w:r w:rsidR="00DB25DD">
        <w:t>1</w:t>
      </w:r>
      <w:r w:rsidRPr="00257C26">
        <w:t xml:space="preserve"> d. </w:t>
      </w:r>
      <w:r>
        <w:t>įstaigos išankstinių</w:t>
      </w:r>
      <w:r w:rsidRPr="00257C26">
        <w:t xml:space="preserve"> apmokėjim</w:t>
      </w:r>
      <w:r>
        <w:t>ų</w:t>
      </w:r>
      <w:r w:rsidRPr="00257C26">
        <w:t xml:space="preserve"> įsigijimo savikain</w:t>
      </w:r>
      <w:r>
        <w:t>ą</w:t>
      </w:r>
      <w:r w:rsidRPr="00257C26">
        <w:t xml:space="preserve"> </w:t>
      </w:r>
      <w:r w:rsidR="005C7781">
        <w:t>1</w:t>
      </w:r>
      <w:r w:rsidR="00F861EF">
        <w:t xml:space="preserve"> 417,</w:t>
      </w:r>
      <w:r w:rsidR="005C7781">
        <w:t>83</w:t>
      </w:r>
      <w:r w:rsidR="00F861EF">
        <w:t xml:space="preserve"> Lt</w:t>
      </w:r>
      <w:r>
        <w:t xml:space="preserve"> sudarė ateinanč</w:t>
      </w:r>
      <w:r w:rsidR="00F861EF">
        <w:t xml:space="preserve">ių laikotarpių sąnaudos. Iš jų: </w:t>
      </w:r>
      <w:r w:rsidRPr="00BF552C">
        <w:rPr>
          <w:rStyle w:val="FontStyle172"/>
          <w:sz w:val="24"/>
          <w:szCs w:val="24"/>
        </w:rPr>
        <w:t>transpor</w:t>
      </w:r>
      <w:r w:rsidR="00197882">
        <w:rPr>
          <w:rStyle w:val="FontStyle172"/>
          <w:sz w:val="24"/>
          <w:szCs w:val="24"/>
        </w:rPr>
        <w:t xml:space="preserve">to draudimo sąnaudos </w:t>
      </w:r>
      <w:r w:rsidR="00F861EF">
        <w:rPr>
          <w:rStyle w:val="FontStyle172"/>
          <w:sz w:val="24"/>
          <w:szCs w:val="24"/>
        </w:rPr>
        <w:t>756,</w:t>
      </w:r>
      <w:r w:rsidR="001D39CB">
        <w:rPr>
          <w:rStyle w:val="FontStyle172"/>
          <w:sz w:val="24"/>
          <w:szCs w:val="24"/>
        </w:rPr>
        <w:t>72</w:t>
      </w:r>
      <w:r w:rsidR="00197882">
        <w:rPr>
          <w:rStyle w:val="FontStyle172"/>
          <w:sz w:val="24"/>
          <w:szCs w:val="24"/>
        </w:rPr>
        <w:t xml:space="preserve"> Lt;</w:t>
      </w:r>
      <w:r w:rsidR="00F861EF">
        <w:rPr>
          <w:rStyle w:val="FontStyle172"/>
          <w:sz w:val="24"/>
          <w:szCs w:val="24"/>
        </w:rPr>
        <w:t xml:space="preserve"> </w:t>
      </w:r>
      <w:r w:rsidRPr="00BF552C">
        <w:rPr>
          <w:rStyle w:val="FontStyle172"/>
          <w:sz w:val="24"/>
          <w:szCs w:val="24"/>
        </w:rPr>
        <w:t xml:space="preserve">gydytojų privalomojo civilinės atsakomybės draudimo sąnaudos </w:t>
      </w:r>
      <w:r w:rsidR="00F861EF">
        <w:rPr>
          <w:rStyle w:val="FontStyle172"/>
          <w:sz w:val="24"/>
          <w:szCs w:val="24"/>
        </w:rPr>
        <w:t>509,</w:t>
      </w:r>
      <w:r w:rsidR="001D39CB">
        <w:rPr>
          <w:rStyle w:val="FontStyle172"/>
          <w:sz w:val="24"/>
          <w:szCs w:val="24"/>
        </w:rPr>
        <w:t>59</w:t>
      </w:r>
      <w:r w:rsidRPr="00BF552C">
        <w:rPr>
          <w:rStyle w:val="FontStyle172"/>
          <w:sz w:val="24"/>
          <w:szCs w:val="24"/>
        </w:rPr>
        <w:t xml:space="preserve"> </w:t>
      </w:r>
      <w:r w:rsidR="00197882">
        <w:rPr>
          <w:rStyle w:val="FontStyle172"/>
          <w:sz w:val="24"/>
          <w:szCs w:val="24"/>
        </w:rPr>
        <w:t>Lt;</w:t>
      </w:r>
      <w:r w:rsidR="00F861EF">
        <w:rPr>
          <w:rStyle w:val="FontStyle172"/>
          <w:sz w:val="24"/>
          <w:szCs w:val="24"/>
        </w:rPr>
        <w:t xml:space="preserve"> </w:t>
      </w:r>
      <w:r w:rsidRPr="00BF552C">
        <w:rPr>
          <w:rStyle w:val="FontStyle172"/>
          <w:sz w:val="24"/>
          <w:szCs w:val="24"/>
        </w:rPr>
        <w:t xml:space="preserve">spaudos leidinių prenumeratos sąnaudos </w:t>
      </w:r>
      <w:r w:rsidR="00F861EF">
        <w:rPr>
          <w:rStyle w:val="FontStyle172"/>
          <w:sz w:val="24"/>
          <w:szCs w:val="24"/>
        </w:rPr>
        <w:br/>
        <w:t>151,</w:t>
      </w:r>
      <w:r w:rsidR="001D39CB">
        <w:rPr>
          <w:rStyle w:val="FontStyle172"/>
          <w:sz w:val="24"/>
          <w:szCs w:val="24"/>
        </w:rPr>
        <w:t>52</w:t>
      </w:r>
      <w:r w:rsidRPr="00BF552C">
        <w:rPr>
          <w:rStyle w:val="FontStyle172"/>
          <w:sz w:val="24"/>
          <w:szCs w:val="24"/>
        </w:rPr>
        <w:t xml:space="preserve"> Lt.</w:t>
      </w:r>
    </w:p>
    <w:p w:rsidR="00BF552C" w:rsidRDefault="00BF552C" w:rsidP="00792998">
      <w:pPr>
        <w:pStyle w:val="Style88"/>
        <w:tabs>
          <w:tab w:val="left" w:pos="10118"/>
        </w:tabs>
        <w:spacing w:line="240" w:lineRule="auto"/>
        <w:ind w:firstLine="709"/>
        <w:rPr>
          <w:rStyle w:val="FontStyle172"/>
          <w:bCs/>
          <w:sz w:val="24"/>
          <w:szCs w:val="24"/>
        </w:rPr>
      </w:pPr>
      <w:r w:rsidRPr="00777651">
        <w:rPr>
          <w:rStyle w:val="FontStyle172"/>
          <w:bCs/>
          <w:sz w:val="24"/>
          <w:szCs w:val="24"/>
        </w:rPr>
        <w:t xml:space="preserve">Informacija apie išankstinius apmokėjimus pateikta </w:t>
      </w:r>
      <w:r>
        <w:rPr>
          <w:rStyle w:val="FontStyle172"/>
          <w:bCs/>
          <w:sz w:val="24"/>
          <w:szCs w:val="24"/>
        </w:rPr>
        <w:t>1 lentelėje.</w:t>
      </w:r>
    </w:p>
    <w:p w:rsidR="00BF552C" w:rsidRDefault="00BF552C" w:rsidP="00BF552C">
      <w:pPr>
        <w:pStyle w:val="Style88"/>
        <w:tabs>
          <w:tab w:val="left" w:pos="10118"/>
        </w:tabs>
        <w:spacing w:line="240" w:lineRule="auto"/>
        <w:ind w:firstLine="0"/>
        <w:rPr>
          <w:rStyle w:val="FontStyle172"/>
          <w:bCs/>
          <w:sz w:val="24"/>
          <w:szCs w:val="24"/>
        </w:rPr>
      </w:pPr>
    </w:p>
    <w:p w:rsidR="00BF552C" w:rsidRPr="00257C26" w:rsidRDefault="00BF552C" w:rsidP="00BF552C">
      <w:pPr>
        <w:spacing w:after="100" w:afterAutospacing="1"/>
        <w:jc w:val="center"/>
      </w:pPr>
      <w:r>
        <w:t>1</w:t>
      </w:r>
      <w:r w:rsidRPr="00257C26">
        <w:t xml:space="preserve"> lentelė. </w:t>
      </w:r>
      <w:r>
        <w:t>Informacija apie išank</w:t>
      </w:r>
      <w:r w:rsidR="00197882">
        <w:t>s</w:t>
      </w:r>
      <w:r>
        <w:t>tinius apmokėjimus</w:t>
      </w:r>
    </w:p>
    <w:tbl>
      <w:tblPr>
        <w:tblW w:w="9649" w:type="dxa"/>
        <w:tblLayout w:type="fixed"/>
        <w:tblCellMar>
          <w:left w:w="10" w:type="dxa"/>
          <w:right w:w="10" w:type="dxa"/>
        </w:tblCellMar>
        <w:tblLook w:val="0000" w:firstRow="0" w:lastRow="0" w:firstColumn="0" w:lastColumn="0" w:noHBand="0" w:noVBand="0"/>
      </w:tblPr>
      <w:tblGrid>
        <w:gridCol w:w="861"/>
        <w:gridCol w:w="4678"/>
        <w:gridCol w:w="2126"/>
        <w:gridCol w:w="1984"/>
      </w:tblGrid>
      <w:tr w:rsidR="00BF552C" w:rsidRPr="00257C26">
        <w:trPr>
          <w:trHeight w:val="902"/>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30"/>
              <w:shd w:val="clear" w:color="auto" w:fill="auto"/>
              <w:spacing w:line="226" w:lineRule="exact"/>
              <w:ind w:right="420"/>
              <w:jc w:val="center"/>
              <w:rPr>
                <w:sz w:val="20"/>
                <w:szCs w:val="20"/>
              </w:rPr>
            </w:pPr>
            <w:r w:rsidRPr="00257C26">
              <w:rPr>
                <w:sz w:val="20"/>
                <w:szCs w:val="20"/>
              </w:rPr>
              <w:lastRenderedPageBreak/>
              <w:t>Eil. Nr.</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30"/>
              <w:shd w:val="clear" w:color="auto" w:fill="auto"/>
              <w:spacing w:line="240" w:lineRule="auto"/>
              <w:jc w:val="center"/>
              <w:rPr>
                <w:sz w:val="20"/>
                <w:szCs w:val="20"/>
              </w:rPr>
            </w:pPr>
            <w:r w:rsidRPr="00257C26">
              <w:rPr>
                <w:sz w:val="20"/>
                <w:szCs w:val="20"/>
              </w:rPr>
              <w:t>Straipsniai</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30"/>
              <w:shd w:val="clear" w:color="auto" w:fill="auto"/>
              <w:spacing w:line="226" w:lineRule="exact"/>
              <w:jc w:val="center"/>
              <w:rPr>
                <w:sz w:val="20"/>
                <w:szCs w:val="20"/>
              </w:rPr>
            </w:pPr>
            <w:r w:rsidRPr="00257C26">
              <w:rPr>
                <w:sz w:val="20"/>
                <w:szCs w:val="20"/>
              </w:rPr>
              <w:t>Paskutinė ataskaitinio laikotarpio diena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30"/>
              <w:shd w:val="clear" w:color="auto" w:fill="auto"/>
              <w:spacing w:line="226" w:lineRule="exact"/>
              <w:jc w:val="center"/>
              <w:rPr>
                <w:sz w:val="20"/>
                <w:szCs w:val="20"/>
              </w:rPr>
            </w:pPr>
            <w:r w:rsidRPr="00257C26">
              <w:rPr>
                <w:sz w:val="20"/>
                <w:szCs w:val="20"/>
              </w:rPr>
              <w:t>Paskutinė praėjusio ataskaitinio laikotarpio diena</w:t>
            </w:r>
          </w:p>
        </w:tc>
      </w:tr>
      <w:tr w:rsidR="00BF552C" w:rsidRPr="00257C26">
        <w:trPr>
          <w:trHeight w:val="21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30"/>
              <w:shd w:val="clear" w:color="auto" w:fill="auto"/>
              <w:spacing w:line="240" w:lineRule="auto"/>
              <w:ind w:right="420"/>
              <w:rPr>
                <w:sz w:val="20"/>
                <w:szCs w:val="20"/>
              </w:rPr>
            </w:pPr>
            <w:r w:rsidRPr="00257C26">
              <w:rPr>
                <w:sz w:val="20"/>
                <w:szCs w:val="20"/>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30"/>
              <w:shd w:val="clear" w:color="auto" w:fill="auto"/>
              <w:spacing w:line="240" w:lineRule="auto"/>
              <w:ind w:left="3460"/>
              <w:jc w:val="left"/>
              <w:rPr>
                <w:sz w:val="20"/>
                <w:szCs w:val="20"/>
              </w:rPr>
            </w:pPr>
            <w:r w:rsidRPr="00257C26">
              <w:rPr>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30"/>
              <w:shd w:val="clear" w:color="auto" w:fill="auto"/>
              <w:spacing w:line="240" w:lineRule="auto"/>
              <w:ind w:left="960"/>
              <w:jc w:val="left"/>
              <w:rPr>
                <w:sz w:val="20"/>
                <w:szCs w:val="20"/>
              </w:rPr>
            </w:pPr>
            <w:r w:rsidRPr="00257C26">
              <w:rPr>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30"/>
              <w:shd w:val="clear" w:color="auto" w:fill="auto"/>
              <w:spacing w:line="240" w:lineRule="auto"/>
              <w:jc w:val="center"/>
              <w:rPr>
                <w:sz w:val="20"/>
                <w:szCs w:val="20"/>
              </w:rPr>
            </w:pPr>
            <w:r w:rsidRPr="00257C26">
              <w:rPr>
                <w:sz w:val="20"/>
                <w:szCs w:val="20"/>
              </w:rPr>
              <w:t>4</w:t>
            </w:r>
          </w:p>
        </w:tc>
      </w:tr>
      <w:tr w:rsidR="00BF552C" w:rsidRPr="00257C26">
        <w:trPr>
          <w:trHeight w:val="245"/>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right="420"/>
              <w:jc w:val="right"/>
              <w:rPr>
                <w:sz w:val="20"/>
                <w:szCs w:val="20"/>
              </w:rPr>
            </w:pPr>
            <w:r w:rsidRPr="00257C26">
              <w:rPr>
                <w:sz w:val="20"/>
                <w:szCs w:val="20"/>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left="40"/>
              <w:rPr>
                <w:sz w:val="20"/>
                <w:szCs w:val="20"/>
              </w:rPr>
            </w:pPr>
            <w:r w:rsidRPr="00257C26">
              <w:rPr>
                <w:sz w:val="20"/>
                <w:szCs w:val="20"/>
              </w:rPr>
              <w:t>Išankstinių apmokėjimų įsigijimo savikaina</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5C7781" w:rsidP="00D63B76">
            <w:pPr>
              <w:pStyle w:val="Bodytext1"/>
              <w:shd w:val="clear" w:color="auto" w:fill="auto"/>
              <w:spacing w:line="240" w:lineRule="auto"/>
              <w:jc w:val="right"/>
              <w:rPr>
                <w:sz w:val="20"/>
                <w:szCs w:val="20"/>
              </w:rPr>
            </w:pPr>
            <w:r>
              <w:rPr>
                <w:sz w:val="20"/>
                <w:szCs w:val="20"/>
              </w:rPr>
              <w:t>1417.83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r>
      <w:tr w:rsidR="00BF552C" w:rsidRPr="00257C26">
        <w:trPr>
          <w:trHeight w:val="240"/>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right="420"/>
              <w:jc w:val="right"/>
              <w:rPr>
                <w:sz w:val="20"/>
                <w:szCs w:val="20"/>
              </w:rPr>
            </w:pPr>
            <w:r w:rsidRPr="00257C26">
              <w:rPr>
                <w:sz w:val="20"/>
                <w:szCs w:val="20"/>
              </w:rPr>
              <w:t>1.1</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left="160"/>
              <w:rPr>
                <w:sz w:val="20"/>
                <w:szCs w:val="20"/>
              </w:rPr>
            </w:pPr>
            <w:r w:rsidRPr="00257C26">
              <w:rPr>
                <w:sz w:val="20"/>
                <w:szCs w:val="20"/>
              </w:rPr>
              <w:t>Išankstiniai apmokėjimai tiekėjams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r>
      <w:tr w:rsidR="00BF552C" w:rsidRPr="00257C26">
        <w:trPr>
          <w:trHeight w:val="245"/>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right="420"/>
              <w:jc w:val="right"/>
              <w:rPr>
                <w:sz w:val="20"/>
                <w:szCs w:val="20"/>
              </w:rPr>
            </w:pPr>
            <w:r w:rsidRPr="00257C26">
              <w:rPr>
                <w:sz w:val="20"/>
                <w:szCs w:val="20"/>
              </w:rPr>
              <w:t>1.2</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left="160"/>
              <w:rPr>
                <w:sz w:val="20"/>
                <w:szCs w:val="20"/>
              </w:rPr>
            </w:pPr>
            <w:r w:rsidRPr="00257C26">
              <w:rPr>
                <w:sz w:val="20"/>
                <w:szCs w:val="20"/>
              </w:rPr>
              <w:t>Išankstiniai apmokėjimai viešojo sektoriaus subjektams pavedimams vykdyti</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jc w:val="right"/>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jc w:val="right"/>
              <w:rPr>
                <w:sz w:val="20"/>
                <w:szCs w:val="20"/>
              </w:rPr>
            </w:pPr>
          </w:p>
        </w:tc>
      </w:tr>
      <w:tr w:rsidR="00BF552C" w:rsidRPr="00257C26">
        <w:trPr>
          <w:trHeight w:val="240"/>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right="420"/>
              <w:jc w:val="right"/>
              <w:rPr>
                <w:sz w:val="20"/>
                <w:szCs w:val="20"/>
              </w:rPr>
            </w:pPr>
            <w:r w:rsidRPr="00257C26">
              <w:rPr>
                <w:sz w:val="20"/>
                <w:szCs w:val="20"/>
              </w:rPr>
              <w:t>1.3</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left="160"/>
              <w:rPr>
                <w:sz w:val="20"/>
                <w:szCs w:val="20"/>
              </w:rPr>
            </w:pPr>
            <w:r w:rsidRPr="00257C26">
              <w:rPr>
                <w:sz w:val="20"/>
                <w:szCs w:val="20"/>
              </w:rPr>
              <w:t>Išankstiniai mokesčių mokėjimai</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r>
      <w:tr w:rsidR="00BF552C" w:rsidRPr="00257C26">
        <w:trPr>
          <w:trHeight w:val="245"/>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right="420"/>
              <w:jc w:val="right"/>
              <w:rPr>
                <w:sz w:val="20"/>
                <w:szCs w:val="20"/>
              </w:rPr>
            </w:pPr>
            <w:r w:rsidRPr="00257C26">
              <w:rPr>
                <w:sz w:val="20"/>
                <w:szCs w:val="20"/>
              </w:rPr>
              <w:t>1.4</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left="160"/>
              <w:rPr>
                <w:sz w:val="20"/>
                <w:szCs w:val="20"/>
              </w:rPr>
            </w:pPr>
            <w:r w:rsidRPr="00257C26">
              <w:rPr>
                <w:sz w:val="20"/>
                <w:szCs w:val="20"/>
              </w:rPr>
              <w:t>Išankstiniai mokėjimai Europos Sąjungai</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jc w:val="right"/>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jc w:val="right"/>
              <w:rPr>
                <w:sz w:val="20"/>
                <w:szCs w:val="20"/>
              </w:rPr>
            </w:pPr>
          </w:p>
        </w:tc>
      </w:tr>
      <w:tr w:rsidR="00BF552C" w:rsidRPr="00257C26">
        <w:trPr>
          <w:trHeight w:val="240"/>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right="420"/>
              <w:jc w:val="right"/>
              <w:rPr>
                <w:sz w:val="20"/>
                <w:szCs w:val="20"/>
              </w:rPr>
            </w:pPr>
            <w:r w:rsidRPr="00257C26">
              <w:rPr>
                <w:sz w:val="20"/>
                <w:szCs w:val="20"/>
              </w:rPr>
              <w:t>1.5</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left="160"/>
              <w:rPr>
                <w:sz w:val="20"/>
                <w:szCs w:val="20"/>
              </w:rPr>
            </w:pPr>
            <w:r w:rsidRPr="00257C26">
              <w:rPr>
                <w:sz w:val="20"/>
                <w:szCs w:val="20"/>
              </w:rPr>
              <w:t>Išankstiniai apmokėjimai darbuotojams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r>
      <w:tr w:rsidR="00BF552C" w:rsidRPr="00257C26">
        <w:trPr>
          <w:trHeight w:val="240"/>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right="420"/>
              <w:jc w:val="right"/>
              <w:rPr>
                <w:sz w:val="20"/>
                <w:szCs w:val="20"/>
              </w:rPr>
            </w:pPr>
            <w:r w:rsidRPr="00257C26">
              <w:rPr>
                <w:sz w:val="20"/>
                <w:szCs w:val="20"/>
              </w:rPr>
              <w:t>1.6</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left="160"/>
              <w:rPr>
                <w:sz w:val="20"/>
                <w:szCs w:val="20"/>
              </w:rPr>
            </w:pPr>
            <w:r w:rsidRPr="00257C26">
              <w:rPr>
                <w:sz w:val="20"/>
                <w:szCs w:val="20"/>
              </w:rPr>
              <w:t>Kiti išankstiniai apmokėjimai</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r>
      <w:tr w:rsidR="00BF552C" w:rsidRPr="00257C26">
        <w:trPr>
          <w:trHeight w:val="245"/>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right="420"/>
              <w:jc w:val="right"/>
              <w:rPr>
                <w:sz w:val="20"/>
                <w:szCs w:val="20"/>
              </w:rPr>
            </w:pPr>
            <w:r w:rsidRPr="00257C26">
              <w:rPr>
                <w:sz w:val="20"/>
                <w:szCs w:val="20"/>
              </w:rPr>
              <w:t>1.7</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left="160"/>
              <w:rPr>
                <w:sz w:val="20"/>
                <w:szCs w:val="20"/>
              </w:rPr>
            </w:pPr>
            <w:r w:rsidRPr="00257C26">
              <w:rPr>
                <w:sz w:val="20"/>
                <w:szCs w:val="20"/>
              </w:rPr>
              <w:t>Ateinančių laikotarpių sąnaudos ne viešojo sektoriaus subjektų pavedimams vykdyti</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r>
      <w:tr w:rsidR="00BF552C" w:rsidRPr="00257C26">
        <w:trPr>
          <w:trHeight w:val="240"/>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right="420"/>
              <w:jc w:val="right"/>
              <w:rPr>
                <w:sz w:val="20"/>
                <w:szCs w:val="20"/>
              </w:rPr>
            </w:pPr>
            <w:r w:rsidRPr="00257C26">
              <w:rPr>
                <w:sz w:val="20"/>
                <w:szCs w:val="20"/>
              </w:rPr>
              <w:t>1.8</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left="160"/>
              <w:rPr>
                <w:sz w:val="20"/>
                <w:szCs w:val="20"/>
              </w:rPr>
            </w:pPr>
            <w:r w:rsidRPr="00257C26">
              <w:rPr>
                <w:sz w:val="20"/>
                <w:szCs w:val="20"/>
              </w:rPr>
              <w:t>Kitos ateinančių laikotarpių sąnaudos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5C7781" w:rsidP="00D63B76">
            <w:pPr>
              <w:pStyle w:val="Bodytext1"/>
              <w:shd w:val="clear" w:color="auto" w:fill="auto"/>
              <w:spacing w:line="240" w:lineRule="auto"/>
              <w:jc w:val="right"/>
              <w:rPr>
                <w:sz w:val="20"/>
                <w:szCs w:val="20"/>
              </w:rPr>
            </w:pPr>
            <w:r>
              <w:rPr>
                <w:sz w:val="20"/>
                <w:szCs w:val="20"/>
              </w:rPr>
              <w:t>1417.83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r>
      <w:tr w:rsidR="00BF552C" w:rsidRPr="00257C26">
        <w:trPr>
          <w:trHeight w:val="245"/>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right="420"/>
              <w:jc w:val="right"/>
              <w:rPr>
                <w:sz w:val="20"/>
                <w:szCs w:val="20"/>
              </w:rPr>
            </w:pPr>
            <w:r w:rsidRPr="00257C26">
              <w:rPr>
                <w:sz w:val="20"/>
                <w:szCs w:val="20"/>
              </w:rPr>
              <w:t>2</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left="40"/>
              <w:rPr>
                <w:sz w:val="20"/>
                <w:szCs w:val="20"/>
              </w:rPr>
            </w:pPr>
            <w:r w:rsidRPr="00257C26">
              <w:rPr>
                <w:sz w:val="20"/>
                <w:szCs w:val="20"/>
              </w:rPr>
              <w:t>Išankstinių apmokėjimų nuvertėjimas ataskaitinio laikotarpio pabaigoje</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sz w:val="20"/>
                <w:szCs w:val="20"/>
              </w:rPr>
            </w:pPr>
          </w:p>
        </w:tc>
      </w:tr>
      <w:tr w:rsidR="00BF552C" w:rsidRPr="00257C26">
        <w:trPr>
          <w:trHeight w:val="250"/>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right="420"/>
              <w:jc w:val="right"/>
              <w:rPr>
                <w:b/>
                <w:sz w:val="20"/>
                <w:szCs w:val="20"/>
              </w:rPr>
            </w:pPr>
            <w:r w:rsidRPr="00257C26">
              <w:rPr>
                <w:b/>
                <w:sz w:val="20"/>
                <w:szCs w:val="20"/>
              </w:rPr>
              <w:t>3</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ind w:left="40"/>
              <w:rPr>
                <w:b/>
                <w:sz w:val="20"/>
                <w:szCs w:val="20"/>
              </w:rPr>
            </w:pPr>
            <w:r w:rsidRPr="00257C26">
              <w:rPr>
                <w:b/>
                <w:sz w:val="20"/>
                <w:szCs w:val="20"/>
              </w:rPr>
              <w:t>Išankstinių apmokėjimų balansinė vertė (1-2)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5C7781" w:rsidP="00D63B76">
            <w:pPr>
              <w:pStyle w:val="Bodytext1"/>
              <w:shd w:val="clear" w:color="auto" w:fill="auto"/>
              <w:spacing w:line="240" w:lineRule="auto"/>
              <w:jc w:val="right"/>
              <w:rPr>
                <w:b/>
                <w:sz w:val="20"/>
                <w:szCs w:val="20"/>
              </w:rPr>
            </w:pPr>
            <w:r>
              <w:rPr>
                <w:b/>
                <w:sz w:val="20"/>
                <w:szCs w:val="20"/>
              </w:rPr>
              <w:t>1417.83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F552C" w:rsidRPr="00257C26" w:rsidRDefault="00BF552C" w:rsidP="00D63B76">
            <w:pPr>
              <w:pStyle w:val="Bodytext1"/>
              <w:shd w:val="clear" w:color="auto" w:fill="auto"/>
              <w:spacing w:line="240" w:lineRule="auto"/>
              <w:jc w:val="right"/>
              <w:rPr>
                <w:b/>
                <w:sz w:val="20"/>
                <w:szCs w:val="20"/>
              </w:rPr>
            </w:pPr>
          </w:p>
        </w:tc>
      </w:tr>
    </w:tbl>
    <w:p w:rsidR="00BF552C" w:rsidRDefault="00BF552C" w:rsidP="00FD3647">
      <w:pPr>
        <w:spacing w:before="240" w:after="240"/>
        <w:ind w:firstLine="709"/>
        <w:jc w:val="both"/>
        <w:rPr>
          <w:b/>
          <w:bCs/>
          <w:color w:val="000000"/>
        </w:rPr>
      </w:pPr>
      <w:r w:rsidRPr="00BF552C">
        <w:rPr>
          <w:b/>
          <w:bCs/>
          <w:color w:val="000000"/>
        </w:rPr>
        <w:t>Per vienus metus gautinos sumos</w:t>
      </w:r>
      <w:r w:rsidR="00EE2C1C">
        <w:rPr>
          <w:b/>
          <w:bCs/>
          <w:color w:val="000000"/>
        </w:rPr>
        <w:t xml:space="preserve"> (P10)</w:t>
      </w:r>
    </w:p>
    <w:p w:rsidR="00560EC8" w:rsidRDefault="00560EC8" w:rsidP="00792998">
      <w:pPr>
        <w:ind w:firstLine="709"/>
        <w:jc w:val="both"/>
      </w:pPr>
      <w:r w:rsidRPr="00257C26">
        <w:t xml:space="preserve">Informacija apie per vienerius metus gautinas sumas pateikta šio aiškinamojo rašto </w:t>
      </w:r>
      <w:r>
        <w:t>4</w:t>
      </w:r>
      <w:r w:rsidRPr="00257C26">
        <w:t xml:space="preserve"> priede.</w:t>
      </w:r>
    </w:p>
    <w:p w:rsidR="00560EC8" w:rsidRDefault="00560EC8" w:rsidP="00792998">
      <w:pPr>
        <w:ind w:firstLine="709"/>
        <w:jc w:val="both"/>
      </w:pPr>
      <w:r>
        <w:t>Ataskaitinio laikotarpio</w:t>
      </w:r>
      <w:r w:rsidRPr="00257C26">
        <w:t xml:space="preserve"> </w:t>
      </w:r>
      <w:r>
        <w:t xml:space="preserve">pabaigoje </w:t>
      </w:r>
      <w:r w:rsidRPr="00257C26">
        <w:t xml:space="preserve">per vienerius metus gautinos sumos sudarė </w:t>
      </w:r>
      <w:r w:rsidR="00FB0F9C">
        <w:t>111</w:t>
      </w:r>
      <w:r w:rsidR="00F861EF">
        <w:t xml:space="preserve"> 136,</w:t>
      </w:r>
      <w:r w:rsidR="00FB0F9C">
        <w:t>86</w:t>
      </w:r>
      <w:r>
        <w:t xml:space="preserve"> Lt</w:t>
      </w:r>
      <w:r w:rsidRPr="00257C26">
        <w:t>. Didžiausi</w:t>
      </w:r>
      <w:r>
        <w:t>ą</w:t>
      </w:r>
      <w:r w:rsidRPr="00257C26">
        <w:t xml:space="preserve"> </w:t>
      </w:r>
      <w:r>
        <w:t>dalį</w:t>
      </w:r>
      <w:r w:rsidRPr="00257C26">
        <w:t xml:space="preserve"> per vienerius metus gautinų sumų sudarė </w:t>
      </w:r>
      <w:r>
        <w:t xml:space="preserve">gautinos sumos už suteiktas paslaugas </w:t>
      </w:r>
      <w:r w:rsidR="00F861EF">
        <w:br/>
      </w:r>
      <w:r w:rsidR="00FB0F9C">
        <w:t>111</w:t>
      </w:r>
      <w:r w:rsidR="00F861EF">
        <w:t xml:space="preserve"> 111,</w:t>
      </w:r>
      <w:r w:rsidR="00FB0F9C">
        <w:t>31</w:t>
      </w:r>
      <w:r>
        <w:t xml:space="preserve"> Lt, iš jų: iš Panevėžio teritorinės ligonių kasos </w:t>
      </w:r>
      <w:r w:rsidR="00FB0F9C">
        <w:t>111</w:t>
      </w:r>
      <w:r w:rsidR="00F861EF">
        <w:t xml:space="preserve"> 111,</w:t>
      </w:r>
      <w:r w:rsidR="00FB0F9C">
        <w:t>31</w:t>
      </w:r>
      <w:r>
        <w:t xml:space="preserve"> Lt</w:t>
      </w:r>
      <w:r w:rsidRPr="00257C26">
        <w:t xml:space="preserve">, </w:t>
      </w:r>
      <w:r>
        <w:t>ir kitos gautinos sumos u</w:t>
      </w:r>
      <w:r w:rsidR="00642323">
        <w:t>ž</w:t>
      </w:r>
      <w:r>
        <w:t xml:space="preserve"> kitas paslaugas </w:t>
      </w:r>
      <w:r w:rsidR="00F861EF">
        <w:t>25,</w:t>
      </w:r>
      <w:r w:rsidR="00FB0F9C">
        <w:t>55</w:t>
      </w:r>
      <w:r>
        <w:t xml:space="preserve"> Lt.</w:t>
      </w:r>
    </w:p>
    <w:p w:rsidR="00560EC8" w:rsidRPr="00777651" w:rsidRDefault="00560EC8" w:rsidP="00792998">
      <w:pPr>
        <w:pStyle w:val="Style88"/>
        <w:tabs>
          <w:tab w:val="left" w:pos="10118"/>
        </w:tabs>
        <w:spacing w:line="240" w:lineRule="auto"/>
        <w:ind w:firstLine="709"/>
        <w:rPr>
          <w:rStyle w:val="FontStyle172"/>
          <w:bCs/>
          <w:sz w:val="24"/>
          <w:szCs w:val="24"/>
        </w:rPr>
      </w:pPr>
      <w:r w:rsidRPr="00777651">
        <w:rPr>
          <w:rStyle w:val="FontStyle172"/>
          <w:bCs/>
          <w:sz w:val="24"/>
          <w:szCs w:val="24"/>
        </w:rPr>
        <w:t>Įstaiga neturi investicijų į ne nuosavybės vertybinius popierius, po vienų metų gautinų sumų, išvestinių finansinių priemonių, perduoti ar parduoti laikomo finansinio turto bei paskolų, todėl metodai, kaip valdyti palūkanų normos riziką, likvidumo riziką, kredito riziką bei valiutos kurso riziką nenustatyti ir nenaudojami.</w:t>
      </w:r>
    </w:p>
    <w:p w:rsidR="00560EC8" w:rsidRPr="00777651" w:rsidRDefault="00560EC8" w:rsidP="00792998">
      <w:pPr>
        <w:pStyle w:val="Style88"/>
        <w:tabs>
          <w:tab w:val="left" w:pos="10118"/>
        </w:tabs>
        <w:spacing w:line="240" w:lineRule="auto"/>
        <w:ind w:firstLine="709"/>
        <w:rPr>
          <w:rStyle w:val="FontStyle172"/>
          <w:bCs/>
          <w:sz w:val="24"/>
          <w:szCs w:val="24"/>
        </w:rPr>
      </w:pPr>
      <w:r w:rsidRPr="00777651">
        <w:rPr>
          <w:rStyle w:val="FontStyle172"/>
          <w:bCs/>
          <w:sz w:val="24"/>
          <w:szCs w:val="24"/>
        </w:rPr>
        <w:t>Įstaiga neturi finansinio turto, išreikšto užsienio valiutomis bei finansinio turto, kurio naudojimas apribotas.</w:t>
      </w:r>
    </w:p>
    <w:p w:rsidR="00560EC8" w:rsidRDefault="00560EC8" w:rsidP="00792998">
      <w:pPr>
        <w:ind w:firstLine="709"/>
        <w:jc w:val="both"/>
        <w:rPr>
          <w:rStyle w:val="FontStyle172"/>
          <w:sz w:val="24"/>
          <w:szCs w:val="24"/>
        </w:rPr>
      </w:pPr>
      <w:r w:rsidRPr="00777651">
        <w:rPr>
          <w:rStyle w:val="FontStyle172"/>
          <w:sz w:val="24"/>
          <w:szCs w:val="24"/>
        </w:rPr>
        <w:t>Per ataskaitinį laikotarpį gautinų sumų, užregistruotų finansiniame turte, nuvertėjimo nebuvo.</w:t>
      </w:r>
    </w:p>
    <w:p w:rsidR="00560EC8" w:rsidRPr="00560EC8" w:rsidRDefault="00560EC8" w:rsidP="00FD3647">
      <w:pPr>
        <w:spacing w:before="240" w:after="240"/>
        <w:ind w:firstLine="709"/>
        <w:jc w:val="both"/>
        <w:rPr>
          <w:b/>
          <w:bCs/>
          <w:color w:val="000000"/>
        </w:rPr>
      </w:pPr>
      <w:r w:rsidRPr="00560EC8">
        <w:rPr>
          <w:b/>
          <w:bCs/>
          <w:color w:val="000000"/>
        </w:rPr>
        <w:t>Pinigai ir pinigų ekvivalentai</w:t>
      </w:r>
      <w:r w:rsidR="00EE2C1C">
        <w:rPr>
          <w:b/>
          <w:bCs/>
          <w:color w:val="000000"/>
        </w:rPr>
        <w:t xml:space="preserve"> (P11)</w:t>
      </w:r>
    </w:p>
    <w:p w:rsidR="003B4698" w:rsidRPr="00F861EF" w:rsidRDefault="00560EC8" w:rsidP="00F861EF">
      <w:pPr>
        <w:ind w:firstLine="709"/>
        <w:jc w:val="both"/>
      </w:pPr>
      <w:r w:rsidRPr="00257C26">
        <w:t>Pinigai ir pin</w:t>
      </w:r>
      <w:r>
        <w:t>i</w:t>
      </w:r>
      <w:r w:rsidRPr="00257C26">
        <w:t xml:space="preserve">gų ekvivalentai ataskaitinio laikotarpio pabaigoje sudarė </w:t>
      </w:r>
      <w:r w:rsidR="00602D8D">
        <w:t>234</w:t>
      </w:r>
      <w:r w:rsidR="00F861EF">
        <w:t xml:space="preserve"> 136,</w:t>
      </w:r>
      <w:r w:rsidR="00602D8D">
        <w:t>00</w:t>
      </w:r>
      <w:r w:rsidRPr="00257C26">
        <w:t xml:space="preserve"> litų, </w:t>
      </w:r>
      <w:r w:rsidR="003B4698">
        <w:t>Tai lėšos, gautos už suteiktas paslaugas, iš jų</w:t>
      </w:r>
      <w:r w:rsidRPr="00257C26">
        <w:t>:</w:t>
      </w:r>
      <w:r w:rsidR="00F861EF">
        <w:t xml:space="preserve"> </w:t>
      </w:r>
      <w:r w:rsidR="003B4698">
        <w:t xml:space="preserve">pinigų likutis banko sąskaitoje </w:t>
      </w:r>
      <w:r w:rsidR="00602D8D">
        <w:t>232</w:t>
      </w:r>
      <w:r w:rsidR="00F861EF">
        <w:t xml:space="preserve"> 643,</w:t>
      </w:r>
      <w:r w:rsidR="00602D8D">
        <w:t>10</w:t>
      </w:r>
      <w:r w:rsidR="003B4698">
        <w:t xml:space="preserve"> Lt;</w:t>
      </w:r>
      <w:r w:rsidR="00F861EF">
        <w:t xml:space="preserve"> </w:t>
      </w:r>
      <w:r w:rsidR="003B4698">
        <w:t xml:space="preserve">pinigų likutis kasoje </w:t>
      </w:r>
      <w:r w:rsidR="00602D8D">
        <w:t>1</w:t>
      </w:r>
      <w:r w:rsidR="00F861EF">
        <w:t xml:space="preserve"> 492,</w:t>
      </w:r>
      <w:r w:rsidR="00602D8D">
        <w:t>90</w:t>
      </w:r>
      <w:r w:rsidR="003B4698">
        <w:t xml:space="preserve"> Lt.</w:t>
      </w:r>
    </w:p>
    <w:p w:rsidR="003B4698" w:rsidRDefault="003B4698" w:rsidP="00792998">
      <w:pPr>
        <w:ind w:firstLine="709"/>
        <w:jc w:val="both"/>
      </w:pPr>
      <w:r>
        <w:t>Informacija apie pinigus ir pin</w:t>
      </w:r>
      <w:r w:rsidR="00197882">
        <w:t>i</w:t>
      </w:r>
      <w:r>
        <w:t>gų ekvival</w:t>
      </w:r>
      <w:r w:rsidR="00197882">
        <w:t>e</w:t>
      </w:r>
      <w:r>
        <w:t>ntus pateikta 5 priede.</w:t>
      </w:r>
    </w:p>
    <w:p w:rsidR="003B4698" w:rsidRPr="00172326" w:rsidRDefault="003B4698" w:rsidP="00FD3647">
      <w:pPr>
        <w:spacing w:before="240" w:after="240"/>
        <w:ind w:firstLine="709"/>
        <w:jc w:val="both"/>
        <w:rPr>
          <w:b/>
          <w:bCs/>
          <w:color w:val="000000"/>
        </w:rPr>
      </w:pPr>
      <w:r w:rsidRPr="00172326">
        <w:rPr>
          <w:b/>
          <w:bCs/>
          <w:color w:val="000000"/>
        </w:rPr>
        <w:t>Finansavimo sumos</w:t>
      </w:r>
      <w:r w:rsidR="00EE2C1C">
        <w:rPr>
          <w:b/>
          <w:bCs/>
          <w:color w:val="000000"/>
        </w:rPr>
        <w:t xml:space="preserve"> (P12)</w:t>
      </w:r>
    </w:p>
    <w:p w:rsidR="003B4698" w:rsidRPr="00257C26" w:rsidRDefault="003B4698" w:rsidP="00792998">
      <w:pPr>
        <w:ind w:firstLine="709"/>
        <w:jc w:val="both"/>
      </w:pPr>
      <w:r w:rsidRPr="00257C26">
        <w:t xml:space="preserve">Informacija apie </w:t>
      </w:r>
      <w:r>
        <w:t>įstaigos</w:t>
      </w:r>
      <w:r w:rsidRPr="00257C26">
        <w:t xml:space="preserve"> finansavimo sumas pagal šaltinį, tikslinę paskirtį ir jų pokyčius per ataskaitinį laikotarpį pateikta šio aiškinamojo rašto </w:t>
      </w:r>
      <w:r>
        <w:t>6</w:t>
      </w:r>
      <w:r w:rsidRPr="00257C26">
        <w:t xml:space="preserve"> priede.</w:t>
      </w:r>
    </w:p>
    <w:p w:rsidR="00170B30" w:rsidRPr="00170B30" w:rsidRDefault="00170B30" w:rsidP="00F861EF">
      <w:pPr>
        <w:pStyle w:val="Style85"/>
        <w:tabs>
          <w:tab w:val="left" w:pos="14569"/>
        </w:tabs>
        <w:spacing w:line="240" w:lineRule="auto"/>
        <w:ind w:firstLine="709"/>
        <w:jc w:val="both"/>
        <w:rPr>
          <w:rStyle w:val="FontStyle176"/>
          <w:b w:val="0"/>
          <w:sz w:val="24"/>
          <w:szCs w:val="24"/>
        </w:rPr>
      </w:pPr>
      <w:r w:rsidRPr="00170B30">
        <w:rPr>
          <w:rStyle w:val="FontStyle176"/>
          <w:b w:val="0"/>
          <w:sz w:val="24"/>
          <w:szCs w:val="24"/>
        </w:rPr>
        <w:t>Gautos finansavimo sum</w:t>
      </w:r>
      <w:r w:rsidR="00F861EF">
        <w:rPr>
          <w:rStyle w:val="FontStyle176"/>
          <w:b w:val="0"/>
          <w:sz w:val="24"/>
          <w:szCs w:val="24"/>
        </w:rPr>
        <w:t>os per ataskaitinį laikotarpį:</w:t>
      </w:r>
      <w:r w:rsidRPr="00170B30">
        <w:rPr>
          <w:rStyle w:val="FontStyle176"/>
          <w:b w:val="0"/>
          <w:sz w:val="24"/>
          <w:szCs w:val="24"/>
        </w:rPr>
        <w:t xml:space="preserve"> </w:t>
      </w:r>
      <w:r w:rsidR="00255409">
        <w:rPr>
          <w:rStyle w:val="FontStyle176"/>
          <w:b w:val="0"/>
          <w:sz w:val="24"/>
          <w:szCs w:val="24"/>
        </w:rPr>
        <w:t xml:space="preserve">iš valstybės biudžeto per ataskaitinį laikotarpį gauta </w:t>
      </w:r>
      <w:r w:rsidR="009D563D">
        <w:rPr>
          <w:rStyle w:val="FontStyle176"/>
          <w:b w:val="0"/>
          <w:sz w:val="24"/>
          <w:szCs w:val="24"/>
        </w:rPr>
        <w:t>14</w:t>
      </w:r>
      <w:r w:rsidR="00F861EF">
        <w:rPr>
          <w:rStyle w:val="FontStyle176"/>
          <w:b w:val="0"/>
          <w:sz w:val="24"/>
          <w:szCs w:val="24"/>
        </w:rPr>
        <w:t xml:space="preserve"> 752,</w:t>
      </w:r>
      <w:r w:rsidR="009D563D">
        <w:rPr>
          <w:rStyle w:val="FontStyle176"/>
          <w:b w:val="0"/>
          <w:sz w:val="24"/>
          <w:szCs w:val="24"/>
        </w:rPr>
        <w:t>87</w:t>
      </w:r>
      <w:r w:rsidR="00255409">
        <w:rPr>
          <w:rStyle w:val="FontStyle176"/>
          <w:b w:val="0"/>
          <w:sz w:val="24"/>
          <w:szCs w:val="24"/>
        </w:rPr>
        <w:t xml:space="preserve"> Lt finansavimo sumų kitoms išlaidoms kompensuoti. Iš jų: </w:t>
      </w:r>
      <w:r w:rsidR="009D563D">
        <w:rPr>
          <w:rStyle w:val="FontStyle176"/>
          <w:b w:val="0"/>
          <w:sz w:val="24"/>
          <w:szCs w:val="24"/>
        </w:rPr>
        <w:t>14</w:t>
      </w:r>
      <w:r w:rsidR="00F861EF">
        <w:rPr>
          <w:rStyle w:val="FontStyle176"/>
          <w:b w:val="0"/>
          <w:sz w:val="24"/>
          <w:szCs w:val="24"/>
        </w:rPr>
        <w:t xml:space="preserve"> 606,</w:t>
      </w:r>
      <w:r w:rsidR="009D563D">
        <w:rPr>
          <w:rStyle w:val="FontStyle176"/>
          <w:b w:val="0"/>
          <w:sz w:val="24"/>
          <w:szCs w:val="24"/>
        </w:rPr>
        <w:t>98</w:t>
      </w:r>
      <w:r w:rsidR="00255409">
        <w:rPr>
          <w:rStyle w:val="FontStyle176"/>
          <w:b w:val="0"/>
          <w:sz w:val="24"/>
          <w:szCs w:val="24"/>
        </w:rPr>
        <w:t xml:space="preserve"> Lt </w:t>
      </w:r>
      <w:r w:rsidR="00255409" w:rsidRPr="00170B30">
        <w:rPr>
          <w:rStyle w:val="FontStyle176"/>
          <w:b w:val="0"/>
          <w:sz w:val="24"/>
          <w:szCs w:val="24"/>
        </w:rPr>
        <w:t>gautos lėšos pagal darbo įgūdžių įsigijimo rėmimo ir finansavimo, viešųjų darbų įgyvendinimo ir finansavimo sutartys su teritorine darbo birža</w:t>
      </w:r>
      <w:r w:rsidRPr="00170B30">
        <w:rPr>
          <w:rStyle w:val="FontStyle176"/>
          <w:b w:val="0"/>
          <w:sz w:val="24"/>
          <w:szCs w:val="24"/>
        </w:rPr>
        <w:t>.</w:t>
      </w:r>
    </w:p>
    <w:p w:rsidR="00792998" w:rsidRDefault="00F861EF" w:rsidP="00FD3647">
      <w:pPr>
        <w:ind w:firstLine="709"/>
        <w:jc w:val="both"/>
      </w:pPr>
      <w:r>
        <w:t>Per ataskaitinį laikotarpį</w:t>
      </w:r>
      <w:r w:rsidR="00792998">
        <w:t xml:space="preserve"> panaudota </w:t>
      </w:r>
      <w:r w:rsidR="009D563D">
        <w:t>90</w:t>
      </w:r>
      <w:r>
        <w:t xml:space="preserve"> 470,</w:t>
      </w:r>
      <w:r w:rsidR="009D563D">
        <w:t>27</w:t>
      </w:r>
      <w:r>
        <w:t xml:space="preserve"> Lt</w:t>
      </w:r>
      <w:r w:rsidR="00792998">
        <w:t xml:space="preserve"> finansavimo pajamų sąnaudoms iš fina</w:t>
      </w:r>
      <w:r>
        <w:t>nsavimo sumų kompensuoti. Iš jų:</w:t>
      </w:r>
      <w:r w:rsidR="00792998">
        <w:t xml:space="preserve"> </w:t>
      </w:r>
      <w:r w:rsidR="000029F3">
        <w:t>19</w:t>
      </w:r>
      <w:r>
        <w:t xml:space="preserve"> 936,</w:t>
      </w:r>
      <w:r w:rsidR="000029F3">
        <w:t>53</w:t>
      </w:r>
      <w:r w:rsidR="00792998">
        <w:t xml:space="preserve"> Lt iš valstybės biudžeto, </w:t>
      </w:r>
      <w:r w:rsidR="000029F3">
        <w:t>7</w:t>
      </w:r>
      <w:r>
        <w:t xml:space="preserve"> 277,</w:t>
      </w:r>
      <w:r w:rsidR="000029F3">
        <w:t>27</w:t>
      </w:r>
      <w:r w:rsidR="00792998">
        <w:t xml:space="preserve"> Lt iš savivaldybės biudžeto, </w:t>
      </w:r>
      <w:r w:rsidR="000029F3">
        <w:t>11</w:t>
      </w:r>
      <w:r>
        <w:t xml:space="preserve"> 678,</w:t>
      </w:r>
      <w:r w:rsidR="000029F3">
        <w:t>45</w:t>
      </w:r>
      <w:r w:rsidR="00792998">
        <w:t xml:space="preserve"> Lt iš Europos Sąjungos lėšų ir </w:t>
      </w:r>
      <w:r w:rsidR="000029F3">
        <w:t>51</w:t>
      </w:r>
      <w:r>
        <w:t xml:space="preserve"> 578,</w:t>
      </w:r>
      <w:r w:rsidR="000029F3">
        <w:t>02</w:t>
      </w:r>
      <w:r w:rsidR="00792998">
        <w:t xml:space="preserve"> Lt iš kitų šaltinių.</w:t>
      </w:r>
    </w:p>
    <w:p w:rsidR="003B4698" w:rsidRDefault="003B4698" w:rsidP="00FD3647">
      <w:pPr>
        <w:ind w:firstLine="709"/>
        <w:jc w:val="both"/>
      </w:pPr>
      <w:r w:rsidRPr="00257C26">
        <w:t xml:space="preserve">Ataskaitinio laikotarpio pabaigoje finansavimo sumos iš valstybės biudžeto sudarė </w:t>
      </w:r>
      <w:r w:rsidR="00F861EF">
        <w:t>0,</w:t>
      </w:r>
      <w:r w:rsidR="00D626AC">
        <w:t>00</w:t>
      </w:r>
      <w:r w:rsidRPr="00257C26">
        <w:t xml:space="preserve"> </w:t>
      </w:r>
      <w:r>
        <w:t>Lt</w:t>
      </w:r>
      <w:r w:rsidRPr="00257C26">
        <w:t xml:space="preserve">. Finansavimo sumų iš savivaldybės biudžeto likutis </w:t>
      </w:r>
      <w:r w:rsidR="00D626AC">
        <w:t>1</w:t>
      </w:r>
      <w:r w:rsidR="00F861EF">
        <w:t xml:space="preserve"> 879,</w:t>
      </w:r>
      <w:r w:rsidR="00D626AC">
        <w:t>48</w:t>
      </w:r>
      <w:r w:rsidR="00F861EF">
        <w:t xml:space="preserve"> Lt</w:t>
      </w:r>
      <w:r>
        <w:t xml:space="preserve"> </w:t>
      </w:r>
      <w:r w:rsidRPr="00257C26">
        <w:t xml:space="preserve">Finansavimo sumų likutis iš Europos </w:t>
      </w:r>
      <w:r w:rsidRPr="00257C26">
        <w:lastRenderedPageBreak/>
        <w:t xml:space="preserve">Sąjungos lėšų ataskaitinio laikotarpio pabaigoje sudarė </w:t>
      </w:r>
      <w:r w:rsidR="00D626AC">
        <w:t>2</w:t>
      </w:r>
      <w:r w:rsidR="00F861EF">
        <w:t xml:space="preserve"> 552,</w:t>
      </w:r>
      <w:r w:rsidR="00D626AC">
        <w:t>55</w:t>
      </w:r>
      <w:r w:rsidR="00170B30">
        <w:t xml:space="preserve"> Lt</w:t>
      </w:r>
      <w:r w:rsidRPr="00257C26">
        <w:t xml:space="preserve">, iš kitų šaltinių – </w:t>
      </w:r>
      <w:r w:rsidR="00D626AC">
        <w:t>76</w:t>
      </w:r>
      <w:r w:rsidR="00F861EF">
        <w:t xml:space="preserve"> 319,</w:t>
      </w:r>
      <w:r w:rsidR="00D626AC">
        <w:t>66</w:t>
      </w:r>
      <w:r w:rsidR="00170B30">
        <w:t xml:space="preserve"> Lt</w:t>
      </w:r>
      <w:r w:rsidRPr="00257C26">
        <w:t xml:space="preserve">. </w:t>
      </w:r>
      <w:r w:rsidR="00792998">
        <w:t>Informacija apie finansavimo sumų likučius ataskaitinio laikotarpio pabaigoje pateikta 7 priede.</w:t>
      </w:r>
    </w:p>
    <w:p w:rsidR="00255409" w:rsidRPr="00172326" w:rsidRDefault="00255409" w:rsidP="00FD3647">
      <w:pPr>
        <w:spacing w:before="240" w:after="240"/>
        <w:ind w:firstLine="709"/>
        <w:jc w:val="both"/>
        <w:rPr>
          <w:b/>
          <w:bCs/>
          <w:color w:val="000000"/>
        </w:rPr>
      </w:pPr>
      <w:r w:rsidRPr="00172326">
        <w:rPr>
          <w:b/>
          <w:bCs/>
          <w:color w:val="000000"/>
        </w:rPr>
        <w:t>Įsipareigojimai</w:t>
      </w:r>
      <w:r w:rsidR="00EE2C1C">
        <w:rPr>
          <w:b/>
          <w:bCs/>
          <w:color w:val="000000"/>
        </w:rPr>
        <w:t xml:space="preserve"> (P17)</w:t>
      </w:r>
    </w:p>
    <w:p w:rsidR="00255409" w:rsidRDefault="00255409" w:rsidP="00EE2C1C">
      <w:pPr>
        <w:ind w:firstLine="709"/>
        <w:jc w:val="both"/>
      </w:pPr>
      <w:r>
        <w:t>Ataskaitinio laikotarpio pabaigoje įstaigoje kiti trumpalaikiai įsipareigojimai</w:t>
      </w:r>
      <w:r w:rsidR="00982339">
        <w:t xml:space="preserve"> </w:t>
      </w:r>
      <w:r>
        <w:t xml:space="preserve">sudarė </w:t>
      </w:r>
      <w:r w:rsidR="00F31570">
        <w:br/>
      </w:r>
      <w:r w:rsidR="00C739CC">
        <w:t>108</w:t>
      </w:r>
      <w:r w:rsidR="00F31570">
        <w:t xml:space="preserve"> 436,</w:t>
      </w:r>
      <w:r w:rsidR="00C739CC">
        <w:t>05</w:t>
      </w:r>
      <w:r w:rsidR="00F31570">
        <w:t xml:space="preserve"> Lt</w:t>
      </w:r>
      <w:r>
        <w:t>.</w:t>
      </w:r>
      <w:r w:rsidR="00982339">
        <w:t xml:space="preserve"> </w:t>
      </w:r>
      <w:r w:rsidR="00F31570">
        <w:t>Iš jų:</w:t>
      </w:r>
      <w:r>
        <w:t xml:space="preserve"> </w:t>
      </w:r>
      <w:r w:rsidR="00C739CC">
        <w:t>12</w:t>
      </w:r>
      <w:r w:rsidR="00F31570">
        <w:t xml:space="preserve"> 237,</w:t>
      </w:r>
      <w:r w:rsidR="00C739CC">
        <w:t>95</w:t>
      </w:r>
      <w:r>
        <w:t xml:space="preserve"> Lt sudarė tiekėjams mokėtinos sumos</w:t>
      </w:r>
      <w:r w:rsidR="00B66D29">
        <w:t xml:space="preserve"> (už maisto produktus </w:t>
      </w:r>
      <w:r w:rsidR="00F31570">
        <w:br/>
      </w:r>
      <w:r w:rsidR="00077C0B" w:rsidRPr="00077C0B">
        <w:t>1</w:t>
      </w:r>
      <w:r w:rsidR="00F31570">
        <w:t xml:space="preserve"> 413,</w:t>
      </w:r>
      <w:r w:rsidR="00077C0B" w:rsidRPr="00077C0B">
        <w:t>05</w:t>
      </w:r>
      <w:r w:rsidR="00B66D29">
        <w:t xml:space="preserve"> Lt, įsiskolinimas už komunalines paslaugas </w:t>
      </w:r>
      <w:r w:rsidR="00077C0B">
        <w:t>4</w:t>
      </w:r>
      <w:r w:rsidR="00F31570">
        <w:t xml:space="preserve"> 021,</w:t>
      </w:r>
      <w:r w:rsidR="00077C0B">
        <w:t>60</w:t>
      </w:r>
      <w:r w:rsidR="00F31570">
        <w:t xml:space="preserve"> Lt</w:t>
      </w:r>
      <w:r w:rsidR="00A627AD">
        <w:t xml:space="preserve"> </w:t>
      </w:r>
      <w:r w:rsidR="00B66D29">
        <w:t xml:space="preserve">ir kitos mokėtinos sumos tiekėjams </w:t>
      </w:r>
      <w:r w:rsidR="00F31570">
        <w:br/>
      </w:r>
      <w:r w:rsidR="00077C0B" w:rsidRPr="00077C0B">
        <w:t>6</w:t>
      </w:r>
      <w:r w:rsidR="00F31570">
        <w:t xml:space="preserve"> 803,</w:t>
      </w:r>
      <w:r w:rsidR="00077C0B" w:rsidRPr="00077C0B">
        <w:t>30</w:t>
      </w:r>
      <w:r w:rsidR="00B66D29" w:rsidRPr="001D6271">
        <w:rPr>
          <w:b/>
        </w:rPr>
        <w:t xml:space="preserve"> </w:t>
      </w:r>
      <w:r w:rsidR="00B66D29">
        <w:t>Lt)</w:t>
      </w:r>
      <w:r>
        <w:t xml:space="preserve">, </w:t>
      </w:r>
      <w:r w:rsidR="001D6271">
        <w:t>23</w:t>
      </w:r>
      <w:r w:rsidR="00F31570">
        <w:t xml:space="preserve"> 381,</w:t>
      </w:r>
      <w:r w:rsidR="001D6271">
        <w:t>37</w:t>
      </w:r>
      <w:r>
        <w:t xml:space="preserve"> Lt su darbo santykiais susiję įsipareigojimai</w:t>
      </w:r>
      <w:r w:rsidR="00B66D29">
        <w:t xml:space="preserve"> ir </w:t>
      </w:r>
      <w:r w:rsidR="00226BD3">
        <w:t>72</w:t>
      </w:r>
      <w:r w:rsidR="00F31570">
        <w:t xml:space="preserve"> 428,</w:t>
      </w:r>
      <w:r w:rsidR="00226BD3">
        <w:t>96</w:t>
      </w:r>
      <w:r w:rsidR="00B66D29">
        <w:t xml:space="preserve"> Lt sukauptos atostoginių sąnaudos</w:t>
      </w:r>
      <w:r w:rsidR="00F31570">
        <w:t xml:space="preserve"> </w:t>
      </w:r>
      <w:r w:rsidR="00B66D29">
        <w:t xml:space="preserve">(sukauptos atostoginių sąnaudos </w:t>
      </w:r>
      <w:r w:rsidR="00226BD3">
        <w:t>55</w:t>
      </w:r>
      <w:r w:rsidR="00F31570">
        <w:t xml:space="preserve"> 213,</w:t>
      </w:r>
      <w:r w:rsidR="00226BD3">
        <w:t>39</w:t>
      </w:r>
      <w:r w:rsidR="00B66D29">
        <w:t xml:space="preserve"> Lt, socialinio draudimo įmokos nuo sukauptų atostoginių sąnaudų </w:t>
      </w:r>
      <w:r w:rsidR="00226BD3">
        <w:t>17</w:t>
      </w:r>
      <w:r w:rsidR="00F31570">
        <w:t xml:space="preserve"> 105,</w:t>
      </w:r>
      <w:r w:rsidR="00226BD3">
        <w:t>11</w:t>
      </w:r>
      <w:r w:rsidR="00B66D29">
        <w:t xml:space="preserve"> Lt ir </w:t>
      </w:r>
      <w:r w:rsidR="00F31570">
        <w:t>110,</w:t>
      </w:r>
      <w:r w:rsidR="00226BD3">
        <w:t>46</w:t>
      </w:r>
      <w:r w:rsidR="00B66D29">
        <w:t xml:space="preserve"> Lt įmokos į Garantinį fondą). </w:t>
      </w:r>
      <w:r w:rsidRPr="00257C26">
        <w:t xml:space="preserve">Informacija apie trumpalaikes mokėtinas sumas pateikta </w:t>
      </w:r>
      <w:r w:rsidR="00982339">
        <w:t>8</w:t>
      </w:r>
      <w:r w:rsidRPr="00257C26">
        <w:t xml:space="preserve"> </w:t>
      </w:r>
      <w:r w:rsidR="00982339">
        <w:t>priede</w:t>
      </w:r>
      <w:r w:rsidRPr="00257C26">
        <w:t>.</w:t>
      </w:r>
    </w:p>
    <w:p w:rsidR="00505B63" w:rsidRDefault="00EE2C1C" w:rsidP="00F31570">
      <w:pPr>
        <w:ind w:firstLine="851"/>
        <w:jc w:val="both"/>
      </w:pPr>
      <w:r>
        <w:t>Informacija apie finansinės rizikos valdymą (įsipareigojimų dalį nacionaline ir užsienio val</w:t>
      </w:r>
      <w:r w:rsidR="00F31570">
        <w:t xml:space="preserve">iutomis) pateikta 2 lentelėje. </w:t>
      </w:r>
    </w:p>
    <w:p w:rsidR="00EE2C1C" w:rsidRDefault="00EE2C1C" w:rsidP="00EE2C1C">
      <w:pPr>
        <w:spacing w:before="100" w:beforeAutospacing="1" w:after="100" w:afterAutospacing="1"/>
        <w:jc w:val="center"/>
      </w:pPr>
      <w:r>
        <w:t>2 lentelė. Informacija apie įsipareigojimų dalį nacionaline ir užsienio valiutomis</w:t>
      </w:r>
    </w:p>
    <w:tbl>
      <w:tblPr>
        <w:tblW w:w="0" w:type="auto"/>
        <w:tblInd w:w="93" w:type="dxa"/>
        <w:tblLook w:val="04A0" w:firstRow="1" w:lastRow="0" w:firstColumn="1" w:lastColumn="0" w:noHBand="0" w:noVBand="1"/>
      </w:tblPr>
      <w:tblGrid>
        <w:gridCol w:w="727"/>
        <w:gridCol w:w="2287"/>
        <w:gridCol w:w="3508"/>
        <w:gridCol w:w="3523"/>
      </w:tblGrid>
      <w:tr w:rsidR="00EE2C1C">
        <w:trPr>
          <w:trHeight w:val="510"/>
        </w:trPr>
        <w:tc>
          <w:tcPr>
            <w:tcW w:w="0" w:type="auto"/>
            <w:tcBorders>
              <w:top w:val="single" w:sz="4" w:space="0" w:color="auto"/>
              <w:left w:val="single" w:sz="4" w:space="0" w:color="auto"/>
              <w:bottom w:val="single" w:sz="4" w:space="0" w:color="auto"/>
              <w:right w:val="single" w:sz="4" w:space="0" w:color="auto"/>
            </w:tcBorders>
          </w:tcPr>
          <w:p w:rsidR="00EE2C1C" w:rsidRDefault="00EE2C1C" w:rsidP="00AC3461">
            <w:pPr>
              <w:jc w:val="center"/>
              <w:rPr>
                <w:b/>
                <w:bCs/>
                <w:color w:val="000000"/>
                <w:sz w:val="20"/>
                <w:szCs w:val="20"/>
              </w:rPr>
            </w:pPr>
            <w:r>
              <w:rPr>
                <w:b/>
                <w:bCs/>
                <w:color w:val="000000"/>
                <w:sz w:val="20"/>
                <w:szCs w:val="20"/>
              </w:rPr>
              <w:t>Eil. Nr.</w:t>
            </w:r>
          </w:p>
        </w:tc>
        <w:tc>
          <w:tcPr>
            <w:tcW w:w="0" w:type="auto"/>
            <w:tcBorders>
              <w:top w:val="single" w:sz="4" w:space="0" w:color="auto"/>
              <w:left w:val="nil"/>
              <w:bottom w:val="single" w:sz="4" w:space="0" w:color="auto"/>
              <w:right w:val="single" w:sz="4" w:space="0" w:color="auto"/>
            </w:tcBorders>
          </w:tcPr>
          <w:p w:rsidR="00EE2C1C" w:rsidRDefault="00EE2C1C" w:rsidP="00AC3461">
            <w:pPr>
              <w:jc w:val="center"/>
              <w:rPr>
                <w:b/>
                <w:bCs/>
                <w:color w:val="000000"/>
                <w:sz w:val="20"/>
                <w:szCs w:val="20"/>
              </w:rPr>
            </w:pPr>
            <w:r>
              <w:rPr>
                <w:b/>
                <w:bCs/>
                <w:color w:val="000000"/>
                <w:sz w:val="20"/>
                <w:szCs w:val="20"/>
              </w:rPr>
              <w:t>Įsipareigojimų dalis valiuta</w:t>
            </w:r>
          </w:p>
        </w:tc>
        <w:tc>
          <w:tcPr>
            <w:tcW w:w="0" w:type="auto"/>
            <w:tcBorders>
              <w:top w:val="single" w:sz="4" w:space="0" w:color="auto"/>
              <w:left w:val="nil"/>
              <w:bottom w:val="single" w:sz="4" w:space="0" w:color="auto"/>
              <w:right w:val="single" w:sz="4" w:space="0" w:color="auto"/>
            </w:tcBorders>
          </w:tcPr>
          <w:p w:rsidR="00EE2C1C" w:rsidRDefault="00EE2C1C" w:rsidP="00AC3461">
            <w:pPr>
              <w:jc w:val="center"/>
              <w:rPr>
                <w:b/>
                <w:bCs/>
                <w:color w:val="000000"/>
                <w:sz w:val="20"/>
                <w:szCs w:val="20"/>
              </w:rPr>
            </w:pPr>
            <w:r>
              <w:rPr>
                <w:b/>
                <w:bCs/>
                <w:color w:val="000000"/>
                <w:sz w:val="20"/>
                <w:szCs w:val="20"/>
              </w:rPr>
              <w:t>Įsigijimo savikaina ataskaitinio laikotarpio pradžioje</w:t>
            </w:r>
          </w:p>
        </w:tc>
        <w:tc>
          <w:tcPr>
            <w:tcW w:w="0" w:type="auto"/>
            <w:tcBorders>
              <w:top w:val="single" w:sz="4" w:space="0" w:color="auto"/>
              <w:left w:val="nil"/>
              <w:bottom w:val="single" w:sz="4" w:space="0" w:color="auto"/>
              <w:right w:val="single" w:sz="4" w:space="0" w:color="auto"/>
            </w:tcBorders>
          </w:tcPr>
          <w:p w:rsidR="00EE2C1C" w:rsidRDefault="00EE2C1C" w:rsidP="00AC3461">
            <w:pPr>
              <w:jc w:val="center"/>
              <w:rPr>
                <w:b/>
                <w:bCs/>
                <w:color w:val="000000"/>
                <w:sz w:val="20"/>
                <w:szCs w:val="20"/>
              </w:rPr>
            </w:pPr>
            <w:r>
              <w:rPr>
                <w:b/>
                <w:bCs/>
                <w:color w:val="000000"/>
                <w:sz w:val="20"/>
                <w:szCs w:val="20"/>
              </w:rPr>
              <w:t>Įsigijimo savikaina ataskaitinio laikotarpio pabaigoje</w:t>
            </w:r>
          </w:p>
        </w:tc>
      </w:tr>
      <w:tr w:rsidR="00EE2C1C">
        <w:trPr>
          <w:trHeight w:val="255"/>
        </w:trPr>
        <w:tc>
          <w:tcPr>
            <w:tcW w:w="0" w:type="auto"/>
            <w:tcBorders>
              <w:top w:val="nil"/>
              <w:left w:val="single" w:sz="4" w:space="0" w:color="auto"/>
              <w:bottom w:val="single" w:sz="4" w:space="0" w:color="auto"/>
              <w:right w:val="single" w:sz="4" w:space="0" w:color="auto"/>
            </w:tcBorders>
            <w:noWrap/>
            <w:vAlign w:val="bottom"/>
          </w:tcPr>
          <w:p w:rsidR="00EE2C1C" w:rsidRDefault="00EE2C1C" w:rsidP="00AC3461">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noWrap/>
            <w:vAlign w:val="bottom"/>
          </w:tcPr>
          <w:p w:rsidR="00EE2C1C" w:rsidRDefault="00EE2C1C" w:rsidP="00AC3461">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noWrap/>
            <w:vAlign w:val="bottom"/>
          </w:tcPr>
          <w:p w:rsidR="00EE2C1C" w:rsidRDefault="00EE2C1C" w:rsidP="00AC3461">
            <w:pPr>
              <w:jc w:val="center"/>
              <w:rPr>
                <w:color w:val="000000"/>
                <w:sz w:val="20"/>
                <w:szCs w:val="20"/>
              </w:rPr>
            </w:pPr>
            <w:r>
              <w:rPr>
                <w:color w:val="000000"/>
                <w:sz w:val="20"/>
                <w:szCs w:val="20"/>
              </w:rPr>
              <w:t>3</w:t>
            </w:r>
          </w:p>
        </w:tc>
        <w:tc>
          <w:tcPr>
            <w:tcW w:w="0" w:type="auto"/>
            <w:tcBorders>
              <w:top w:val="nil"/>
              <w:left w:val="nil"/>
              <w:bottom w:val="single" w:sz="4" w:space="0" w:color="auto"/>
              <w:right w:val="single" w:sz="4" w:space="0" w:color="auto"/>
            </w:tcBorders>
            <w:noWrap/>
            <w:vAlign w:val="bottom"/>
          </w:tcPr>
          <w:p w:rsidR="00EE2C1C" w:rsidRDefault="00EE2C1C" w:rsidP="00AC3461">
            <w:pPr>
              <w:jc w:val="center"/>
              <w:rPr>
                <w:color w:val="000000"/>
                <w:sz w:val="20"/>
                <w:szCs w:val="20"/>
              </w:rPr>
            </w:pPr>
            <w:r>
              <w:rPr>
                <w:color w:val="000000"/>
                <w:sz w:val="20"/>
                <w:szCs w:val="20"/>
              </w:rPr>
              <w:t>4</w:t>
            </w:r>
          </w:p>
        </w:tc>
      </w:tr>
      <w:tr w:rsidR="00EE2C1C">
        <w:trPr>
          <w:trHeight w:val="255"/>
        </w:trPr>
        <w:tc>
          <w:tcPr>
            <w:tcW w:w="0" w:type="auto"/>
            <w:tcBorders>
              <w:top w:val="nil"/>
              <w:left w:val="single" w:sz="4" w:space="0" w:color="auto"/>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Nacionaline valiuta</w:t>
            </w:r>
          </w:p>
        </w:tc>
        <w:tc>
          <w:tcPr>
            <w:tcW w:w="0" w:type="auto"/>
            <w:tcBorders>
              <w:top w:val="nil"/>
              <w:left w:val="nil"/>
              <w:bottom w:val="single" w:sz="4" w:space="0" w:color="auto"/>
              <w:right w:val="single" w:sz="4" w:space="0" w:color="auto"/>
            </w:tcBorders>
            <w:noWrap/>
            <w:vAlign w:val="bottom"/>
          </w:tcPr>
          <w:p w:rsidR="00EE2C1C" w:rsidRDefault="008132E7" w:rsidP="00AC3461">
            <w:pPr>
              <w:jc w:val="right"/>
              <w:rPr>
                <w:color w:val="000000"/>
                <w:sz w:val="20"/>
                <w:szCs w:val="20"/>
              </w:rPr>
            </w:pPr>
            <w:r>
              <w:rPr>
                <w:color w:val="000000"/>
                <w:sz w:val="20"/>
                <w:szCs w:val="20"/>
              </w:rPr>
              <w:t>108</w:t>
            </w:r>
            <w:r w:rsidR="00F31570">
              <w:rPr>
                <w:color w:val="000000"/>
                <w:sz w:val="20"/>
                <w:szCs w:val="20"/>
              </w:rPr>
              <w:t xml:space="preserve"> 085,</w:t>
            </w:r>
            <w:r>
              <w:rPr>
                <w:color w:val="000000"/>
                <w:sz w:val="20"/>
                <w:szCs w:val="20"/>
              </w:rPr>
              <w:t>67</w:t>
            </w:r>
          </w:p>
        </w:tc>
        <w:tc>
          <w:tcPr>
            <w:tcW w:w="0" w:type="auto"/>
            <w:tcBorders>
              <w:top w:val="nil"/>
              <w:left w:val="nil"/>
              <w:bottom w:val="single" w:sz="4" w:space="0" w:color="auto"/>
              <w:right w:val="single" w:sz="4" w:space="0" w:color="auto"/>
            </w:tcBorders>
            <w:noWrap/>
            <w:vAlign w:val="bottom"/>
          </w:tcPr>
          <w:p w:rsidR="00EE2C1C" w:rsidRDefault="008132E7" w:rsidP="00AC3461">
            <w:pPr>
              <w:jc w:val="right"/>
              <w:rPr>
                <w:color w:val="000000"/>
                <w:sz w:val="20"/>
                <w:szCs w:val="20"/>
              </w:rPr>
            </w:pPr>
            <w:r>
              <w:rPr>
                <w:color w:val="000000"/>
                <w:sz w:val="20"/>
                <w:szCs w:val="20"/>
              </w:rPr>
              <w:t>108</w:t>
            </w:r>
            <w:r w:rsidR="00F31570">
              <w:rPr>
                <w:color w:val="000000"/>
                <w:sz w:val="20"/>
                <w:szCs w:val="20"/>
              </w:rPr>
              <w:t xml:space="preserve"> 436,</w:t>
            </w:r>
            <w:r>
              <w:rPr>
                <w:color w:val="000000"/>
                <w:sz w:val="20"/>
                <w:szCs w:val="20"/>
              </w:rPr>
              <w:t>05</w:t>
            </w:r>
          </w:p>
        </w:tc>
      </w:tr>
      <w:tr w:rsidR="00EE2C1C">
        <w:trPr>
          <w:trHeight w:val="255"/>
        </w:trPr>
        <w:tc>
          <w:tcPr>
            <w:tcW w:w="0" w:type="auto"/>
            <w:tcBorders>
              <w:top w:val="nil"/>
              <w:left w:val="single" w:sz="4" w:space="0" w:color="auto"/>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Eurais </w:t>
            </w:r>
          </w:p>
        </w:tc>
        <w:tc>
          <w:tcPr>
            <w:tcW w:w="0" w:type="auto"/>
            <w:tcBorders>
              <w:top w:val="nil"/>
              <w:left w:val="nil"/>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 </w:t>
            </w:r>
          </w:p>
        </w:tc>
      </w:tr>
      <w:tr w:rsidR="00EE2C1C">
        <w:trPr>
          <w:trHeight w:val="255"/>
        </w:trPr>
        <w:tc>
          <w:tcPr>
            <w:tcW w:w="0" w:type="auto"/>
            <w:tcBorders>
              <w:top w:val="nil"/>
              <w:left w:val="single" w:sz="4" w:space="0" w:color="auto"/>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3</w:t>
            </w:r>
          </w:p>
        </w:tc>
        <w:tc>
          <w:tcPr>
            <w:tcW w:w="0" w:type="auto"/>
            <w:tcBorders>
              <w:top w:val="nil"/>
              <w:left w:val="nil"/>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JAV doleriais </w:t>
            </w:r>
          </w:p>
        </w:tc>
        <w:tc>
          <w:tcPr>
            <w:tcW w:w="0" w:type="auto"/>
            <w:tcBorders>
              <w:top w:val="nil"/>
              <w:left w:val="nil"/>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 </w:t>
            </w:r>
          </w:p>
        </w:tc>
      </w:tr>
      <w:tr w:rsidR="00EE2C1C">
        <w:trPr>
          <w:trHeight w:val="255"/>
        </w:trPr>
        <w:tc>
          <w:tcPr>
            <w:tcW w:w="0" w:type="auto"/>
            <w:tcBorders>
              <w:top w:val="nil"/>
              <w:left w:val="single" w:sz="4" w:space="0" w:color="auto"/>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Kitomis  </w:t>
            </w:r>
          </w:p>
        </w:tc>
        <w:tc>
          <w:tcPr>
            <w:tcW w:w="0" w:type="auto"/>
            <w:tcBorders>
              <w:top w:val="nil"/>
              <w:left w:val="nil"/>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noWrap/>
            <w:vAlign w:val="bottom"/>
          </w:tcPr>
          <w:p w:rsidR="00EE2C1C" w:rsidRDefault="00EE2C1C" w:rsidP="00AC3461">
            <w:pPr>
              <w:rPr>
                <w:color w:val="000000"/>
                <w:sz w:val="20"/>
                <w:szCs w:val="20"/>
              </w:rPr>
            </w:pPr>
            <w:r>
              <w:rPr>
                <w:color w:val="000000"/>
                <w:sz w:val="20"/>
                <w:szCs w:val="20"/>
              </w:rPr>
              <w:t> </w:t>
            </w:r>
          </w:p>
        </w:tc>
      </w:tr>
      <w:tr w:rsidR="00EE2C1C">
        <w:trPr>
          <w:trHeight w:val="255"/>
        </w:trPr>
        <w:tc>
          <w:tcPr>
            <w:tcW w:w="0" w:type="auto"/>
            <w:tcBorders>
              <w:top w:val="nil"/>
              <w:left w:val="single" w:sz="4" w:space="0" w:color="auto"/>
              <w:bottom w:val="single" w:sz="4" w:space="0" w:color="auto"/>
              <w:right w:val="single" w:sz="4" w:space="0" w:color="auto"/>
            </w:tcBorders>
            <w:noWrap/>
            <w:vAlign w:val="bottom"/>
          </w:tcPr>
          <w:p w:rsidR="00EE2C1C" w:rsidRDefault="00EE2C1C" w:rsidP="00AC3461">
            <w:pPr>
              <w:rPr>
                <w:b/>
                <w:bCs/>
                <w:color w:val="000000"/>
                <w:sz w:val="20"/>
                <w:szCs w:val="20"/>
              </w:rPr>
            </w:pPr>
            <w:r>
              <w:rPr>
                <w:b/>
                <w:bCs/>
                <w:color w:val="000000"/>
                <w:sz w:val="20"/>
                <w:szCs w:val="20"/>
              </w:rPr>
              <w:t>5</w:t>
            </w:r>
          </w:p>
        </w:tc>
        <w:tc>
          <w:tcPr>
            <w:tcW w:w="0" w:type="auto"/>
            <w:tcBorders>
              <w:top w:val="nil"/>
              <w:left w:val="nil"/>
              <w:bottom w:val="single" w:sz="4" w:space="0" w:color="auto"/>
              <w:right w:val="single" w:sz="4" w:space="0" w:color="auto"/>
            </w:tcBorders>
            <w:noWrap/>
            <w:vAlign w:val="bottom"/>
          </w:tcPr>
          <w:p w:rsidR="00EE2C1C" w:rsidRDefault="00EE2C1C" w:rsidP="00AC3461">
            <w:pPr>
              <w:rPr>
                <w:b/>
                <w:bCs/>
                <w:color w:val="000000"/>
                <w:sz w:val="20"/>
                <w:szCs w:val="20"/>
              </w:rPr>
            </w:pPr>
            <w:r>
              <w:rPr>
                <w:b/>
                <w:bCs/>
                <w:color w:val="000000"/>
                <w:sz w:val="20"/>
                <w:szCs w:val="20"/>
              </w:rPr>
              <w:t>Iš viso</w:t>
            </w:r>
          </w:p>
        </w:tc>
        <w:tc>
          <w:tcPr>
            <w:tcW w:w="0" w:type="auto"/>
            <w:tcBorders>
              <w:top w:val="nil"/>
              <w:left w:val="nil"/>
              <w:bottom w:val="single" w:sz="4" w:space="0" w:color="auto"/>
              <w:right w:val="single" w:sz="4" w:space="0" w:color="auto"/>
            </w:tcBorders>
            <w:noWrap/>
            <w:vAlign w:val="bottom"/>
          </w:tcPr>
          <w:p w:rsidR="00EE2C1C" w:rsidRDefault="008132E7" w:rsidP="00AC3461">
            <w:pPr>
              <w:jc w:val="right"/>
              <w:rPr>
                <w:b/>
                <w:bCs/>
                <w:color w:val="000000"/>
                <w:sz w:val="20"/>
                <w:szCs w:val="20"/>
              </w:rPr>
            </w:pPr>
            <w:r>
              <w:rPr>
                <w:b/>
                <w:bCs/>
                <w:color w:val="000000"/>
                <w:sz w:val="20"/>
                <w:szCs w:val="20"/>
              </w:rPr>
              <w:t>108</w:t>
            </w:r>
            <w:r w:rsidR="00F31570">
              <w:rPr>
                <w:b/>
                <w:bCs/>
                <w:color w:val="000000"/>
                <w:sz w:val="20"/>
                <w:szCs w:val="20"/>
              </w:rPr>
              <w:t xml:space="preserve"> 085,</w:t>
            </w:r>
            <w:r>
              <w:rPr>
                <w:b/>
                <w:bCs/>
                <w:color w:val="000000"/>
                <w:sz w:val="20"/>
                <w:szCs w:val="20"/>
              </w:rPr>
              <w:t>67</w:t>
            </w:r>
          </w:p>
        </w:tc>
        <w:tc>
          <w:tcPr>
            <w:tcW w:w="0" w:type="auto"/>
            <w:tcBorders>
              <w:top w:val="nil"/>
              <w:left w:val="nil"/>
              <w:bottom w:val="single" w:sz="4" w:space="0" w:color="auto"/>
              <w:right w:val="single" w:sz="4" w:space="0" w:color="auto"/>
            </w:tcBorders>
            <w:noWrap/>
            <w:vAlign w:val="bottom"/>
          </w:tcPr>
          <w:p w:rsidR="00EE2C1C" w:rsidRDefault="008132E7" w:rsidP="00AC3461">
            <w:pPr>
              <w:jc w:val="right"/>
              <w:rPr>
                <w:b/>
                <w:bCs/>
                <w:color w:val="000000"/>
                <w:sz w:val="20"/>
                <w:szCs w:val="20"/>
              </w:rPr>
            </w:pPr>
            <w:r>
              <w:rPr>
                <w:b/>
                <w:bCs/>
                <w:color w:val="000000"/>
                <w:sz w:val="20"/>
                <w:szCs w:val="20"/>
              </w:rPr>
              <w:t>108</w:t>
            </w:r>
            <w:r w:rsidR="00F31570">
              <w:rPr>
                <w:b/>
                <w:bCs/>
                <w:color w:val="000000"/>
                <w:sz w:val="20"/>
                <w:szCs w:val="20"/>
              </w:rPr>
              <w:t xml:space="preserve"> 436,</w:t>
            </w:r>
            <w:r>
              <w:rPr>
                <w:b/>
                <w:bCs/>
                <w:color w:val="000000"/>
                <w:sz w:val="20"/>
                <w:szCs w:val="20"/>
              </w:rPr>
              <w:t>05</w:t>
            </w:r>
          </w:p>
        </w:tc>
      </w:tr>
    </w:tbl>
    <w:p w:rsidR="00EE2C1C" w:rsidRDefault="00EE2C1C" w:rsidP="00EE2C1C">
      <w:pPr>
        <w:spacing w:before="100" w:beforeAutospacing="1" w:after="100" w:afterAutospacing="1"/>
        <w:ind w:firstLine="851"/>
        <w:rPr>
          <w:lang w:eastAsia="en-US"/>
        </w:rPr>
      </w:pPr>
      <w:r>
        <w:t>Ataskaitinio laikotarpio pabaigoje įstaiga neturėjo finansinio turto, išreikšto užsienio valiuta.</w:t>
      </w:r>
    </w:p>
    <w:p w:rsidR="00982339" w:rsidRPr="00172326" w:rsidRDefault="00CF1D4C" w:rsidP="00FB144C">
      <w:pPr>
        <w:spacing w:before="240" w:after="240"/>
        <w:ind w:firstLine="709"/>
        <w:jc w:val="both"/>
        <w:rPr>
          <w:b/>
          <w:bCs/>
          <w:color w:val="000000"/>
        </w:rPr>
      </w:pPr>
      <w:r w:rsidRPr="00172326">
        <w:rPr>
          <w:b/>
          <w:bCs/>
          <w:color w:val="000000"/>
        </w:rPr>
        <w:t>Grynasis turtas</w:t>
      </w:r>
      <w:r w:rsidR="00EE2C1C">
        <w:rPr>
          <w:b/>
          <w:bCs/>
          <w:color w:val="000000"/>
        </w:rPr>
        <w:t xml:space="preserve"> (P18)</w:t>
      </w:r>
    </w:p>
    <w:p w:rsidR="00EE2C1C" w:rsidRDefault="00EE2C1C" w:rsidP="00FB144C">
      <w:pPr>
        <w:pStyle w:val="Style88"/>
        <w:tabs>
          <w:tab w:val="left" w:pos="10118"/>
        </w:tabs>
        <w:spacing w:line="240" w:lineRule="auto"/>
        <w:ind w:firstLine="709"/>
        <w:rPr>
          <w:rStyle w:val="FontStyle172"/>
          <w:bCs/>
          <w:sz w:val="24"/>
          <w:szCs w:val="24"/>
        </w:rPr>
      </w:pPr>
      <w:r>
        <w:t xml:space="preserve">Įstaigos grynasis turtas apskaičiuojamas aritmetiškai – iš viso turto balansinės vertės atimama visų įsipareigojimų ir finansavimo sumų balansinė vertė. </w:t>
      </w:r>
      <w:r w:rsidRPr="00E772F1">
        <w:t>201</w:t>
      </w:r>
      <w:r w:rsidR="00654CEF">
        <w:t>3</w:t>
      </w:r>
      <w:r w:rsidR="00F31570">
        <w:t xml:space="preserve"> m.</w:t>
      </w:r>
      <w:r w:rsidRPr="00E772F1">
        <w:t xml:space="preserve"> </w:t>
      </w:r>
      <w:r w:rsidR="0044748A">
        <w:t>tris</w:t>
      </w:r>
      <w:r w:rsidRPr="00E772F1">
        <w:t xml:space="preserve"> mėnesi</w:t>
      </w:r>
      <w:r w:rsidR="0044748A">
        <w:t>us</w:t>
      </w:r>
      <w:r w:rsidRPr="00E772F1">
        <w:t xml:space="preserve"> </w:t>
      </w:r>
      <w:r w:rsidR="0044748A">
        <w:t>perviršis</w:t>
      </w:r>
      <w:r w:rsidRPr="00E772F1">
        <w:t xml:space="preserve"> sudarė </w:t>
      </w:r>
      <w:r w:rsidR="00F31570">
        <w:br/>
      </w:r>
      <w:r w:rsidR="00654CEF">
        <w:t>7</w:t>
      </w:r>
      <w:r w:rsidR="00F31570">
        <w:t xml:space="preserve"> 698,</w:t>
      </w:r>
      <w:r w:rsidR="00654CEF">
        <w:t>06</w:t>
      </w:r>
      <w:r w:rsidRPr="00E772F1">
        <w:t xml:space="preserve"> Lt.</w:t>
      </w:r>
    </w:p>
    <w:p w:rsidR="00982339" w:rsidRPr="00982339" w:rsidRDefault="00982339" w:rsidP="00F31570">
      <w:pPr>
        <w:pStyle w:val="Style88"/>
        <w:tabs>
          <w:tab w:val="left" w:pos="10118"/>
        </w:tabs>
        <w:spacing w:line="240" w:lineRule="auto"/>
        <w:ind w:firstLine="709"/>
        <w:rPr>
          <w:rStyle w:val="FontStyle172"/>
          <w:bCs/>
          <w:sz w:val="24"/>
          <w:szCs w:val="24"/>
        </w:rPr>
      </w:pPr>
      <w:r w:rsidRPr="00982339">
        <w:rPr>
          <w:rStyle w:val="FontStyle172"/>
          <w:bCs/>
          <w:sz w:val="24"/>
          <w:szCs w:val="24"/>
        </w:rPr>
        <w:t xml:space="preserve">Įstaigos grynasis turtas ataskaitinio laikotarpio pabaigoje sudarė </w:t>
      </w:r>
      <w:r w:rsidR="00654CEF">
        <w:rPr>
          <w:rStyle w:val="FontStyle172"/>
          <w:bCs/>
          <w:sz w:val="24"/>
          <w:szCs w:val="24"/>
        </w:rPr>
        <w:t>270</w:t>
      </w:r>
      <w:r w:rsidR="00F31570">
        <w:rPr>
          <w:rStyle w:val="FontStyle172"/>
          <w:bCs/>
          <w:sz w:val="24"/>
          <w:szCs w:val="24"/>
        </w:rPr>
        <w:t xml:space="preserve"> 801,</w:t>
      </w:r>
      <w:r w:rsidR="00654CEF">
        <w:rPr>
          <w:rStyle w:val="FontStyle172"/>
          <w:bCs/>
          <w:sz w:val="24"/>
          <w:szCs w:val="24"/>
        </w:rPr>
        <w:t>15</w:t>
      </w:r>
      <w:r w:rsidR="00F31570">
        <w:rPr>
          <w:rStyle w:val="FontStyle172"/>
          <w:bCs/>
          <w:sz w:val="24"/>
          <w:szCs w:val="24"/>
        </w:rPr>
        <w:t xml:space="preserve"> Lt. Iš jo:</w:t>
      </w:r>
      <w:r w:rsidRPr="00982339">
        <w:rPr>
          <w:rStyle w:val="FontStyle172"/>
          <w:bCs/>
          <w:sz w:val="24"/>
          <w:szCs w:val="24"/>
        </w:rPr>
        <w:t xml:space="preserve"> dalininkų kapitalas 24</w:t>
      </w:r>
      <w:r w:rsidR="00F31570">
        <w:rPr>
          <w:rStyle w:val="FontStyle172"/>
          <w:bCs/>
          <w:sz w:val="24"/>
          <w:szCs w:val="24"/>
        </w:rPr>
        <w:t xml:space="preserve"> 563,54 Lt;</w:t>
      </w:r>
      <w:r w:rsidRPr="00982339">
        <w:rPr>
          <w:rStyle w:val="FontStyle172"/>
          <w:bCs/>
          <w:sz w:val="24"/>
          <w:szCs w:val="24"/>
        </w:rPr>
        <w:t xml:space="preserve"> ankstesnių metų perviršis </w:t>
      </w:r>
      <w:r w:rsidR="00654CEF">
        <w:rPr>
          <w:rStyle w:val="FontStyle172"/>
          <w:bCs/>
          <w:sz w:val="24"/>
          <w:szCs w:val="24"/>
        </w:rPr>
        <w:t>238</w:t>
      </w:r>
      <w:r w:rsidR="00F31570">
        <w:rPr>
          <w:rStyle w:val="FontStyle172"/>
          <w:bCs/>
          <w:sz w:val="24"/>
          <w:szCs w:val="24"/>
        </w:rPr>
        <w:t xml:space="preserve"> 539,</w:t>
      </w:r>
      <w:r w:rsidR="00654CEF">
        <w:rPr>
          <w:rStyle w:val="FontStyle172"/>
          <w:bCs/>
          <w:sz w:val="24"/>
          <w:szCs w:val="24"/>
        </w:rPr>
        <w:t>55</w:t>
      </w:r>
      <w:r w:rsidR="00F31570">
        <w:rPr>
          <w:rStyle w:val="FontStyle172"/>
          <w:bCs/>
          <w:sz w:val="24"/>
          <w:szCs w:val="24"/>
        </w:rPr>
        <w:t xml:space="preserve"> Lt;</w:t>
      </w:r>
      <w:r w:rsidRPr="00982339">
        <w:rPr>
          <w:rStyle w:val="FontStyle172"/>
          <w:sz w:val="24"/>
          <w:szCs w:val="24"/>
        </w:rPr>
        <w:t xml:space="preserve"> einamųjų metų </w:t>
      </w:r>
      <w:r w:rsidR="00B55901">
        <w:rPr>
          <w:rStyle w:val="FontStyle172"/>
          <w:sz w:val="24"/>
          <w:szCs w:val="24"/>
        </w:rPr>
        <w:t>perviršis</w:t>
      </w:r>
      <w:r w:rsidR="00CF1D4C">
        <w:rPr>
          <w:rStyle w:val="FontStyle172"/>
          <w:sz w:val="24"/>
          <w:szCs w:val="24"/>
        </w:rPr>
        <w:t xml:space="preserve"> </w:t>
      </w:r>
      <w:r w:rsidR="00654CEF">
        <w:rPr>
          <w:rStyle w:val="FontStyle172"/>
          <w:sz w:val="24"/>
          <w:szCs w:val="24"/>
        </w:rPr>
        <w:t>7</w:t>
      </w:r>
      <w:r w:rsidR="00F31570">
        <w:rPr>
          <w:rStyle w:val="FontStyle172"/>
          <w:sz w:val="24"/>
          <w:szCs w:val="24"/>
        </w:rPr>
        <w:t xml:space="preserve"> 698,</w:t>
      </w:r>
      <w:r w:rsidR="00654CEF">
        <w:rPr>
          <w:rStyle w:val="FontStyle172"/>
          <w:sz w:val="24"/>
          <w:szCs w:val="24"/>
        </w:rPr>
        <w:t>06</w:t>
      </w:r>
      <w:r w:rsidRPr="00982339">
        <w:rPr>
          <w:rStyle w:val="FontStyle172"/>
          <w:sz w:val="24"/>
          <w:szCs w:val="24"/>
        </w:rPr>
        <w:t xml:space="preserve"> Lt.</w:t>
      </w:r>
    </w:p>
    <w:p w:rsidR="00EE2C1C" w:rsidRDefault="00982339" w:rsidP="00197882">
      <w:pPr>
        <w:ind w:firstLine="709"/>
        <w:jc w:val="both"/>
        <w:rPr>
          <w:rStyle w:val="FontStyle172"/>
          <w:sz w:val="24"/>
          <w:szCs w:val="24"/>
        </w:rPr>
      </w:pPr>
      <w:r w:rsidRPr="00982339">
        <w:rPr>
          <w:rStyle w:val="FontStyle172"/>
          <w:bCs/>
          <w:sz w:val="24"/>
          <w:szCs w:val="24"/>
        </w:rPr>
        <w:t>Įstaigos vienintelis dalininkas yra Panevėžio rajono savivaldybė.</w:t>
      </w:r>
      <w:r w:rsidRPr="00982339">
        <w:t xml:space="preserve"> </w:t>
      </w:r>
      <w:r w:rsidRPr="00982339">
        <w:rPr>
          <w:rStyle w:val="FontStyle172"/>
          <w:sz w:val="24"/>
          <w:szCs w:val="24"/>
        </w:rPr>
        <w:t>Dalininko kapitalas metų eigoje nesikeitė.</w:t>
      </w:r>
    </w:p>
    <w:p w:rsidR="00CF1D4C" w:rsidRPr="00172326" w:rsidRDefault="00CF1D4C" w:rsidP="00EE2C1C">
      <w:pPr>
        <w:spacing w:before="240" w:after="240"/>
        <w:ind w:firstLine="709"/>
        <w:jc w:val="both"/>
        <w:rPr>
          <w:b/>
          <w:bCs/>
          <w:color w:val="000000"/>
        </w:rPr>
      </w:pPr>
      <w:r w:rsidRPr="00172326">
        <w:rPr>
          <w:b/>
          <w:bCs/>
          <w:color w:val="000000"/>
        </w:rPr>
        <w:t>Pagrindinės veiklos pajamos</w:t>
      </w:r>
      <w:r w:rsidR="00505B63">
        <w:rPr>
          <w:b/>
          <w:bCs/>
          <w:color w:val="000000"/>
        </w:rPr>
        <w:t xml:space="preserve"> (P21)</w:t>
      </w:r>
    </w:p>
    <w:p w:rsidR="00FB144C" w:rsidRDefault="00FB144C" w:rsidP="00FD3647">
      <w:pPr>
        <w:ind w:firstLine="709"/>
        <w:jc w:val="both"/>
      </w:pPr>
      <w:r w:rsidRPr="00777651">
        <w:t>Pagrindinės veiklos pajamas sudaro pajamos už teikiamas paslaugas pagal su Panevėžio teritorine ligonių kasa pasirašytą sutartį, be to dalis pajamų gaunama už medicinos paslaugas, apmokamas atskirų fizinių bei juridinių asmenų.</w:t>
      </w:r>
    </w:p>
    <w:p w:rsidR="00CF1D4C" w:rsidRDefault="00CF1D4C" w:rsidP="00FD3647">
      <w:pPr>
        <w:ind w:firstLine="709"/>
        <w:jc w:val="both"/>
      </w:pPr>
      <w:r w:rsidRPr="00257C26">
        <w:t>Informacija apie 201</w:t>
      </w:r>
      <w:r w:rsidR="00B12108">
        <w:t>3</w:t>
      </w:r>
      <w:r w:rsidRPr="00257C26">
        <w:t xml:space="preserve"> m. pagrindinės veiklos kitas pajam</w:t>
      </w:r>
      <w:r>
        <w:t>a</w:t>
      </w:r>
      <w:r w:rsidRPr="00257C26">
        <w:t xml:space="preserve">s pateikta </w:t>
      </w:r>
      <w:r w:rsidR="00505B63">
        <w:t>3</w:t>
      </w:r>
      <w:r w:rsidRPr="00257C26">
        <w:t xml:space="preserve"> lentelėje.</w:t>
      </w:r>
    </w:p>
    <w:p w:rsidR="00CA2C3E" w:rsidRPr="00777651" w:rsidRDefault="00CA2C3E" w:rsidP="00F31570">
      <w:pPr>
        <w:ind w:firstLine="709"/>
        <w:jc w:val="both"/>
        <w:rPr>
          <w:rStyle w:val="FontStyle172"/>
          <w:bCs/>
          <w:sz w:val="24"/>
          <w:szCs w:val="24"/>
        </w:rPr>
      </w:pPr>
      <w:r w:rsidRPr="00777651">
        <w:rPr>
          <w:rStyle w:val="FontStyle172"/>
          <w:bCs/>
          <w:sz w:val="24"/>
          <w:szCs w:val="24"/>
        </w:rPr>
        <w:t xml:space="preserve">Pagrindinės veiklos pajamos per ataskaitinį laikotarpį sudarė </w:t>
      </w:r>
      <w:r w:rsidR="00B12108">
        <w:t>1</w:t>
      </w:r>
      <w:r w:rsidR="00F31570">
        <w:t xml:space="preserve"> </w:t>
      </w:r>
      <w:r w:rsidR="00B12108">
        <w:t>220</w:t>
      </w:r>
      <w:r w:rsidR="00F31570">
        <w:t xml:space="preserve"> 231,</w:t>
      </w:r>
      <w:r w:rsidR="00B12108">
        <w:t>37</w:t>
      </w:r>
      <w:r w:rsidR="00197882">
        <w:t xml:space="preserve"> L</w:t>
      </w:r>
      <w:r>
        <w:t>t sudarė</w:t>
      </w:r>
      <w:r w:rsidRPr="00E57DF6">
        <w:rPr>
          <w:rStyle w:val="FontStyle172"/>
          <w:bCs/>
          <w:sz w:val="24"/>
          <w:szCs w:val="24"/>
        </w:rPr>
        <w:t xml:space="preserve"> </w:t>
      </w:r>
      <w:r>
        <w:rPr>
          <w:rStyle w:val="FontStyle172"/>
          <w:bCs/>
          <w:sz w:val="24"/>
          <w:szCs w:val="24"/>
        </w:rPr>
        <w:t>pajamos už s</w:t>
      </w:r>
      <w:r w:rsidR="00F31570">
        <w:rPr>
          <w:rStyle w:val="FontStyle172"/>
          <w:bCs/>
          <w:sz w:val="24"/>
          <w:szCs w:val="24"/>
        </w:rPr>
        <w:t xml:space="preserve">uteiktas medicinines paslaugas: </w:t>
      </w:r>
      <w:r w:rsidRPr="00E57DF6">
        <w:rPr>
          <w:rStyle w:val="FontStyle172"/>
          <w:bCs/>
          <w:sz w:val="24"/>
          <w:szCs w:val="24"/>
        </w:rPr>
        <w:t xml:space="preserve">pirminės ambulatorinės asmens sveikatos priežiūros paslaugų pajamos </w:t>
      </w:r>
      <w:r>
        <w:rPr>
          <w:rStyle w:val="FontStyle172"/>
          <w:bCs/>
          <w:sz w:val="24"/>
          <w:szCs w:val="24"/>
        </w:rPr>
        <w:t>bei</w:t>
      </w:r>
      <w:r w:rsidRPr="00E57DF6">
        <w:rPr>
          <w:rStyle w:val="FontStyle172"/>
          <w:bCs/>
          <w:sz w:val="24"/>
          <w:szCs w:val="24"/>
        </w:rPr>
        <w:t xml:space="preserve"> slaugos ir pala</w:t>
      </w:r>
      <w:r>
        <w:rPr>
          <w:rStyle w:val="FontStyle172"/>
          <w:bCs/>
          <w:sz w:val="24"/>
          <w:szCs w:val="24"/>
        </w:rPr>
        <w:t>ikomojo gydymo paslaugų pajamos,</w:t>
      </w:r>
      <w:r w:rsidRPr="00E57DF6">
        <w:rPr>
          <w:rStyle w:val="FontStyle172"/>
          <w:bCs/>
          <w:sz w:val="24"/>
          <w:szCs w:val="24"/>
        </w:rPr>
        <w:t xml:space="preserve"> kurias apmoka Panevėžio teritorinės ligonių kasos</w:t>
      </w:r>
      <w:r>
        <w:rPr>
          <w:rStyle w:val="FontStyle172"/>
          <w:bCs/>
          <w:sz w:val="24"/>
          <w:szCs w:val="24"/>
        </w:rPr>
        <w:t xml:space="preserve"> </w:t>
      </w:r>
      <w:r w:rsidR="008C533E">
        <w:rPr>
          <w:rStyle w:val="FontStyle172"/>
          <w:bCs/>
          <w:sz w:val="24"/>
          <w:szCs w:val="24"/>
        </w:rPr>
        <w:t>1</w:t>
      </w:r>
      <w:r w:rsidR="00F31570">
        <w:rPr>
          <w:rStyle w:val="FontStyle172"/>
          <w:bCs/>
          <w:sz w:val="24"/>
          <w:szCs w:val="24"/>
        </w:rPr>
        <w:t xml:space="preserve"> </w:t>
      </w:r>
      <w:r w:rsidR="008C533E">
        <w:rPr>
          <w:rStyle w:val="FontStyle172"/>
          <w:bCs/>
          <w:sz w:val="24"/>
          <w:szCs w:val="24"/>
        </w:rPr>
        <w:t>203</w:t>
      </w:r>
      <w:r w:rsidR="00F31570">
        <w:rPr>
          <w:rStyle w:val="FontStyle172"/>
          <w:bCs/>
          <w:sz w:val="24"/>
          <w:szCs w:val="24"/>
        </w:rPr>
        <w:t xml:space="preserve"> </w:t>
      </w:r>
      <w:r w:rsidR="008C533E">
        <w:rPr>
          <w:rStyle w:val="FontStyle172"/>
          <w:bCs/>
          <w:sz w:val="24"/>
          <w:szCs w:val="24"/>
        </w:rPr>
        <w:t xml:space="preserve">720.23 </w:t>
      </w:r>
      <w:r>
        <w:rPr>
          <w:rStyle w:val="FontStyle172"/>
          <w:bCs/>
          <w:sz w:val="24"/>
          <w:szCs w:val="24"/>
        </w:rPr>
        <w:t>Lt;</w:t>
      </w:r>
      <w:r w:rsidRPr="00E57DF6">
        <w:rPr>
          <w:rStyle w:val="FontStyle172"/>
          <w:bCs/>
          <w:sz w:val="24"/>
          <w:szCs w:val="24"/>
        </w:rPr>
        <w:t xml:space="preserve"> pajamos už suteiktas mokamas medicinines paslaugas </w:t>
      </w:r>
      <w:r w:rsidR="00B96011">
        <w:rPr>
          <w:rStyle w:val="FontStyle172"/>
          <w:bCs/>
          <w:sz w:val="24"/>
          <w:szCs w:val="24"/>
        </w:rPr>
        <w:t>16</w:t>
      </w:r>
      <w:r w:rsidR="00F31570">
        <w:rPr>
          <w:rStyle w:val="FontStyle172"/>
          <w:bCs/>
          <w:sz w:val="24"/>
          <w:szCs w:val="24"/>
        </w:rPr>
        <w:t xml:space="preserve"> 511,</w:t>
      </w:r>
      <w:r w:rsidR="00B96011">
        <w:rPr>
          <w:rStyle w:val="FontStyle172"/>
          <w:bCs/>
          <w:sz w:val="24"/>
          <w:szCs w:val="24"/>
        </w:rPr>
        <w:t>14</w:t>
      </w:r>
      <w:r w:rsidRPr="00E57DF6">
        <w:rPr>
          <w:rStyle w:val="FontStyle172"/>
          <w:bCs/>
          <w:sz w:val="24"/>
          <w:szCs w:val="24"/>
        </w:rPr>
        <w:t xml:space="preserve"> Lt. </w:t>
      </w:r>
    </w:p>
    <w:p w:rsidR="00505B63" w:rsidRPr="00777651" w:rsidRDefault="00CA2C3E" w:rsidP="00CA2C3E">
      <w:pPr>
        <w:pStyle w:val="Style88"/>
        <w:tabs>
          <w:tab w:val="left" w:pos="10118"/>
        </w:tabs>
        <w:spacing w:line="240" w:lineRule="auto"/>
        <w:ind w:firstLine="709"/>
        <w:rPr>
          <w:rStyle w:val="FontStyle172"/>
          <w:bCs/>
          <w:sz w:val="24"/>
          <w:szCs w:val="24"/>
        </w:rPr>
      </w:pPr>
      <w:r w:rsidRPr="00F10EC6">
        <w:rPr>
          <w:rStyle w:val="FontStyle172"/>
          <w:bCs/>
          <w:sz w:val="24"/>
          <w:szCs w:val="24"/>
        </w:rPr>
        <w:t>Įstaiga per ataskaitinį laikotarpį pajamų iš turto ir paslaugų mainų nėra gavusi, taip pat nėra suteikusi viršsutartinių paslaugų, viršijančių teritorinės ligonių kasos ir įstaigos sutartyje nustatytas paslaugų apimtis.</w:t>
      </w:r>
    </w:p>
    <w:p w:rsidR="00CF1D4C" w:rsidRDefault="00505B63" w:rsidP="00CF1D4C">
      <w:pPr>
        <w:spacing w:after="100" w:afterAutospacing="1"/>
        <w:jc w:val="center"/>
      </w:pPr>
      <w:r>
        <w:t>3</w:t>
      </w:r>
      <w:r w:rsidR="00CF1D4C">
        <w:t xml:space="preserve"> lentelė. Pagrindinės veiklos kitos pajamos</w:t>
      </w:r>
    </w:p>
    <w:tbl>
      <w:tblPr>
        <w:tblW w:w="9860" w:type="dxa"/>
        <w:tblInd w:w="93" w:type="dxa"/>
        <w:tblLook w:val="04A0" w:firstRow="1" w:lastRow="0" w:firstColumn="1" w:lastColumn="0" w:noHBand="0" w:noVBand="1"/>
      </w:tblPr>
      <w:tblGrid>
        <w:gridCol w:w="680"/>
        <w:gridCol w:w="6540"/>
        <w:gridCol w:w="1260"/>
        <w:gridCol w:w="1380"/>
      </w:tblGrid>
      <w:tr w:rsidR="00505B63" w:rsidRPr="00505B63">
        <w:trPr>
          <w:trHeight w:val="805"/>
        </w:trPr>
        <w:tc>
          <w:tcPr>
            <w:tcW w:w="680" w:type="dxa"/>
            <w:tcBorders>
              <w:top w:val="single" w:sz="4" w:space="0" w:color="auto"/>
              <w:left w:val="single" w:sz="4" w:space="0" w:color="auto"/>
              <w:bottom w:val="single" w:sz="4" w:space="0" w:color="auto"/>
              <w:right w:val="single" w:sz="4" w:space="0" w:color="auto"/>
            </w:tcBorders>
            <w:shd w:val="clear" w:color="auto" w:fill="auto"/>
          </w:tcPr>
          <w:p w:rsidR="00505B63" w:rsidRPr="00505B63" w:rsidRDefault="00505B63">
            <w:pPr>
              <w:jc w:val="center"/>
              <w:rPr>
                <w:b/>
                <w:bCs/>
                <w:color w:val="000000"/>
                <w:sz w:val="20"/>
                <w:szCs w:val="20"/>
              </w:rPr>
            </w:pPr>
            <w:r w:rsidRPr="00505B63">
              <w:rPr>
                <w:b/>
                <w:bCs/>
                <w:color w:val="000000"/>
                <w:sz w:val="20"/>
                <w:szCs w:val="20"/>
              </w:rPr>
              <w:t>Eil. Nr.</w:t>
            </w:r>
          </w:p>
        </w:tc>
        <w:tc>
          <w:tcPr>
            <w:tcW w:w="6540" w:type="dxa"/>
            <w:tcBorders>
              <w:top w:val="single" w:sz="4" w:space="0" w:color="auto"/>
              <w:left w:val="nil"/>
              <w:bottom w:val="single" w:sz="4" w:space="0" w:color="auto"/>
              <w:right w:val="single" w:sz="4" w:space="0" w:color="auto"/>
            </w:tcBorders>
            <w:shd w:val="clear" w:color="auto" w:fill="auto"/>
          </w:tcPr>
          <w:p w:rsidR="00505B63" w:rsidRPr="00505B63" w:rsidRDefault="00505B63">
            <w:pPr>
              <w:jc w:val="center"/>
              <w:rPr>
                <w:b/>
                <w:bCs/>
                <w:color w:val="000000"/>
                <w:sz w:val="20"/>
                <w:szCs w:val="20"/>
              </w:rPr>
            </w:pPr>
            <w:r w:rsidRPr="00505B63">
              <w:rPr>
                <w:b/>
                <w:bCs/>
                <w:color w:val="000000"/>
                <w:sz w:val="20"/>
                <w:szCs w:val="20"/>
              </w:rPr>
              <w:t>Straipsniai*</w:t>
            </w:r>
          </w:p>
        </w:tc>
        <w:tc>
          <w:tcPr>
            <w:tcW w:w="1260" w:type="dxa"/>
            <w:tcBorders>
              <w:top w:val="single" w:sz="4" w:space="0" w:color="auto"/>
              <w:left w:val="nil"/>
              <w:bottom w:val="single" w:sz="4" w:space="0" w:color="auto"/>
              <w:right w:val="single" w:sz="4" w:space="0" w:color="auto"/>
            </w:tcBorders>
            <w:shd w:val="clear" w:color="auto" w:fill="auto"/>
          </w:tcPr>
          <w:p w:rsidR="00505B63" w:rsidRPr="00505B63" w:rsidRDefault="00505B63">
            <w:pPr>
              <w:jc w:val="center"/>
              <w:rPr>
                <w:b/>
                <w:bCs/>
                <w:color w:val="000000"/>
                <w:sz w:val="20"/>
                <w:szCs w:val="20"/>
              </w:rPr>
            </w:pPr>
            <w:r w:rsidRPr="00505B63">
              <w:rPr>
                <w:b/>
                <w:bCs/>
                <w:color w:val="000000"/>
                <w:sz w:val="20"/>
                <w:szCs w:val="20"/>
              </w:rPr>
              <w:t>Ataskaitinis laikotarpis</w:t>
            </w:r>
          </w:p>
        </w:tc>
        <w:tc>
          <w:tcPr>
            <w:tcW w:w="1380" w:type="dxa"/>
            <w:tcBorders>
              <w:top w:val="single" w:sz="4" w:space="0" w:color="auto"/>
              <w:left w:val="nil"/>
              <w:bottom w:val="single" w:sz="4" w:space="0" w:color="auto"/>
              <w:right w:val="single" w:sz="4" w:space="0" w:color="auto"/>
            </w:tcBorders>
            <w:shd w:val="clear" w:color="auto" w:fill="auto"/>
          </w:tcPr>
          <w:p w:rsidR="00505B63" w:rsidRPr="00505B63" w:rsidRDefault="00505B63">
            <w:pPr>
              <w:jc w:val="center"/>
              <w:rPr>
                <w:b/>
                <w:bCs/>
                <w:color w:val="000000"/>
                <w:sz w:val="20"/>
                <w:szCs w:val="20"/>
              </w:rPr>
            </w:pPr>
            <w:r w:rsidRPr="00505B63">
              <w:rPr>
                <w:b/>
                <w:bCs/>
                <w:color w:val="000000"/>
                <w:sz w:val="20"/>
                <w:szCs w:val="20"/>
              </w:rPr>
              <w:t>Praėjęs ataskaitinis laikotarpis</w:t>
            </w:r>
          </w:p>
        </w:tc>
      </w:tr>
      <w:tr w:rsidR="00505B63" w:rsidRPr="00505B63">
        <w:trPr>
          <w:trHeight w:val="210"/>
        </w:trPr>
        <w:tc>
          <w:tcPr>
            <w:tcW w:w="680" w:type="dxa"/>
            <w:tcBorders>
              <w:top w:val="nil"/>
              <w:left w:val="single" w:sz="4" w:space="0" w:color="auto"/>
              <w:bottom w:val="single" w:sz="4" w:space="0" w:color="auto"/>
              <w:right w:val="single" w:sz="4" w:space="0" w:color="auto"/>
            </w:tcBorders>
            <w:shd w:val="clear" w:color="auto" w:fill="auto"/>
            <w:vAlign w:val="bottom"/>
          </w:tcPr>
          <w:p w:rsidR="00505B63" w:rsidRPr="00505B63" w:rsidRDefault="00505B63">
            <w:pPr>
              <w:jc w:val="center"/>
              <w:rPr>
                <w:b/>
                <w:bCs/>
                <w:color w:val="000000"/>
                <w:sz w:val="20"/>
                <w:szCs w:val="20"/>
              </w:rPr>
            </w:pPr>
            <w:r w:rsidRPr="00505B63">
              <w:rPr>
                <w:b/>
                <w:bCs/>
                <w:color w:val="000000"/>
                <w:sz w:val="20"/>
                <w:szCs w:val="20"/>
              </w:rPr>
              <w:t>1</w:t>
            </w:r>
          </w:p>
        </w:tc>
        <w:tc>
          <w:tcPr>
            <w:tcW w:w="6540" w:type="dxa"/>
            <w:tcBorders>
              <w:top w:val="nil"/>
              <w:left w:val="nil"/>
              <w:bottom w:val="single" w:sz="4" w:space="0" w:color="auto"/>
              <w:right w:val="single" w:sz="4" w:space="0" w:color="auto"/>
            </w:tcBorders>
            <w:shd w:val="clear" w:color="auto" w:fill="auto"/>
            <w:vAlign w:val="bottom"/>
          </w:tcPr>
          <w:p w:rsidR="00505B63" w:rsidRPr="00505B63" w:rsidRDefault="00505B63">
            <w:pPr>
              <w:jc w:val="center"/>
              <w:rPr>
                <w:b/>
                <w:bCs/>
                <w:color w:val="000000"/>
                <w:sz w:val="20"/>
                <w:szCs w:val="20"/>
              </w:rPr>
            </w:pPr>
            <w:r w:rsidRPr="00505B63">
              <w:rPr>
                <w:b/>
                <w:bCs/>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tcPr>
          <w:p w:rsidR="00505B63" w:rsidRPr="00505B63" w:rsidRDefault="00505B63">
            <w:pPr>
              <w:jc w:val="center"/>
              <w:rPr>
                <w:b/>
                <w:bCs/>
                <w:color w:val="000000"/>
                <w:sz w:val="20"/>
                <w:szCs w:val="20"/>
              </w:rPr>
            </w:pPr>
            <w:r w:rsidRPr="00505B63">
              <w:rPr>
                <w:b/>
                <w:bCs/>
                <w:color w:val="000000"/>
                <w:sz w:val="20"/>
                <w:szCs w:val="20"/>
              </w:rPr>
              <w:t>3</w:t>
            </w:r>
          </w:p>
        </w:tc>
        <w:tc>
          <w:tcPr>
            <w:tcW w:w="1380" w:type="dxa"/>
            <w:tcBorders>
              <w:top w:val="nil"/>
              <w:left w:val="nil"/>
              <w:bottom w:val="single" w:sz="4" w:space="0" w:color="auto"/>
              <w:right w:val="single" w:sz="4" w:space="0" w:color="auto"/>
            </w:tcBorders>
            <w:shd w:val="clear" w:color="auto" w:fill="auto"/>
            <w:vAlign w:val="bottom"/>
          </w:tcPr>
          <w:p w:rsidR="00505B63" w:rsidRPr="00505B63" w:rsidRDefault="00505B63">
            <w:pPr>
              <w:jc w:val="center"/>
              <w:rPr>
                <w:b/>
                <w:bCs/>
                <w:color w:val="000000"/>
                <w:sz w:val="20"/>
                <w:szCs w:val="20"/>
              </w:rPr>
            </w:pPr>
            <w:r w:rsidRPr="00505B63">
              <w:rPr>
                <w:b/>
                <w:bCs/>
                <w:color w:val="000000"/>
                <w:sz w:val="20"/>
                <w:szCs w:val="20"/>
              </w:rPr>
              <w:t>4</w:t>
            </w:r>
          </w:p>
        </w:tc>
      </w:tr>
      <w:tr w:rsidR="00505B63" w:rsidRPr="00505B63">
        <w:trPr>
          <w:trHeight w:val="285"/>
        </w:trPr>
        <w:tc>
          <w:tcPr>
            <w:tcW w:w="680" w:type="dxa"/>
            <w:tcBorders>
              <w:top w:val="nil"/>
              <w:left w:val="single" w:sz="4" w:space="0" w:color="auto"/>
              <w:bottom w:val="single" w:sz="4" w:space="0" w:color="auto"/>
              <w:right w:val="single" w:sz="4" w:space="0" w:color="auto"/>
            </w:tcBorders>
            <w:shd w:val="clear" w:color="auto" w:fill="auto"/>
            <w:vAlign w:val="bottom"/>
          </w:tcPr>
          <w:p w:rsidR="00505B63" w:rsidRPr="00505B63" w:rsidRDefault="00505B63">
            <w:pPr>
              <w:rPr>
                <w:b/>
                <w:bCs/>
                <w:color w:val="000000"/>
                <w:sz w:val="20"/>
                <w:szCs w:val="20"/>
              </w:rPr>
            </w:pPr>
            <w:r w:rsidRPr="00505B63">
              <w:rPr>
                <w:b/>
                <w:bCs/>
                <w:color w:val="000000"/>
                <w:sz w:val="20"/>
                <w:szCs w:val="20"/>
              </w:rPr>
              <w:lastRenderedPageBreak/>
              <w:t>1</w:t>
            </w:r>
          </w:p>
        </w:tc>
        <w:tc>
          <w:tcPr>
            <w:tcW w:w="6540" w:type="dxa"/>
            <w:tcBorders>
              <w:top w:val="nil"/>
              <w:left w:val="nil"/>
              <w:bottom w:val="single" w:sz="4" w:space="0" w:color="auto"/>
              <w:right w:val="single" w:sz="4" w:space="0" w:color="auto"/>
            </w:tcBorders>
            <w:shd w:val="clear" w:color="auto" w:fill="auto"/>
            <w:vAlign w:val="bottom"/>
          </w:tcPr>
          <w:p w:rsidR="00505B63" w:rsidRPr="00505B63" w:rsidRDefault="00505B63">
            <w:pPr>
              <w:rPr>
                <w:b/>
                <w:bCs/>
                <w:color w:val="000000"/>
                <w:sz w:val="20"/>
                <w:szCs w:val="20"/>
              </w:rPr>
            </w:pPr>
            <w:r w:rsidRPr="00505B63">
              <w:rPr>
                <w:b/>
                <w:bCs/>
                <w:color w:val="000000"/>
                <w:sz w:val="20"/>
                <w:szCs w:val="20"/>
              </w:rPr>
              <w:t>Apskaičiuotos pagrindinės veiklos kitos pajamos</w:t>
            </w:r>
          </w:p>
        </w:tc>
        <w:tc>
          <w:tcPr>
            <w:tcW w:w="1260" w:type="dxa"/>
            <w:tcBorders>
              <w:top w:val="nil"/>
              <w:left w:val="nil"/>
              <w:bottom w:val="single" w:sz="4" w:space="0" w:color="auto"/>
              <w:right w:val="single" w:sz="4" w:space="0" w:color="auto"/>
            </w:tcBorders>
            <w:shd w:val="clear" w:color="auto" w:fill="auto"/>
            <w:vAlign w:val="bottom"/>
          </w:tcPr>
          <w:p w:rsidR="00505B63" w:rsidRPr="00505B63" w:rsidRDefault="00264DEB">
            <w:pPr>
              <w:jc w:val="right"/>
              <w:rPr>
                <w:b/>
                <w:bCs/>
                <w:color w:val="000000"/>
                <w:sz w:val="20"/>
                <w:szCs w:val="20"/>
              </w:rPr>
            </w:pPr>
            <w:r>
              <w:rPr>
                <w:b/>
                <w:bCs/>
                <w:color w:val="000000"/>
                <w:sz w:val="20"/>
                <w:szCs w:val="20"/>
              </w:rPr>
              <w:t>1220</w:t>
            </w:r>
            <w:r w:rsidR="00F31570">
              <w:rPr>
                <w:b/>
                <w:bCs/>
                <w:color w:val="000000"/>
                <w:sz w:val="20"/>
                <w:szCs w:val="20"/>
              </w:rPr>
              <w:t>231,</w:t>
            </w:r>
            <w:r>
              <w:rPr>
                <w:b/>
                <w:bCs/>
                <w:color w:val="000000"/>
                <w:sz w:val="20"/>
                <w:szCs w:val="20"/>
              </w:rPr>
              <w:t>37</w:t>
            </w:r>
          </w:p>
        </w:tc>
        <w:tc>
          <w:tcPr>
            <w:tcW w:w="1380" w:type="dxa"/>
            <w:tcBorders>
              <w:top w:val="nil"/>
              <w:left w:val="nil"/>
              <w:bottom w:val="single" w:sz="4" w:space="0" w:color="auto"/>
              <w:right w:val="single" w:sz="4" w:space="0" w:color="auto"/>
            </w:tcBorders>
            <w:shd w:val="clear" w:color="auto" w:fill="auto"/>
            <w:vAlign w:val="bottom"/>
          </w:tcPr>
          <w:p w:rsidR="00505B63" w:rsidRPr="00505B63" w:rsidRDefault="00505B63">
            <w:pPr>
              <w:jc w:val="right"/>
              <w:rPr>
                <w:b/>
                <w:bCs/>
                <w:color w:val="000000"/>
                <w:sz w:val="20"/>
                <w:szCs w:val="20"/>
              </w:rPr>
            </w:pPr>
          </w:p>
        </w:tc>
      </w:tr>
      <w:tr w:rsidR="00505B63" w:rsidRPr="00505B63">
        <w:trPr>
          <w:trHeight w:val="300"/>
        </w:trPr>
        <w:tc>
          <w:tcPr>
            <w:tcW w:w="680" w:type="dxa"/>
            <w:tcBorders>
              <w:top w:val="nil"/>
              <w:left w:val="single" w:sz="4" w:space="0" w:color="auto"/>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1.1</w:t>
            </w:r>
          </w:p>
        </w:tc>
        <w:tc>
          <w:tcPr>
            <w:tcW w:w="654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Pajamos iš rinkliavų</w:t>
            </w:r>
          </w:p>
        </w:tc>
        <w:tc>
          <w:tcPr>
            <w:tcW w:w="126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p>
        </w:tc>
      </w:tr>
      <w:tr w:rsidR="00505B63" w:rsidRPr="00505B63">
        <w:trPr>
          <w:trHeight w:val="300"/>
        </w:trPr>
        <w:tc>
          <w:tcPr>
            <w:tcW w:w="680" w:type="dxa"/>
            <w:tcBorders>
              <w:top w:val="nil"/>
              <w:left w:val="single" w:sz="4" w:space="0" w:color="auto"/>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1.2</w:t>
            </w:r>
          </w:p>
        </w:tc>
        <w:tc>
          <w:tcPr>
            <w:tcW w:w="654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Pajamos iš administracinių baudų</w:t>
            </w:r>
          </w:p>
        </w:tc>
        <w:tc>
          <w:tcPr>
            <w:tcW w:w="126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p>
        </w:tc>
      </w:tr>
      <w:tr w:rsidR="00505B63" w:rsidRPr="00505B63">
        <w:trPr>
          <w:trHeight w:val="300"/>
        </w:trPr>
        <w:tc>
          <w:tcPr>
            <w:tcW w:w="680" w:type="dxa"/>
            <w:tcBorders>
              <w:top w:val="nil"/>
              <w:left w:val="single" w:sz="4" w:space="0" w:color="auto"/>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1.3</w:t>
            </w:r>
          </w:p>
        </w:tc>
        <w:tc>
          <w:tcPr>
            <w:tcW w:w="654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Pajamos iš dividendų</w:t>
            </w:r>
          </w:p>
        </w:tc>
        <w:tc>
          <w:tcPr>
            <w:tcW w:w="126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p>
        </w:tc>
      </w:tr>
      <w:tr w:rsidR="00505B63" w:rsidRPr="00505B63">
        <w:trPr>
          <w:trHeight w:val="300"/>
        </w:trPr>
        <w:tc>
          <w:tcPr>
            <w:tcW w:w="680" w:type="dxa"/>
            <w:tcBorders>
              <w:top w:val="nil"/>
              <w:left w:val="single" w:sz="4" w:space="0" w:color="auto"/>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1.4</w:t>
            </w:r>
          </w:p>
        </w:tc>
        <w:tc>
          <w:tcPr>
            <w:tcW w:w="654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Pajamos iš atsargų pardavimo</w:t>
            </w:r>
          </w:p>
        </w:tc>
        <w:tc>
          <w:tcPr>
            <w:tcW w:w="126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p>
        </w:tc>
      </w:tr>
      <w:tr w:rsidR="00505B63" w:rsidRPr="00505B63">
        <w:trPr>
          <w:trHeight w:val="300"/>
        </w:trPr>
        <w:tc>
          <w:tcPr>
            <w:tcW w:w="680" w:type="dxa"/>
            <w:tcBorders>
              <w:top w:val="nil"/>
              <w:left w:val="single" w:sz="4" w:space="0" w:color="auto"/>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1.5</w:t>
            </w:r>
          </w:p>
        </w:tc>
        <w:tc>
          <w:tcPr>
            <w:tcW w:w="654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Ilgalaikio materialiojo, nematerialiojo ir biologinio turto pardavimo pelnas</w:t>
            </w:r>
          </w:p>
        </w:tc>
        <w:tc>
          <w:tcPr>
            <w:tcW w:w="126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p>
        </w:tc>
      </w:tr>
      <w:tr w:rsidR="00505B63" w:rsidRPr="00505B63">
        <w:trPr>
          <w:trHeight w:val="300"/>
        </w:trPr>
        <w:tc>
          <w:tcPr>
            <w:tcW w:w="680" w:type="dxa"/>
            <w:tcBorders>
              <w:top w:val="nil"/>
              <w:left w:val="single" w:sz="4" w:space="0" w:color="auto"/>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1.6</w:t>
            </w:r>
          </w:p>
        </w:tc>
        <w:tc>
          <w:tcPr>
            <w:tcW w:w="654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Suteiktų paslaugų pajamos**</w:t>
            </w:r>
          </w:p>
        </w:tc>
        <w:tc>
          <w:tcPr>
            <w:tcW w:w="1260" w:type="dxa"/>
            <w:tcBorders>
              <w:top w:val="nil"/>
              <w:left w:val="nil"/>
              <w:bottom w:val="single" w:sz="4" w:space="0" w:color="auto"/>
              <w:right w:val="single" w:sz="4" w:space="0" w:color="auto"/>
            </w:tcBorders>
            <w:shd w:val="clear" w:color="auto" w:fill="auto"/>
            <w:vAlign w:val="bottom"/>
          </w:tcPr>
          <w:p w:rsidR="00505B63" w:rsidRPr="00505B63" w:rsidRDefault="00F31570">
            <w:pPr>
              <w:jc w:val="right"/>
              <w:rPr>
                <w:color w:val="000000"/>
                <w:sz w:val="20"/>
                <w:szCs w:val="20"/>
              </w:rPr>
            </w:pPr>
            <w:r>
              <w:rPr>
                <w:color w:val="000000"/>
                <w:sz w:val="20"/>
                <w:szCs w:val="20"/>
              </w:rPr>
              <w:t>1220231,</w:t>
            </w:r>
            <w:r w:rsidR="003652CF">
              <w:rPr>
                <w:color w:val="000000"/>
                <w:sz w:val="20"/>
                <w:szCs w:val="20"/>
              </w:rPr>
              <w:t>37</w:t>
            </w:r>
          </w:p>
        </w:tc>
        <w:tc>
          <w:tcPr>
            <w:tcW w:w="1380" w:type="dxa"/>
            <w:tcBorders>
              <w:top w:val="nil"/>
              <w:left w:val="nil"/>
              <w:bottom w:val="single" w:sz="4" w:space="0" w:color="auto"/>
              <w:right w:val="single" w:sz="4" w:space="0" w:color="auto"/>
            </w:tcBorders>
            <w:shd w:val="clear" w:color="auto" w:fill="auto"/>
            <w:vAlign w:val="bottom"/>
          </w:tcPr>
          <w:p w:rsidR="00505B63" w:rsidRPr="00505B63" w:rsidRDefault="00505B63">
            <w:pPr>
              <w:jc w:val="right"/>
              <w:rPr>
                <w:color w:val="000000"/>
                <w:sz w:val="20"/>
                <w:szCs w:val="20"/>
              </w:rPr>
            </w:pPr>
          </w:p>
        </w:tc>
      </w:tr>
      <w:tr w:rsidR="00505B63" w:rsidRPr="00505B63">
        <w:trPr>
          <w:trHeight w:val="300"/>
        </w:trPr>
        <w:tc>
          <w:tcPr>
            <w:tcW w:w="680" w:type="dxa"/>
            <w:tcBorders>
              <w:top w:val="nil"/>
              <w:left w:val="single" w:sz="4" w:space="0" w:color="auto"/>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1.6.1</w:t>
            </w:r>
          </w:p>
        </w:tc>
        <w:tc>
          <w:tcPr>
            <w:tcW w:w="654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Suteiktų paslaugų, išskyrus nuomą, pajamos</w:t>
            </w:r>
          </w:p>
        </w:tc>
        <w:tc>
          <w:tcPr>
            <w:tcW w:w="1260" w:type="dxa"/>
            <w:tcBorders>
              <w:top w:val="nil"/>
              <w:left w:val="nil"/>
              <w:bottom w:val="single" w:sz="4" w:space="0" w:color="auto"/>
              <w:right w:val="single" w:sz="4" w:space="0" w:color="auto"/>
            </w:tcBorders>
            <w:shd w:val="clear" w:color="auto" w:fill="auto"/>
            <w:vAlign w:val="bottom"/>
          </w:tcPr>
          <w:p w:rsidR="00505B63" w:rsidRPr="00505B63" w:rsidRDefault="00F31570">
            <w:pPr>
              <w:jc w:val="right"/>
              <w:rPr>
                <w:color w:val="000000"/>
                <w:sz w:val="20"/>
                <w:szCs w:val="20"/>
              </w:rPr>
            </w:pPr>
            <w:r>
              <w:rPr>
                <w:color w:val="000000"/>
                <w:sz w:val="20"/>
                <w:szCs w:val="20"/>
              </w:rPr>
              <w:t>1220231,</w:t>
            </w:r>
            <w:r w:rsidR="003652CF">
              <w:rPr>
                <w:color w:val="000000"/>
                <w:sz w:val="20"/>
                <w:szCs w:val="20"/>
              </w:rPr>
              <w:t>37</w:t>
            </w:r>
          </w:p>
        </w:tc>
        <w:tc>
          <w:tcPr>
            <w:tcW w:w="1380" w:type="dxa"/>
            <w:tcBorders>
              <w:top w:val="nil"/>
              <w:left w:val="nil"/>
              <w:bottom w:val="single" w:sz="4" w:space="0" w:color="auto"/>
              <w:right w:val="single" w:sz="4" w:space="0" w:color="auto"/>
            </w:tcBorders>
            <w:shd w:val="clear" w:color="auto" w:fill="auto"/>
            <w:vAlign w:val="bottom"/>
          </w:tcPr>
          <w:p w:rsidR="00505B63" w:rsidRPr="00505B63" w:rsidRDefault="00505B63">
            <w:pPr>
              <w:jc w:val="right"/>
              <w:rPr>
                <w:color w:val="000000"/>
                <w:sz w:val="20"/>
                <w:szCs w:val="20"/>
              </w:rPr>
            </w:pPr>
          </w:p>
        </w:tc>
      </w:tr>
      <w:tr w:rsidR="00505B63" w:rsidRPr="00505B63">
        <w:trPr>
          <w:trHeight w:val="300"/>
        </w:trPr>
        <w:tc>
          <w:tcPr>
            <w:tcW w:w="680" w:type="dxa"/>
            <w:tcBorders>
              <w:top w:val="nil"/>
              <w:left w:val="single" w:sz="4" w:space="0" w:color="auto"/>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1.6.2</w:t>
            </w:r>
          </w:p>
        </w:tc>
        <w:tc>
          <w:tcPr>
            <w:tcW w:w="654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Nuomos pajamos (pagrindinė veikla)</w:t>
            </w:r>
          </w:p>
        </w:tc>
        <w:tc>
          <w:tcPr>
            <w:tcW w:w="126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p>
        </w:tc>
      </w:tr>
      <w:tr w:rsidR="00505B63" w:rsidRPr="00505B63">
        <w:trPr>
          <w:trHeight w:val="300"/>
        </w:trPr>
        <w:tc>
          <w:tcPr>
            <w:tcW w:w="680" w:type="dxa"/>
            <w:tcBorders>
              <w:top w:val="nil"/>
              <w:left w:val="single" w:sz="4" w:space="0" w:color="auto"/>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1.7</w:t>
            </w:r>
          </w:p>
        </w:tc>
        <w:tc>
          <w:tcPr>
            <w:tcW w:w="654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Kitos</w:t>
            </w:r>
          </w:p>
        </w:tc>
        <w:tc>
          <w:tcPr>
            <w:tcW w:w="126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r w:rsidRPr="00505B63">
              <w:rPr>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tcPr>
          <w:p w:rsidR="00505B63" w:rsidRPr="00505B63" w:rsidRDefault="00505B63">
            <w:pPr>
              <w:rPr>
                <w:color w:val="000000"/>
                <w:sz w:val="20"/>
                <w:szCs w:val="20"/>
              </w:rPr>
            </w:pPr>
          </w:p>
        </w:tc>
      </w:tr>
      <w:tr w:rsidR="00505B63" w:rsidRPr="00505B63">
        <w:trPr>
          <w:trHeight w:val="285"/>
        </w:trPr>
        <w:tc>
          <w:tcPr>
            <w:tcW w:w="680" w:type="dxa"/>
            <w:tcBorders>
              <w:top w:val="nil"/>
              <w:left w:val="single" w:sz="4" w:space="0" w:color="auto"/>
              <w:bottom w:val="single" w:sz="4" w:space="0" w:color="auto"/>
              <w:right w:val="single" w:sz="4" w:space="0" w:color="auto"/>
            </w:tcBorders>
            <w:shd w:val="clear" w:color="auto" w:fill="auto"/>
            <w:vAlign w:val="bottom"/>
          </w:tcPr>
          <w:p w:rsidR="00505B63" w:rsidRPr="00505B63" w:rsidRDefault="00505B63">
            <w:pPr>
              <w:rPr>
                <w:b/>
                <w:bCs/>
                <w:color w:val="000000"/>
                <w:sz w:val="20"/>
                <w:szCs w:val="20"/>
              </w:rPr>
            </w:pPr>
            <w:r w:rsidRPr="00505B63">
              <w:rPr>
                <w:b/>
                <w:bCs/>
                <w:color w:val="000000"/>
                <w:sz w:val="20"/>
                <w:szCs w:val="20"/>
              </w:rPr>
              <w:t>2</w:t>
            </w:r>
          </w:p>
        </w:tc>
        <w:tc>
          <w:tcPr>
            <w:tcW w:w="6540" w:type="dxa"/>
            <w:tcBorders>
              <w:top w:val="nil"/>
              <w:left w:val="nil"/>
              <w:bottom w:val="single" w:sz="4" w:space="0" w:color="auto"/>
              <w:right w:val="single" w:sz="4" w:space="0" w:color="auto"/>
            </w:tcBorders>
            <w:shd w:val="clear" w:color="auto" w:fill="auto"/>
            <w:vAlign w:val="bottom"/>
          </w:tcPr>
          <w:p w:rsidR="00505B63" w:rsidRPr="00505B63" w:rsidRDefault="00505B63">
            <w:pPr>
              <w:rPr>
                <w:b/>
                <w:bCs/>
                <w:color w:val="000000"/>
                <w:sz w:val="20"/>
                <w:szCs w:val="20"/>
              </w:rPr>
            </w:pPr>
            <w:r w:rsidRPr="00505B63">
              <w:rPr>
                <w:b/>
                <w:bCs/>
                <w:color w:val="000000"/>
                <w:sz w:val="20"/>
                <w:szCs w:val="20"/>
              </w:rPr>
              <w:t>Pervestinos į biudžetą pagrindinės veiklos kitos pajamos</w:t>
            </w:r>
          </w:p>
        </w:tc>
        <w:tc>
          <w:tcPr>
            <w:tcW w:w="1260" w:type="dxa"/>
            <w:tcBorders>
              <w:top w:val="nil"/>
              <w:left w:val="nil"/>
              <w:bottom w:val="single" w:sz="4" w:space="0" w:color="auto"/>
              <w:right w:val="single" w:sz="4" w:space="0" w:color="auto"/>
            </w:tcBorders>
            <w:shd w:val="clear" w:color="auto" w:fill="auto"/>
            <w:vAlign w:val="bottom"/>
          </w:tcPr>
          <w:p w:rsidR="00505B63" w:rsidRPr="00505B63" w:rsidRDefault="00505B63">
            <w:pPr>
              <w:rPr>
                <w:b/>
                <w:bCs/>
                <w:color w:val="000000"/>
                <w:sz w:val="20"/>
                <w:szCs w:val="20"/>
              </w:rPr>
            </w:pPr>
            <w:r w:rsidRPr="00505B63">
              <w:rPr>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bottom"/>
          </w:tcPr>
          <w:p w:rsidR="00505B63" w:rsidRPr="00505B63" w:rsidRDefault="00505B63">
            <w:pPr>
              <w:rPr>
                <w:b/>
                <w:bCs/>
                <w:color w:val="000000"/>
                <w:sz w:val="20"/>
                <w:szCs w:val="20"/>
              </w:rPr>
            </w:pPr>
          </w:p>
        </w:tc>
      </w:tr>
      <w:tr w:rsidR="00505B63" w:rsidRPr="00505B63">
        <w:trPr>
          <w:trHeight w:val="285"/>
        </w:trPr>
        <w:tc>
          <w:tcPr>
            <w:tcW w:w="680" w:type="dxa"/>
            <w:tcBorders>
              <w:top w:val="nil"/>
              <w:left w:val="single" w:sz="4" w:space="0" w:color="auto"/>
              <w:bottom w:val="single" w:sz="4" w:space="0" w:color="auto"/>
              <w:right w:val="single" w:sz="4" w:space="0" w:color="auto"/>
            </w:tcBorders>
            <w:shd w:val="clear" w:color="auto" w:fill="auto"/>
            <w:vAlign w:val="bottom"/>
          </w:tcPr>
          <w:p w:rsidR="00505B63" w:rsidRPr="00505B63" w:rsidRDefault="00505B63">
            <w:pPr>
              <w:rPr>
                <w:b/>
                <w:bCs/>
                <w:color w:val="000000"/>
                <w:sz w:val="20"/>
                <w:szCs w:val="20"/>
              </w:rPr>
            </w:pPr>
            <w:r w:rsidRPr="00505B63">
              <w:rPr>
                <w:b/>
                <w:bCs/>
                <w:color w:val="000000"/>
                <w:sz w:val="20"/>
                <w:szCs w:val="20"/>
              </w:rPr>
              <w:t>3</w:t>
            </w:r>
          </w:p>
        </w:tc>
        <w:tc>
          <w:tcPr>
            <w:tcW w:w="6540" w:type="dxa"/>
            <w:tcBorders>
              <w:top w:val="nil"/>
              <w:left w:val="nil"/>
              <w:bottom w:val="single" w:sz="4" w:space="0" w:color="auto"/>
              <w:right w:val="single" w:sz="4" w:space="0" w:color="auto"/>
            </w:tcBorders>
            <w:shd w:val="clear" w:color="auto" w:fill="auto"/>
            <w:vAlign w:val="bottom"/>
          </w:tcPr>
          <w:p w:rsidR="00505B63" w:rsidRPr="00505B63" w:rsidRDefault="00505B63">
            <w:pPr>
              <w:rPr>
                <w:b/>
                <w:bCs/>
                <w:color w:val="000000"/>
                <w:sz w:val="20"/>
                <w:szCs w:val="20"/>
              </w:rPr>
            </w:pPr>
            <w:r w:rsidRPr="00505B63">
              <w:rPr>
                <w:b/>
                <w:bCs/>
                <w:color w:val="000000"/>
                <w:sz w:val="20"/>
                <w:szCs w:val="20"/>
              </w:rPr>
              <w:t>Pagrindinės veiklos kitos pajamos</w:t>
            </w:r>
          </w:p>
        </w:tc>
        <w:tc>
          <w:tcPr>
            <w:tcW w:w="1260" w:type="dxa"/>
            <w:tcBorders>
              <w:top w:val="nil"/>
              <w:left w:val="nil"/>
              <w:bottom w:val="single" w:sz="4" w:space="0" w:color="auto"/>
              <w:right w:val="single" w:sz="4" w:space="0" w:color="auto"/>
            </w:tcBorders>
            <w:shd w:val="clear" w:color="auto" w:fill="auto"/>
            <w:vAlign w:val="bottom"/>
          </w:tcPr>
          <w:p w:rsidR="00505B63" w:rsidRPr="00505B63" w:rsidRDefault="00F31570">
            <w:pPr>
              <w:jc w:val="right"/>
              <w:rPr>
                <w:b/>
                <w:bCs/>
                <w:color w:val="000000"/>
                <w:sz w:val="20"/>
                <w:szCs w:val="20"/>
              </w:rPr>
            </w:pPr>
            <w:r>
              <w:rPr>
                <w:b/>
                <w:bCs/>
                <w:color w:val="000000"/>
                <w:sz w:val="20"/>
                <w:szCs w:val="20"/>
              </w:rPr>
              <w:t>1220231,</w:t>
            </w:r>
            <w:r w:rsidR="003652CF">
              <w:rPr>
                <w:b/>
                <w:bCs/>
                <w:color w:val="000000"/>
                <w:sz w:val="20"/>
                <w:szCs w:val="20"/>
              </w:rPr>
              <w:t>37</w:t>
            </w:r>
          </w:p>
        </w:tc>
        <w:tc>
          <w:tcPr>
            <w:tcW w:w="1380" w:type="dxa"/>
            <w:tcBorders>
              <w:top w:val="nil"/>
              <w:left w:val="nil"/>
              <w:bottom w:val="single" w:sz="4" w:space="0" w:color="auto"/>
              <w:right w:val="single" w:sz="4" w:space="0" w:color="auto"/>
            </w:tcBorders>
            <w:shd w:val="clear" w:color="auto" w:fill="auto"/>
            <w:vAlign w:val="bottom"/>
          </w:tcPr>
          <w:p w:rsidR="00505B63" w:rsidRPr="00505B63" w:rsidRDefault="00505B63">
            <w:pPr>
              <w:jc w:val="right"/>
              <w:rPr>
                <w:b/>
                <w:bCs/>
                <w:color w:val="000000"/>
                <w:sz w:val="20"/>
                <w:szCs w:val="20"/>
              </w:rPr>
            </w:pPr>
          </w:p>
        </w:tc>
      </w:tr>
    </w:tbl>
    <w:p w:rsidR="00505B63" w:rsidRDefault="00505B63" w:rsidP="00CF1D4C">
      <w:pPr>
        <w:spacing w:after="100" w:afterAutospacing="1"/>
        <w:jc w:val="center"/>
      </w:pPr>
    </w:p>
    <w:p w:rsidR="00B635FD" w:rsidRPr="00172326" w:rsidRDefault="00F10EC6" w:rsidP="00505B63">
      <w:pPr>
        <w:spacing w:after="100" w:afterAutospacing="1"/>
        <w:ind w:firstLine="709"/>
        <w:rPr>
          <w:b/>
          <w:bCs/>
          <w:color w:val="000000"/>
        </w:rPr>
      </w:pPr>
      <w:r w:rsidRPr="00172326">
        <w:rPr>
          <w:b/>
          <w:bCs/>
          <w:color w:val="000000"/>
        </w:rPr>
        <w:t>Pagrindinės veiklos sąnaudos</w:t>
      </w:r>
      <w:r w:rsidR="00505B63">
        <w:rPr>
          <w:b/>
          <w:bCs/>
          <w:color w:val="000000"/>
        </w:rPr>
        <w:t xml:space="preserve"> (P02)</w:t>
      </w:r>
    </w:p>
    <w:p w:rsidR="00B30A3A" w:rsidRDefault="002612A8" w:rsidP="00FD3647">
      <w:pPr>
        <w:ind w:firstLine="709"/>
        <w:jc w:val="both"/>
      </w:pPr>
      <w:r>
        <w:t xml:space="preserve">Įstaigos veiklos rezultatų ataskaitoje pagrindinės veiklos sąnaudos rodomos pagal Lietuvos Respublikos valstybės ir savivaldybių biudžetų pajamų ir išlaidų klasifikacijos, patvirtintos Lietuvos Respublikos finansų ministro 2005 m. rugsėjo 29 d. įsakymu Nr. </w:t>
      </w:r>
      <w:r w:rsidR="005B3245">
        <w:t>1K-280, III</w:t>
      </w:r>
      <w:r>
        <w:t xml:space="preserve"> skyriuje „Valstybės funkcijų klasifikacija“ nustatytas pagrindines valstybės funkcijas.</w:t>
      </w:r>
      <w:r w:rsidR="00B30A3A">
        <w:t xml:space="preserve"> </w:t>
      </w:r>
      <w:r w:rsidR="00B30A3A" w:rsidRPr="00B30A3A">
        <w:t>Įstaiga išskiria pirminį veiklos segmentą – sveikatos priežiūrą. Apie šį segmentą pateikiama tokia informacija: segmento sąnaudos, segmento pinigų srautai. Įstaigos antriniai segmentai (socialinė apsauga) yra labai nežymus ir sudaro mažą procentą nuo bendųjų įstaigos pajamų ir atskiros apskaitos antrinių segmentų apskaitai nataikoma.</w:t>
      </w:r>
    </w:p>
    <w:p w:rsidR="00F35815" w:rsidRDefault="002612A8" w:rsidP="00FD3647">
      <w:pPr>
        <w:ind w:firstLine="709"/>
        <w:jc w:val="both"/>
        <w:rPr>
          <w:rStyle w:val="FontStyle172"/>
          <w:bCs/>
          <w:sz w:val="24"/>
          <w:szCs w:val="24"/>
        </w:rPr>
      </w:pPr>
      <w:r>
        <w:t>Šio aiškinamojo rašto priede detalizuojami įstai</w:t>
      </w:r>
      <w:r w:rsidR="000077ED">
        <w:t>g</w:t>
      </w:r>
      <w:r>
        <w:t>os 201</w:t>
      </w:r>
      <w:r w:rsidR="00861DAB">
        <w:t>3</w:t>
      </w:r>
      <w:r>
        <w:t xml:space="preserve"> m. patirtos sąnaudos pagal valstybės funkcijas. Per ataskaitinį laikotarpį įstaiga patyrė </w:t>
      </w:r>
      <w:r w:rsidR="00861DAB">
        <w:t>1</w:t>
      </w:r>
      <w:r w:rsidR="005B3245">
        <w:t xml:space="preserve"> </w:t>
      </w:r>
      <w:r w:rsidR="00861DAB">
        <w:t>303</w:t>
      </w:r>
      <w:r w:rsidR="005B3245">
        <w:t xml:space="preserve"> 003,</w:t>
      </w:r>
      <w:r w:rsidR="00861DAB">
        <w:t>58</w:t>
      </w:r>
      <w:r w:rsidR="005B3245">
        <w:t xml:space="preserve"> Lt</w:t>
      </w:r>
      <w:r w:rsidR="000077ED">
        <w:t xml:space="preserve"> pagrindinės veiklos sąnaudų. </w:t>
      </w:r>
      <w:r w:rsidR="00FD3647">
        <w:t>Didžiausią dalį i</w:t>
      </w:r>
      <w:r w:rsidRPr="002612A8">
        <w:rPr>
          <w:rStyle w:val="FontStyle172"/>
          <w:bCs/>
          <w:sz w:val="24"/>
          <w:szCs w:val="24"/>
        </w:rPr>
        <w:t xml:space="preserve">š jų </w:t>
      </w:r>
      <w:r w:rsidR="00FD3647">
        <w:rPr>
          <w:rStyle w:val="FontStyle172"/>
          <w:bCs/>
          <w:sz w:val="24"/>
          <w:szCs w:val="24"/>
        </w:rPr>
        <w:t>(</w:t>
      </w:r>
      <w:r w:rsidR="005B3245">
        <w:rPr>
          <w:rStyle w:val="FontStyle172"/>
          <w:bCs/>
          <w:sz w:val="24"/>
          <w:szCs w:val="24"/>
        </w:rPr>
        <w:t>74,</w:t>
      </w:r>
      <w:r w:rsidR="00FB260F">
        <w:rPr>
          <w:rStyle w:val="FontStyle172"/>
          <w:bCs/>
          <w:sz w:val="24"/>
          <w:szCs w:val="24"/>
        </w:rPr>
        <w:t>6</w:t>
      </w:r>
      <w:r w:rsidRPr="002612A8">
        <w:rPr>
          <w:rStyle w:val="FontStyle172"/>
          <w:bCs/>
          <w:sz w:val="24"/>
          <w:szCs w:val="24"/>
        </w:rPr>
        <w:t xml:space="preserve"> proc.</w:t>
      </w:r>
      <w:r w:rsidR="00FD3647">
        <w:rPr>
          <w:rStyle w:val="FontStyle172"/>
          <w:bCs/>
          <w:sz w:val="24"/>
          <w:szCs w:val="24"/>
        </w:rPr>
        <w:t>)</w:t>
      </w:r>
      <w:r w:rsidRPr="002612A8">
        <w:rPr>
          <w:rStyle w:val="FontStyle172"/>
          <w:bCs/>
          <w:sz w:val="24"/>
          <w:szCs w:val="24"/>
        </w:rPr>
        <w:t xml:space="preserve"> sudarė d</w:t>
      </w:r>
      <w:r w:rsidR="000163FB" w:rsidRPr="002612A8">
        <w:rPr>
          <w:rStyle w:val="FontStyle172"/>
          <w:bCs/>
          <w:sz w:val="24"/>
          <w:szCs w:val="24"/>
        </w:rPr>
        <w:t xml:space="preserve">arbo užmokesčio ir socialinio draudimo sąnaudos </w:t>
      </w:r>
      <w:r w:rsidR="005B3245">
        <w:rPr>
          <w:rStyle w:val="FontStyle172"/>
          <w:bCs/>
          <w:sz w:val="24"/>
          <w:szCs w:val="24"/>
        </w:rPr>
        <w:br/>
      </w:r>
      <w:r w:rsidR="00007422">
        <w:rPr>
          <w:rStyle w:val="FontStyle172"/>
          <w:bCs/>
          <w:sz w:val="24"/>
          <w:szCs w:val="24"/>
        </w:rPr>
        <w:t>971</w:t>
      </w:r>
      <w:r w:rsidR="005B3245">
        <w:rPr>
          <w:rStyle w:val="FontStyle172"/>
          <w:bCs/>
          <w:sz w:val="24"/>
          <w:szCs w:val="24"/>
        </w:rPr>
        <w:t xml:space="preserve"> 541,</w:t>
      </w:r>
      <w:r w:rsidR="00007422">
        <w:rPr>
          <w:rStyle w:val="FontStyle172"/>
          <w:bCs/>
          <w:sz w:val="24"/>
          <w:szCs w:val="24"/>
        </w:rPr>
        <w:t>39</w:t>
      </w:r>
      <w:r w:rsidR="000163FB" w:rsidRPr="002612A8">
        <w:rPr>
          <w:rStyle w:val="FontStyle172"/>
          <w:bCs/>
          <w:sz w:val="24"/>
          <w:szCs w:val="24"/>
        </w:rPr>
        <w:t xml:space="preserve"> Lt</w:t>
      </w:r>
      <w:r w:rsidR="00505B63">
        <w:rPr>
          <w:rStyle w:val="FontStyle172"/>
          <w:bCs/>
          <w:sz w:val="24"/>
          <w:szCs w:val="24"/>
        </w:rPr>
        <w:t xml:space="preserve"> (10 priedas).</w:t>
      </w:r>
      <w:r w:rsidR="00B30A3A">
        <w:rPr>
          <w:rStyle w:val="FontStyle172"/>
          <w:bCs/>
          <w:sz w:val="24"/>
          <w:szCs w:val="24"/>
        </w:rPr>
        <w:t xml:space="preserve"> Likusią dalį sąnaudų </w:t>
      </w:r>
      <w:r w:rsidR="005B3245">
        <w:rPr>
          <w:rStyle w:val="FontStyle172"/>
          <w:bCs/>
          <w:sz w:val="24"/>
          <w:szCs w:val="24"/>
        </w:rPr>
        <w:t>11,</w:t>
      </w:r>
      <w:r w:rsidR="00331483">
        <w:rPr>
          <w:rStyle w:val="FontStyle172"/>
          <w:bCs/>
          <w:sz w:val="24"/>
          <w:szCs w:val="24"/>
        </w:rPr>
        <w:t>0</w:t>
      </w:r>
      <w:r w:rsidR="00FD3647">
        <w:rPr>
          <w:rStyle w:val="FontStyle172"/>
          <w:bCs/>
          <w:sz w:val="24"/>
          <w:szCs w:val="24"/>
        </w:rPr>
        <w:t xml:space="preserve"> proc. sudarė sunaudotų atsargų savikaina</w:t>
      </w:r>
      <w:r w:rsidR="00FB144C">
        <w:rPr>
          <w:rStyle w:val="FontStyle172"/>
          <w:bCs/>
          <w:sz w:val="24"/>
          <w:szCs w:val="24"/>
        </w:rPr>
        <w:t xml:space="preserve"> </w:t>
      </w:r>
      <w:r w:rsidR="005B3245">
        <w:rPr>
          <w:rStyle w:val="FontStyle172"/>
          <w:bCs/>
          <w:sz w:val="24"/>
          <w:szCs w:val="24"/>
        </w:rPr>
        <w:br/>
      </w:r>
      <w:r w:rsidR="00FB144C">
        <w:rPr>
          <w:rStyle w:val="FontStyle172"/>
          <w:bCs/>
          <w:sz w:val="24"/>
          <w:szCs w:val="24"/>
        </w:rPr>
        <w:t>(</w:t>
      </w:r>
      <w:r w:rsidR="00331483">
        <w:rPr>
          <w:rStyle w:val="FontStyle172"/>
          <w:bCs/>
          <w:sz w:val="24"/>
          <w:szCs w:val="24"/>
        </w:rPr>
        <w:t>141</w:t>
      </w:r>
      <w:r w:rsidR="005B3245">
        <w:rPr>
          <w:rStyle w:val="FontStyle172"/>
          <w:bCs/>
          <w:sz w:val="24"/>
          <w:szCs w:val="24"/>
        </w:rPr>
        <w:t xml:space="preserve"> 295,</w:t>
      </w:r>
      <w:r w:rsidR="00331483">
        <w:rPr>
          <w:rStyle w:val="FontStyle172"/>
          <w:bCs/>
          <w:sz w:val="24"/>
          <w:szCs w:val="24"/>
        </w:rPr>
        <w:t>50</w:t>
      </w:r>
      <w:r w:rsidR="00FB144C">
        <w:rPr>
          <w:rStyle w:val="FontStyle172"/>
          <w:bCs/>
          <w:sz w:val="24"/>
          <w:szCs w:val="24"/>
        </w:rPr>
        <w:t xml:space="preserve"> Lt), </w:t>
      </w:r>
      <w:r w:rsidR="00331483">
        <w:rPr>
          <w:rStyle w:val="FontStyle172"/>
          <w:bCs/>
          <w:sz w:val="24"/>
          <w:szCs w:val="24"/>
        </w:rPr>
        <w:t>5.</w:t>
      </w:r>
      <w:r w:rsidR="00491CA4">
        <w:rPr>
          <w:rStyle w:val="FontStyle172"/>
          <w:bCs/>
          <w:sz w:val="24"/>
          <w:szCs w:val="24"/>
        </w:rPr>
        <w:t>6</w:t>
      </w:r>
      <w:r w:rsidR="00FB144C">
        <w:rPr>
          <w:rStyle w:val="FontStyle172"/>
          <w:bCs/>
          <w:sz w:val="24"/>
          <w:szCs w:val="24"/>
        </w:rPr>
        <w:t xml:space="preserve"> proc. visų sąnaudų sudarė k</w:t>
      </w:r>
      <w:r w:rsidR="00BB2612">
        <w:rPr>
          <w:rStyle w:val="FontStyle172"/>
          <w:bCs/>
          <w:sz w:val="24"/>
          <w:szCs w:val="24"/>
        </w:rPr>
        <w:t>omunalinių paslaugų ir ryšių sąnaud</w:t>
      </w:r>
      <w:r w:rsidR="00FB144C">
        <w:rPr>
          <w:rStyle w:val="FontStyle172"/>
          <w:bCs/>
          <w:sz w:val="24"/>
          <w:szCs w:val="24"/>
        </w:rPr>
        <w:t>os</w:t>
      </w:r>
      <w:r w:rsidR="00BB2612">
        <w:rPr>
          <w:rStyle w:val="FontStyle172"/>
          <w:bCs/>
          <w:sz w:val="24"/>
          <w:szCs w:val="24"/>
        </w:rPr>
        <w:t xml:space="preserve">: </w:t>
      </w:r>
      <w:r w:rsidR="005B3245">
        <w:rPr>
          <w:rStyle w:val="FontStyle172"/>
          <w:bCs/>
          <w:sz w:val="24"/>
          <w:szCs w:val="24"/>
        </w:rPr>
        <w:br/>
      </w:r>
      <w:r w:rsidR="00331483">
        <w:rPr>
          <w:rStyle w:val="FontStyle172"/>
          <w:bCs/>
          <w:sz w:val="24"/>
          <w:szCs w:val="24"/>
        </w:rPr>
        <w:t>37</w:t>
      </w:r>
      <w:r w:rsidR="005B3245">
        <w:rPr>
          <w:rStyle w:val="FontStyle172"/>
          <w:bCs/>
          <w:sz w:val="24"/>
          <w:szCs w:val="24"/>
        </w:rPr>
        <w:t xml:space="preserve"> 480,</w:t>
      </w:r>
      <w:r w:rsidR="00331483">
        <w:rPr>
          <w:rStyle w:val="FontStyle172"/>
          <w:bCs/>
          <w:sz w:val="24"/>
          <w:szCs w:val="24"/>
        </w:rPr>
        <w:t>00</w:t>
      </w:r>
      <w:r w:rsidR="00BB2612">
        <w:rPr>
          <w:rStyle w:val="FontStyle172"/>
          <w:bCs/>
          <w:sz w:val="24"/>
          <w:szCs w:val="24"/>
        </w:rPr>
        <w:t xml:space="preserve"> </w:t>
      </w:r>
      <w:r w:rsidR="005B3245">
        <w:rPr>
          <w:rStyle w:val="FontStyle172"/>
          <w:bCs/>
          <w:sz w:val="24"/>
          <w:szCs w:val="24"/>
        </w:rPr>
        <w:t xml:space="preserve">Lt </w:t>
      </w:r>
      <w:r w:rsidR="00BB2612">
        <w:rPr>
          <w:rStyle w:val="FontStyle172"/>
          <w:bCs/>
          <w:sz w:val="24"/>
          <w:szCs w:val="24"/>
        </w:rPr>
        <w:t xml:space="preserve">šildymo sąnaudos, </w:t>
      </w:r>
      <w:r w:rsidR="00331483">
        <w:rPr>
          <w:rStyle w:val="FontStyle172"/>
          <w:bCs/>
          <w:sz w:val="24"/>
          <w:szCs w:val="24"/>
        </w:rPr>
        <w:t>20</w:t>
      </w:r>
      <w:r w:rsidR="005B3245">
        <w:rPr>
          <w:rStyle w:val="FontStyle172"/>
          <w:bCs/>
          <w:sz w:val="24"/>
          <w:szCs w:val="24"/>
        </w:rPr>
        <w:t xml:space="preserve"> 484,</w:t>
      </w:r>
      <w:r w:rsidR="00331483">
        <w:rPr>
          <w:rStyle w:val="FontStyle172"/>
          <w:bCs/>
          <w:sz w:val="24"/>
          <w:szCs w:val="24"/>
        </w:rPr>
        <w:t>27</w:t>
      </w:r>
      <w:r w:rsidR="00BB2612">
        <w:rPr>
          <w:rStyle w:val="FontStyle172"/>
          <w:bCs/>
          <w:sz w:val="24"/>
          <w:szCs w:val="24"/>
        </w:rPr>
        <w:t xml:space="preserve"> Lt elektros energijos sąnaudos, </w:t>
      </w:r>
      <w:r w:rsidR="00331483">
        <w:rPr>
          <w:rStyle w:val="FontStyle172"/>
          <w:bCs/>
          <w:sz w:val="24"/>
          <w:szCs w:val="24"/>
        </w:rPr>
        <w:t>4</w:t>
      </w:r>
      <w:r w:rsidR="005B3245">
        <w:rPr>
          <w:rStyle w:val="FontStyle172"/>
          <w:bCs/>
          <w:sz w:val="24"/>
          <w:szCs w:val="24"/>
        </w:rPr>
        <w:t xml:space="preserve"> 770,</w:t>
      </w:r>
      <w:r w:rsidR="00331483">
        <w:rPr>
          <w:rStyle w:val="FontStyle172"/>
          <w:bCs/>
          <w:sz w:val="24"/>
          <w:szCs w:val="24"/>
        </w:rPr>
        <w:t>66</w:t>
      </w:r>
      <w:r w:rsidR="00BB2612">
        <w:rPr>
          <w:rStyle w:val="FontStyle172"/>
          <w:bCs/>
          <w:sz w:val="24"/>
          <w:szCs w:val="24"/>
        </w:rPr>
        <w:t xml:space="preserve"> Lt vandenti</w:t>
      </w:r>
      <w:r w:rsidR="00FB144C">
        <w:rPr>
          <w:rStyle w:val="FontStyle172"/>
          <w:bCs/>
          <w:sz w:val="24"/>
          <w:szCs w:val="24"/>
        </w:rPr>
        <w:t>e</w:t>
      </w:r>
      <w:r w:rsidR="00BB2612">
        <w:rPr>
          <w:rStyle w:val="FontStyle172"/>
          <w:bCs/>
          <w:sz w:val="24"/>
          <w:szCs w:val="24"/>
        </w:rPr>
        <w:t xml:space="preserve">kio ir kanalizacijos sąnaudos, </w:t>
      </w:r>
      <w:r w:rsidR="00331483">
        <w:rPr>
          <w:rStyle w:val="FontStyle172"/>
          <w:bCs/>
          <w:sz w:val="24"/>
          <w:szCs w:val="24"/>
        </w:rPr>
        <w:t>7</w:t>
      </w:r>
      <w:r w:rsidR="005B3245">
        <w:rPr>
          <w:rStyle w:val="FontStyle172"/>
          <w:bCs/>
          <w:sz w:val="24"/>
          <w:szCs w:val="24"/>
        </w:rPr>
        <w:t xml:space="preserve"> 866,</w:t>
      </w:r>
      <w:r w:rsidR="00331483">
        <w:rPr>
          <w:rStyle w:val="FontStyle172"/>
          <w:bCs/>
          <w:sz w:val="24"/>
          <w:szCs w:val="24"/>
        </w:rPr>
        <w:t>30</w:t>
      </w:r>
      <w:r w:rsidR="00BB2612">
        <w:rPr>
          <w:rStyle w:val="FontStyle172"/>
          <w:bCs/>
          <w:sz w:val="24"/>
          <w:szCs w:val="24"/>
        </w:rPr>
        <w:t xml:space="preserve"> Lt ryšių sąnaudos ir </w:t>
      </w:r>
      <w:r w:rsidR="00331483">
        <w:rPr>
          <w:rStyle w:val="FontStyle172"/>
          <w:bCs/>
          <w:sz w:val="24"/>
          <w:szCs w:val="24"/>
        </w:rPr>
        <w:t>2</w:t>
      </w:r>
      <w:r w:rsidR="005B3245">
        <w:rPr>
          <w:rStyle w:val="FontStyle172"/>
          <w:bCs/>
          <w:sz w:val="24"/>
          <w:szCs w:val="24"/>
        </w:rPr>
        <w:t xml:space="preserve"> 193,</w:t>
      </w:r>
      <w:r w:rsidR="00331483">
        <w:rPr>
          <w:rStyle w:val="FontStyle172"/>
          <w:bCs/>
          <w:sz w:val="24"/>
          <w:szCs w:val="24"/>
        </w:rPr>
        <w:t>44</w:t>
      </w:r>
      <w:r w:rsidR="00BB2612">
        <w:rPr>
          <w:rStyle w:val="FontStyle172"/>
          <w:bCs/>
          <w:sz w:val="24"/>
          <w:szCs w:val="24"/>
        </w:rPr>
        <w:t xml:space="preserve"> Lt kitos komunalinės sąnaudos. </w:t>
      </w:r>
    </w:p>
    <w:p w:rsidR="00FB144C" w:rsidRPr="00E772F1" w:rsidRDefault="00FB144C" w:rsidP="00E772F1">
      <w:pPr>
        <w:spacing w:before="240" w:after="240"/>
        <w:ind w:firstLine="851"/>
        <w:jc w:val="both"/>
        <w:rPr>
          <w:b/>
          <w:bCs/>
          <w:color w:val="000000"/>
        </w:rPr>
      </w:pPr>
      <w:r w:rsidRPr="00E772F1">
        <w:rPr>
          <w:b/>
          <w:bCs/>
          <w:color w:val="000000"/>
        </w:rPr>
        <w:t xml:space="preserve">Finansinės </w:t>
      </w:r>
      <w:r w:rsidR="00E772F1" w:rsidRPr="00E772F1">
        <w:rPr>
          <w:b/>
          <w:bCs/>
          <w:color w:val="000000"/>
        </w:rPr>
        <w:t>investicinės veiklos rezultatas</w:t>
      </w:r>
      <w:r w:rsidR="00505B63">
        <w:rPr>
          <w:b/>
          <w:bCs/>
          <w:color w:val="000000"/>
        </w:rPr>
        <w:t xml:space="preserve"> (P23)</w:t>
      </w:r>
    </w:p>
    <w:p w:rsidR="00197882" w:rsidRDefault="00FB144C" w:rsidP="005B3245">
      <w:pPr>
        <w:ind w:firstLine="851"/>
        <w:jc w:val="both"/>
      </w:pPr>
      <w:r>
        <w:t xml:space="preserve">Informacija apie finansinės ir investicinės veiklos pajamas ir sąnaudas pateikta </w:t>
      </w:r>
      <w:r w:rsidR="00505B63">
        <w:t>4</w:t>
      </w:r>
      <w:r>
        <w:t xml:space="preserve"> lentelėje.</w:t>
      </w:r>
    </w:p>
    <w:p w:rsidR="00C418D6" w:rsidRDefault="00505B63" w:rsidP="003102DD">
      <w:pPr>
        <w:spacing w:before="100" w:beforeAutospacing="1" w:after="100" w:afterAutospacing="1"/>
        <w:jc w:val="center"/>
      </w:pPr>
      <w:r>
        <w:t>4</w:t>
      </w:r>
      <w:r w:rsidR="00FB144C">
        <w:t xml:space="preserve"> lentelė. Finansinės ir investicinės veiklos pajamos ir sąnaudos</w:t>
      </w:r>
    </w:p>
    <w:tbl>
      <w:tblPr>
        <w:tblW w:w="0" w:type="auto"/>
        <w:tblInd w:w="93" w:type="dxa"/>
        <w:tblLook w:val="04A0" w:firstRow="1" w:lastRow="0" w:firstColumn="1" w:lastColumn="0" w:noHBand="0" w:noVBand="1"/>
      </w:tblPr>
      <w:tblGrid>
        <w:gridCol w:w="790"/>
        <w:gridCol w:w="4710"/>
        <w:gridCol w:w="2007"/>
        <w:gridCol w:w="2538"/>
      </w:tblGrid>
      <w:tr w:rsidR="00FB144C">
        <w:trPr>
          <w:trHeight w:val="510"/>
        </w:trPr>
        <w:tc>
          <w:tcPr>
            <w:tcW w:w="0" w:type="auto"/>
            <w:tcBorders>
              <w:top w:val="single" w:sz="4" w:space="0" w:color="auto"/>
              <w:left w:val="single" w:sz="4" w:space="0" w:color="auto"/>
              <w:bottom w:val="single" w:sz="4" w:space="0" w:color="auto"/>
              <w:right w:val="single" w:sz="4" w:space="0" w:color="auto"/>
            </w:tcBorders>
          </w:tcPr>
          <w:p w:rsidR="00FB144C" w:rsidRDefault="00FB144C">
            <w:pPr>
              <w:jc w:val="center"/>
              <w:rPr>
                <w:color w:val="000000"/>
                <w:sz w:val="20"/>
                <w:szCs w:val="20"/>
              </w:rPr>
            </w:pPr>
            <w:r>
              <w:rPr>
                <w:color w:val="000000"/>
                <w:sz w:val="20"/>
                <w:szCs w:val="20"/>
              </w:rPr>
              <w:t>Eil. Nr.</w:t>
            </w:r>
          </w:p>
        </w:tc>
        <w:tc>
          <w:tcPr>
            <w:tcW w:w="0" w:type="auto"/>
            <w:tcBorders>
              <w:top w:val="single" w:sz="4" w:space="0" w:color="auto"/>
              <w:left w:val="nil"/>
              <w:bottom w:val="single" w:sz="4" w:space="0" w:color="auto"/>
              <w:right w:val="single" w:sz="4" w:space="0" w:color="auto"/>
            </w:tcBorders>
          </w:tcPr>
          <w:p w:rsidR="00FB144C" w:rsidRDefault="00FB144C">
            <w:pPr>
              <w:jc w:val="center"/>
              <w:rPr>
                <w:color w:val="000000"/>
                <w:sz w:val="20"/>
                <w:szCs w:val="20"/>
              </w:rPr>
            </w:pPr>
            <w:r>
              <w:rPr>
                <w:color w:val="000000"/>
                <w:sz w:val="20"/>
                <w:szCs w:val="20"/>
              </w:rPr>
              <w:t>Straipsniai</w:t>
            </w:r>
          </w:p>
        </w:tc>
        <w:tc>
          <w:tcPr>
            <w:tcW w:w="0" w:type="auto"/>
            <w:tcBorders>
              <w:top w:val="single" w:sz="4" w:space="0" w:color="auto"/>
              <w:left w:val="nil"/>
              <w:bottom w:val="single" w:sz="4" w:space="0" w:color="auto"/>
              <w:right w:val="single" w:sz="4" w:space="0" w:color="auto"/>
            </w:tcBorders>
          </w:tcPr>
          <w:p w:rsidR="00FB144C" w:rsidRDefault="00FB144C">
            <w:pPr>
              <w:jc w:val="center"/>
              <w:rPr>
                <w:color w:val="000000"/>
                <w:sz w:val="20"/>
                <w:szCs w:val="20"/>
              </w:rPr>
            </w:pPr>
            <w:r>
              <w:rPr>
                <w:color w:val="000000"/>
                <w:sz w:val="20"/>
                <w:szCs w:val="20"/>
              </w:rPr>
              <w:t>Ataskaitinis laikotarpis</w:t>
            </w:r>
          </w:p>
        </w:tc>
        <w:tc>
          <w:tcPr>
            <w:tcW w:w="0" w:type="auto"/>
            <w:tcBorders>
              <w:top w:val="single" w:sz="4" w:space="0" w:color="auto"/>
              <w:left w:val="nil"/>
              <w:bottom w:val="single" w:sz="4" w:space="0" w:color="auto"/>
              <w:right w:val="single" w:sz="4" w:space="0" w:color="auto"/>
            </w:tcBorders>
          </w:tcPr>
          <w:p w:rsidR="00FB144C" w:rsidRDefault="00FB144C">
            <w:pPr>
              <w:jc w:val="center"/>
              <w:rPr>
                <w:color w:val="000000"/>
                <w:sz w:val="20"/>
                <w:szCs w:val="20"/>
              </w:rPr>
            </w:pPr>
            <w:r>
              <w:rPr>
                <w:color w:val="000000"/>
                <w:sz w:val="20"/>
                <w:szCs w:val="20"/>
              </w:rPr>
              <w:t>Praėjęs ataskaitinis laikotarpis</w:t>
            </w: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noWrap/>
            <w:vAlign w:val="bottom"/>
          </w:tcPr>
          <w:p w:rsidR="00FB144C" w:rsidRDefault="00FB144C">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noWrap/>
            <w:vAlign w:val="bottom"/>
          </w:tcPr>
          <w:p w:rsidR="00FB144C" w:rsidRDefault="00FB144C">
            <w:pPr>
              <w:jc w:val="center"/>
              <w:rPr>
                <w:color w:val="000000"/>
                <w:sz w:val="20"/>
                <w:szCs w:val="20"/>
              </w:rPr>
            </w:pPr>
            <w:r>
              <w:rPr>
                <w:color w:val="000000"/>
                <w:sz w:val="20"/>
                <w:szCs w:val="20"/>
              </w:rPr>
              <w:t>3</w:t>
            </w:r>
          </w:p>
        </w:tc>
        <w:tc>
          <w:tcPr>
            <w:tcW w:w="0" w:type="auto"/>
            <w:tcBorders>
              <w:top w:val="nil"/>
              <w:left w:val="nil"/>
              <w:bottom w:val="single" w:sz="4" w:space="0" w:color="auto"/>
              <w:right w:val="single" w:sz="4" w:space="0" w:color="auto"/>
            </w:tcBorders>
            <w:noWrap/>
            <w:vAlign w:val="bottom"/>
          </w:tcPr>
          <w:p w:rsidR="00FB144C" w:rsidRDefault="00FB144C">
            <w:pPr>
              <w:jc w:val="center"/>
              <w:rPr>
                <w:color w:val="000000"/>
                <w:sz w:val="20"/>
                <w:szCs w:val="20"/>
              </w:rPr>
            </w:pPr>
            <w:r>
              <w:rPr>
                <w:color w:val="000000"/>
                <w:sz w:val="20"/>
                <w:szCs w:val="20"/>
              </w:rPr>
              <w:t>4</w:t>
            </w: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Finansinės ir investicinės veiklos pajamos</w:t>
            </w:r>
          </w:p>
        </w:tc>
        <w:tc>
          <w:tcPr>
            <w:tcW w:w="0" w:type="auto"/>
            <w:tcBorders>
              <w:top w:val="nil"/>
              <w:left w:val="nil"/>
              <w:bottom w:val="single" w:sz="4" w:space="0" w:color="auto"/>
              <w:right w:val="single" w:sz="4" w:space="0" w:color="auto"/>
            </w:tcBorders>
            <w:noWrap/>
            <w:vAlign w:val="bottom"/>
          </w:tcPr>
          <w:p w:rsidR="00FB144C" w:rsidRDefault="00FB144C">
            <w:pPr>
              <w:jc w:val="right"/>
              <w:rPr>
                <w:color w:val="000000"/>
                <w:sz w:val="20"/>
                <w:szCs w:val="20"/>
              </w:rPr>
            </w:pPr>
          </w:p>
        </w:tc>
        <w:tc>
          <w:tcPr>
            <w:tcW w:w="0" w:type="auto"/>
            <w:tcBorders>
              <w:top w:val="nil"/>
              <w:left w:val="nil"/>
              <w:bottom w:val="single" w:sz="4" w:space="0" w:color="auto"/>
              <w:right w:val="single" w:sz="4" w:space="0" w:color="auto"/>
            </w:tcBorders>
            <w:noWrap/>
            <w:vAlign w:val="bottom"/>
          </w:tcPr>
          <w:p w:rsidR="00FB144C" w:rsidRDefault="00FB144C">
            <w:pPr>
              <w:jc w:val="right"/>
              <w:rPr>
                <w:color w:val="000000"/>
                <w:sz w:val="20"/>
                <w:szCs w:val="20"/>
              </w:rPr>
            </w:pP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1.1</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    Pelnas dėl valiutos kurso pasikeitimo</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    Baudų ir delspinigių pajamos</w:t>
            </w:r>
          </w:p>
        </w:tc>
        <w:tc>
          <w:tcPr>
            <w:tcW w:w="0" w:type="auto"/>
            <w:tcBorders>
              <w:top w:val="nil"/>
              <w:left w:val="nil"/>
              <w:bottom w:val="single" w:sz="4" w:space="0" w:color="auto"/>
              <w:right w:val="single" w:sz="4" w:space="0" w:color="auto"/>
            </w:tcBorders>
            <w:noWrap/>
            <w:vAlign w:val="bottom"/>
          </w:tcPr>
          <w:p w:rsidR="00FB144C" w:rsidRDefault="00FB144C">
            <w:pPr>
              <w:jc w:val="right"/>
              <w:rPr>
                <w:color w:val="000000"/>
                <w:sz w:val="20"/>
                <w:szCs w:val="20"/>
              </w:rPr>
            </w:pPr>
          </w:p>
        </w:tc>
        <w:tc>
          <w:tcPr>
            <w:tcW w:w="0" w:type="auto"/>
            <w:tcBorders>
              <w:top w:val="nil"/>
              <w:left w:val="nil"/>
              <w:bottom w:val="single" w:sz="4" w:space="0" w:color="auto"/>
              <w:right w:val="single" w:sz="4" w:space="0" w:color="auto"/>
            </w:tcBorders>
            <w:noWrap/>
            <w:vAlign w:val="bottom"/>
          </w:tcPr>
          <w:p w:rsidR="00FB144C" w:rsidRDefault="00FB144C">
            <w:pPr>
              <w:jc w:val="right"/>
              <w:rPr>
                <w:color w:val="000000"/>
                <w:sz w:val="20"/>
                <w:szCs w:val="20"/>
              </w:rPr>
            </w:pP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1.3</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    Palūkanų pajamos</w:t>
            </w:r>
          </w:p>
        </w:tc>
        <w:tc>
          <w:tcPr>
            <w:tcW w:w="0" w:type="auto"/>
            <w:tcBorders>
              <w:top w:val="nil"/>
              <w:left w:val="nil"/>
              <w:bottom w:val="single" w:sz="4" w:space="0" w:color="auto"/>
              <w:right w:val="single" w:sz="4" w:space="0" w:color="auto"/>
            </w:tcBorders>
            <w:noWrap/>
            <w:vAlign w:val="bottom"/>
          </w:tcPr>
          <w:p w:rsidR="00FB144C" w:rsidRDefault="00FB144C">
            <w:pPr>
              <w:jc w:val="right"/>
              <w:rPr>
                <w:color w:val="000000"/>
                <w:sz w:val="20"/>
                <w:szCs w:val="20"/>
              </w:rPr>
            </w:pPr>
          </w:p>
        </w:tc>
        <w:tc>
          <w:tcPr>
            <w:tcW w:w="0" w:type="auto"/>
            <w:tcBorders>
              <w:top w:val="nil"/>
              <w:left w:val="nil"/>
              <w:bottom w:val="single" w:sz="4" w:space="0" w:color="auto"/>
              <w:right w:val="single" w:sz="4" w:space="0" w:color="auto"/>
            </w:tcBorders>
            <w:noWrap/>
            <w:vAlign w:val="bottom"/>
          </w:tcPr>
          <w:p w:rsidR="00FB144C" w:rsidRDefault="00FB144C">
            <w:pPr>
              <w:jc w:val="right"/>
              <w:rPr>
                <w:color w:val="000000"/>
                <w:sz w:val="20"/>
                <w:szCs w:val="20"/>
              </w:rPr>
            </w:pP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1.4</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    Dividendai</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1.5</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    Kitos finansinės ir investicinės veiklos pajamos*</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p>
        </w:tc>
        <w:tc>
          <w:tcPr>
            <w:tcW w:w="0" w:type="auto"/>
            <w:tcBorders>
              <w:top w:val="nil"/>
              <w:left w:val="nil"/>
              <w:bottom w:val="single" w:sz="4" w:space="0" w:color="auto"/>
              <w:right w:val="single" w:sz="4" w:space="0" w:color="auto"/>
            </w:tcBorders>
            <w:noWrap/>
            <w:vAlign w:val="bottom"/>
          </w:tcPr>
          <w:p w:rsidR="00FB144C" w:rsidRDefault="00FB144C">
            <w:pPr>
              <w:jc w:val="right"/>
              <w:rPr>
                <w:color w:val="000000"/>
                <w:sz w:val="20"/>
                <w:szCs w:val="20"/>
              </w:rPr>
            </w:pP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    Pervestinos finansinės ir investicinės veiklos pajamos</w:t>
            </w:r>
          </w:p>
        </w:tc>
        <w:tc>
          <w:tcPr>
            <w:tcW w:w="0" w:type="auto"/>
            <w:tcBorders>
              <w:top w:val="nil"/>
              <w:left w:val="nil"/>
              <w:bottom w:val="single" w:sz="4" w:space="0" w:color="auto"/>
              <w:right w:val="single" w:sz="4" w:space="0" w:color="auto"/>
            </w:tcBorders>
            <w:noWrap/>
            <w:vAlign w:val="bottom"/>
          </w:tcPr>
          <w:p w:rsidR="00FB144C" w:rsidRDefault="00FB144C">
            <w:pPr>
              <w:jc w:val="right"/>
              <w:rPr>
                <w:color w:val="000000"/>
                <w:sz w:val="20"/>
                <w:szCs w:val="20"/>
              </w:rPr>
            </w:pPr>
          </w:p>
        </w:tc>
        <w:tc>
          <w:tcPr>
            <w:tcW w:w="0" w:type="auto"/>
            <w:tcBorders>
              <w:top w:val="nil"/>
              <w:left w:val="nil"/>
              <w:bottom w:val="single" w:sz="4" w:space="0" w:color="auto"/>
              <w:right w:val="single" w:sz="4" w:space="0" w:color="auto"/>
            </w:tcBorders>
            <w:noWrap/>
            <w:vAlign w:val="bottom"/>
          </w:tcPr>
          <w:p w:rsidR="00FB144C" w:rsidRDefault="00FB144C">
            <w:pPr>
              <w:jc w:val="right"/>
              <w:rPr>
                <w:color w:val="000000"/>
                <w:sz w:val="20"/>
                <w:szCs w:val="20"/>
              </w:rPr>
            </w:pP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Finansinės ir investicinės veiklos sąnaudos</w:t>
            </w:r>
          </w:p>
        </w:tc>
        <w:tc>
          <w:tcPr>
            <w:tcW w:w="0" w:type="auto"/>
            <w:tcBorders>
              <w:top w:val="nil"/>
              <w:left w:val="nil"/>
              <w:bottom w:val="single" w:sz="4" w:space="0" w:color="auto"/>
              <w:right w:val="single" w:sz="4" w:space="0" w:color="auto"/>
            </w:tcBorders>
            <w:noWrap/>
            <w:vAlign w:val="bottom"/>
          </w:tcPr>
          <w:p w:rsidR="00FB144C" w:rsidRDefault="004918AB" w:rsidP="00C418D6">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noWrap/>
            <w:vAlign w:val="bottom"/>
          </w:tcPr>
          <w:p w:rsidR="00FB144C" w:rsidRDefault="00C418D6" w:rsidP="00C418D6">
            <w:pPr>
              <w:jc w:val="center"/>
              <w:rPr>
                <w:color w:val="000000"/>
                <w:sz w:val="20"/>
                <w:szCs w:val="20"/>
              </w:rPr>
            </w:pPr>
            <w:r>
              <w:rPr>
                <w:color w:val="000000"/>
                <w:sz w:val="20"/>
                <w:szCs w:val="20"/>
              </w:rPr>
              <w:t>2.63</w:t>
            </w: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2.1</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    Nuostolis dėl valiutos kurso pasikeitimo</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noWrap/>
            <w:vAlign w:val="bottom"/>
          </w:tcPr>
          <w:p w:rsidR="00FB144C" w:rsidRDefault="00FB144C" w:rsidP="00C418D6">
            <w:pPr>
              <w:jc w:val="center"/>
              <w:rPr>
                <w:color w:val="000000"/>
                <w:sz w:val="20"/>
                <w:szCs w:val="20"/>
              </w:rPr>
            </w:pP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2.2</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    Baudų ir delspinigių sąnaudos</w:t>
            </w:r>
          </w:p>
        </w:tc>
        <w:tc>
          <w:tcPr>
            <w:tcW w:w="0" w:type="auto"/>
            <w:tcBorders>
              <w:top w:val="nil"/>
              <w:left w:val="nil"/>
              <w:bottom w:val="single" w:sz="4" w:space="0" w:color="auto"/>
              <w:right w:val="single" w:sz="4" w:space="0" w:color="auto"/>
            </w:tcBorders>
            <w:noWrap/>
            <w:vAlign w:val="bottom"/>
          </w:tcPr>
          <w:p w:rsidR="00FB144C" w:rsidRDefault="00FB144C">
            <w:pPr>
              <w:jc w:val="right"/>
              <w:rPr>
                <w:color w:val="000000"/>
                <w:sz w:val="20"/>
                <w:szCs w:val="20"/>
              </w:rPr>
            </w:pPr>
          </w:p>
        </w:tc>
        <w:tc>
          <w:tcPr>
            <w:tcW w:w="0" w:type="auto"/>
            <w:tcBorders>
              <w:top w:val="nil"/>
              <w:left w:val="nil"/>
              <w:bottom w:val="single" w:sz="4" w:space="0" w:color="auto"/>
              <w:right w:val="single" w:sz="4" w:space="0" w:color="auto"/>
            </w:tcBorders>
            <w:noWrap/>
            <w:vAlign w:val="bottom"/>
          </w:tcPr>
          <w:p w:rsidR="00FB144C" w:rsidRDefault="00FB144C" w:rsidP="00C418D6">
            <w:pPr>
              <w:jc w:val="center"/>
              <w:rPr>
                <w:color w:val="000000"/>
                <w:sz w:val="20"/>
                <w:szCs w:val="20"/>
              </w:rPr>
            </w:pP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2.3</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    Palūkanų sąnaudos</w:t>
            </w:r>
          </w:p>
        </w:tc>
        <w:tc>
          <w:tcPr>
            <w:tcW w:w="0" w:type="auto"/>
            <w:tcBorders>
              <w:top w:val="nil"/>
              <w:left w:val="nil"/>
              <w:bottom w:val="single" w:sz="4" w:space="0" w:color="auto"/>
              <w:right w:val="single" w:sz="4" w:space="0" w:color="auto"/>
            </w:tcBorders>
            <w:noWrap/>
            <w:vAlign w:val="bottom"/>
          </w:tcPr>
          <w:p w:rsidR="00FB144C" w:rsidRDefault="00FB144C">
            <w:pPr>
              <w:jc w:val="right"/>
              <w:rPr>
                <w:color w:val="000000"/>
                <w:sz w:val="20"/>
                <w:szCs w:val="20"/>
              </w:rPr>
            </w:pPr>
          </w:p>
        </w:tc>
        <w:tc>
          <w:tcPr>
            <w:tcW w:w="0" w:type="auto"/>
            <w:tcBorders>
              <w:top w:val="nil"/>
              <w:left w:val="nil"/>
              <w:bottom w:val="single" w:sz="4" w:space="0" w:color="auto"/>
              <w:right w:val="single" w:sz="4" w:space="0" w:color="auto"/>
            </w:tcBorders>
            <w:noWrap/>
            <w:vAlign w:val="bottom"/>
          </w:tcPr>
          <w:p w:rsidR="00FB144C" w:rsidRDefault="00FB144C" w:rsidP="00C418D6">
            <w:pPr>
              <w:jc w:val="center"/>
              <w:rPr>
                <w:color w:val="000000"/>
                <w:sz w:val="20"/>
                <w:szCs w:val="20"/>
              </w:rPr>
            </w:pP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2.4</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    Kitos finansinės ir investicinės veiklos sąnaudos*</w:t>
            </w:r>
          </w:p>
        </w:tc>
        <w:tc>
          <w:tcPr>
            <w:tcW w:w="0" w:type="auto"/>
            <w:tcBorders>
              <w:top w:val="nil"/>
              <w:left w:val="nil"/>
              <w:bottom w:val="single" w:sz="4" w:space="0" w:color="auto"/>
              <w:right w:val="single" w:sz="4" w:space="0" w:color="auto"/>
            </w:tcBorders>
            <w:noWrap/>
            <w:vAlign w:val="bottom"/>
          </w:tcPr>
          <w:p w:rsidR="00FB144C" w:rsidRDefault="004918AB" w:rsidP="00C418D6">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noWrap/>
            <w:vAlign w:val="bottom"/>
          </w:tcPr>
          <w:p w:rsidR="00FB144C" w:rsidRDefault="00C418D6" w:rsidP="00C418D6">
            <w:pPr>
              <w:jc w:val="center"/>
              <w:rPr>
                <w:color w:val="000000"/>
                <w:sz w:val="20"/>
                <w:szCs w:val="20"/>
              </w:rPr>
            </w:pPr>
            <w:r>
              <w:rPr>
                <w:color w:val="000000"/>
                <w:sz w:val="20"/>
                <w:szCs w:val="20"/>
              </w:rPr>
              <w:t>2.63</w:t>
            </w:r>
          </w:p>
        </w:tc>
      </w:tr>
      <w:tr w:rsidR="00FB144C">
        <w:trPr>
          <w:trHeight w:val="255"/>
        </w:trPr>
        <w:tc>
          <w:tcPr>
            <w:tcW w:w="0" w:type="auto"/>
            <w:tcBorders>
              <w:top w:val="nil"/>
              <w:left w:val="single" w:sz="4" w:space="0" w:color="auto"/>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3</w:t>
            </w:r>
          </w:p>
        </w:tc>
        <w:tc>
          <w:tcPr>
            <w:tcW w:w="0" w:type="auto"/>
            <w:tcBorders>
              <w:top w:val="nil"/>
              <w:left w:val="nil"/>
              <w:bottom w:val="single" w:sz="4" w:space="0" w:color="auto"/>
              <w:right w:val="single" w:sz="4" w:space="0" w:color="auto"/>
            </w:tcBorders>
            <w:noWrap/>
            <w:vAlign w:val="bottom"/>
          </w:tcPr>
          <w:p w:rsidR="00FB144C" w:rsidRDefault="00FB144C">
            <w:pPr>
              <w:rPr>
                <w:color w:val="000000"/>
                <w:sz w:val="20"/>
                <w:szCs w:val="20"/>
              </w:rPr>
            </w:pPr>
            <w:r>
              <w:rPr>
                <w:color w:val="000000"/>
                <w:sz w:val="20"/>
                <w:szCs w:val="20"/>
              </w:rPr>
              <w:t>Finansinės ir investicinės veiklos rezultatas (1-2)</w:t>
            </w:r>
          </w:p>
        </w:tc>
        <w:tc>
          <w:tcPr>
            <w:tcW w:w="0" w:type="auto"/>
            <w:tcBorders>
              <w:top w:val="nil"/>
              <w:left w:val="nil"/>
              <w:bottom w:val="single" w:sz="4" w:space="0" w:color="auto"/>
              <w:right w:val="single" w:sz="4" w:space="0" w:color="auto"/>
            </w:tcBorders>
            <w:noWrap/>
            <w:vAlign w:val="bottom"/>
          </w:tcPr>
          <w:p w:rsidR="00FB144C" w:rsidRDefault="004918AB" w:rsidP="00C418D6">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noWrap/>
            <w:vAlign w:val="bottom"/>
          </w:tcPr>
          <w:p w:rsidR="00FB144C" w:rsidRDefault="00C418D6" w:rsidP="00C418D6">
            <w:pPr>
              <w:jc w:val="center"/>
              <w:rPr>
                <w:color w:val="000000"/>
                <w:sz w:val="20"/>
                <w:szCs w:val="20"/>
              </w:rPr>
            </w:pPr>
            <w:r>
              <w:rPr>
                <w:color w:val="000000"/>
                <w:sz w:val="20"/>
                <w:szCs w:val="20"/>
              </w:rPr>
              <w:t>2.63</w:t>
            </w:r>
          </w:p>
        </w:tc>
      </w:tr>
    </w:tbl>
    <w:p w:rsidR="00CC3739" w:rsidRDefault="00E772F1" w:rsidP="00282A08">
      <w:pPr>
        <w:spacing w:before="100" w:beforeAutospacing="1" w:after="100" w:afterAutospacing="1"/>
        <w:ind w:firstLine="851"/>
        <w:jc w:val="both"/>
        <w:rPr>
          <w:rStyle w:val="FontStyle172"/>
          <w:bCs/>
          <w:sz w:val="24"/>
          <w:szCs w:val="24"/>
          <w:highlight w:val="yellow"/>
        </w:rPr>
      </w:pPr>
      <w:r>
        <w:lastRenderedPageBreak/>
        <w:t>Įstaigos</w:t>
      </w:r>
      <w:r w:rsidR="00FB144C">
        <w:t xml:space="preserve"> finansinės ir investicinės veiklos </w:t>
      </w:r>
      <w:r>
        <w:t>sąnaudos</w:t>
      </w:r>
      <w:r w:rsidR="00FB144C">
        <w:t xml:space="preserve"> </w:t>
      </w:r>
      <w:r>
        <w:t>ataskaitinio laikotarpio pabaig</w:t>
      </w:r>
      <w:r w:rsidR="004918AB">
        <w:t>o</w:t>
      </w:r>
      <w:r>
        <w:t>je</w:t>
      </w:r>
      <w:r w:rsidR="00FB144C">
        <w:t xml:space="preserve"> sudarė </w:t>
      </w:r>
      <w:r w:rsidR="004918AB">
        <w:t>0.00</w:t>
      </w:r>
      <w:r>
        <w:t xml:space="preserve"> Lt.</w:t>
      </w:r>
      <w:r w:rsidR="00FB144C">
        <w:t xml:space="preserve"> </w:t>
      </w:r>
    </w:p>
    <w:p w:rsidR="00143114" w:rsidRDefault="00143114" w:rsidP="00143114">
      <w:pPr>
        <w:spacing w:before="240" w:after="240"/>
        <w:ind w:firstLine="851"/>
        <w:jc w:val="both"/>
        <w:rPr>
          <w:b/>
        </w:rPr>
      </w:pPr>
      <w:r>
        <w:rPr>
          <w:b/>
        </w:rPr>
        <w:t>Pinigų srautai</w:t>
      </w:r>
      <w:r w:rsidR="00B30A3A">
        <w:rPr>
          <w:b/>
        </w:rPr>
        <w:t xml:space="preserve"> (P24)</w:t>
      </w:r>
    </w:p>
    <w:p w:rsidR="00143114" w:rsidRDefault="00143114" w:rsidP="00143114">
      <w:pPr>
        <w:ind w:firstLine="851"/>
        <w:jc w:val="both"/>
      </w:pPr>
      <w:r>
        <w:t xml:space="preserve">Pagrindinės veiklos pinigų srautai apskaičiuojami iš pagrindinės veiklos įplaukų atėmus pagrindinės veiklos veiklos pervestas lėšas ir išmokos. Ataskaitinio laikotarpio pabaigoje pagrindinės veiklos pinigų srautai sudarė </w:t>
      </w:r>
      <w:r w:rsidR="00BC66E6">
        <w:t>34</w:t>
      </w:r>
      <w:r w:rsidR="005B3245">
        <w:t xml:space="preserve"> 833,</w:t>
      </w:r>
      <w:r w:rsidR="00BC66E6">
        <w:t>98</w:t>
      </w:r>
      <w:r w:rsidR="00020C13">
        <w:t xml:space="preserve"> Lt</w:t>
      </w:r>
      <w:r>
        <w:t xml:space="preserve">. </w:t>
      </w:r>
      <w:r w:rsidR="005B3245">
        <w:t>2,</w:t>
      </w:r>
      <w:r w:rsidR="00CC1D3D">
        <w:t>0</w:t>
      </w:r>
      <w:r>
        <w:t xml:space="preserve"> proc. nuo visų įplaukų sudarė gautos finansavimo sumos kitoms išlaidoms, </w:t>
      </w:r>
      <w:r w:rsidR="00D607B3">
        <w:t>98</w:t>
      </w:r>
      <w:r>
        <w:t xml:space="preserve">,0 proc. nuo visų įplaukų sudarė įplaukos </w:t>
      </w:r>
      <w:r w:rsidR="0002557C">
        <w:t xml:space="preserve">už suteiktas paslaugas. </w:t>
      </w:r>
      <w:r>
        <w:t>Ataskaitinio laikotarpio pabaigoje išmokos</w:t>
      </w:r>
      <w:r w:rsidR="0002557C">
        <w:t xml:space="preserve"> sudarė </w:t>
      </w:r>
      <w:r w:rsidR="00BC66E6">
        <w:t>970</w:t>
      </w:r>
      <w:r w:rsidR="005B3245">
        <w:t xml:space="preserve"> 957,</w:t>
      </w:r>
      <w:r w:rsidR="00BC66E6">
        <w:t>23</w:t>
      </w:r>
      <w:r w:rsidR="005B3245">
        <w:t xml:space="preserve"> Lt</w:t>
      </w:r>
      <w:r>
        <w:t>.</w:t>
      </w:r>
      <w:r w:rsidR="0002557C">
        <w:t xml:space="preserve"> Didžiausia dalis visų išmokų tenka darbo užmokesčio ir socialinio draudimo (</w:t>
      </w:r>
      <w:r w:rsidR="005B3245">
        <w:t>69,</w:t>
      </w:r>
      <w:r w:rsidR="001E06BE">
        <w:t>0</w:t>
      </w:r>
      <w:r w:rsidR="0002557C">
        <w:t xml:space="preserve"> proc.), atsargų įsigijimo (</w:t>
      </w:r>
      <w:r w:rsidR="00954C7E">
        <w:t>1</w:t>
      </w:r>
      <w:r w:rsidR="001E06BE">
        <w:t>3</w:t>
      </w:r>
      <w:r w:rsidR="005B3245">
        <w:t>,</w:t>
      </w:r>
      <w:r w:rsidR="00954C7E">
        <w:t>0</w:t>
      </w:r>
      <w:r w:rsidR="0002557C">
        <w:t xml:space="preserve"> proc.) kitų paslaugų įsigijimui (</w:t>
      </w:r>
      <w:r w:rsidR="005B3245">
        <w:t>7,</w:t>
      </w:r>
      <w:r w:rsidR="001E06BE">
        <w:t>0</w:t>
      </w:r>
      <w:r w:rsidR="0002557C">
        <w:t xml:space="preserve"> proc.).</w:t>
      </w:r>
    </w:p>
    <w:p w:rsidR="00057DD4" w:rsidRDefault="00143114" w:rsidP="00C77933">
      <w:pPr>
        <w:ind w:firstLine="851"/>
        <w:jc w:val="both"/>
      </w:pPr>
      <w:r>
        <w:t>Investicinės veiklos pinigų srautai rodo išmokas, padarytas per ataskaitinį laik</w:t>
      </w:r>
      <w:r w:rsidR="0002557C">
        <w:t>otarpį įsigyjant ilgalaikį turtą</w:t>
      </w:r>
      <w:r>
        <w:t xml:space="preserve">, kuris ilgą laiką teiks ekonominę naudą, sudarys sąlygas teikti viešąsias paslaugas. </w:t>
      </w:r>
    </w:p>
    <w:p w:rsidR="00C77933" w:rsidRPr="00777651" w:rsidRDefault="00C77933" w:rsidP="00C77933">
      <w:pPr>
        <w:jc w:val="center"/>
        <w:rPr>
          <w:rStyle w:val="FontStyle172"/>
          <w:bCs/>
          <w:sz w:val="24"/>
          <w:szCs w:val="24"/>
          <w:highlight w:val="yellow"/>
        </w:rPr>
      </w:pPr>
      <w:r>
        <w:t>__________________________________</w:t>
      </w:r>
    </w:p>
    <w:p w:rsidR="00CE1EF6" w:rsidRDefault="00CE1EF6" w:rsidP="007B608B">
      <w:pPr>
        <w:pStyle w:val="Style88"/>
        <w:tabs>
          <w:tab w:val="left" w:pos="10118"/>
        </w:tabs>
        <w:spacing w:line="240" w:lineRule="auto"/>
        <w:ind w:firstLine="0"/>
        <w:rPr>
          <w:rStyle w:val="FontStyle172"/>
          <w:sz w:val="24"/>
          <w:szCs w:val="24"/>
        </w:rPr>
      </w:pPr>
    </w:p>
    <w:sectPr w:rsidR="00CE1EF6" w:rsidSect="0000322F">
      <w:footerReference w:type="default" r:id="rId7"/>
      <w:pgSz w:w="11907" w:h="16840" w:code="9"/>
      <w:pgMar w:top="851" w:right="567" w:bottom="1134" w:left="1418" w:header="567" w:footer="567" w:gutter="0"/>
      <w:pgNumType w:start="7"/>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698" w:rsidRDefault="00DF2698">
      <w:r>
        <w:separator/>
      </w:r>
    </w:p>
  </w:endnote>
  <w:endnote w:type="continuationSeparator" w:id="0">
    <w:p w:rsidR="00DF2698" w:rsidRDefault="00DF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ndara">
    <w:panose1 w:val="020E0502030303020204"/>
    <w:charset w:val="BA"/>
    <w:family w:val="swiss"/>
    <w:pitch w:val="variable"/>
    <w:sig w:usb0="A00002EF" w:usb1="4000A44B"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933" w:rsidRPr="009865E7" w:rsidRDefault="00C77933">
    <w:pPr>
      <w:pStyle w:val="Porat"/>
      <w:jc w:val="right"/>
      <w:rPr>
        <w:sz w:val="22"/>
        <w:szCs w:val="22"/>
      </w:rPr>
    </w:pPr>
    <w:r w:rsidRPr="009865E7">
      <w:rPr>
        <w:sz w:val="22"/>
        <w:szCs w:val="22"/>
      </w:rPr>
      <w:fldChar w:fldCharType="begin"/>
    </w:r>
    <w:r w:rsidRPr="009865E7">
      <w:rPr>
        <w:sz w:val="22"/>
        <w:szCs w:val="22"/>
      </w:rPr>
      <w:instrText xml:space="preserve"> PAGE   \* MERGEFORMAT </w:instrText>
    </w:r>
    <w:r w:rsidRPr="009865E7">
      <w:rPr>
        <w:sz w:val="22"/>
        <w:szCs w:val="22"/>
      </w:rPr>
      <w:fldChar w:fldCharType="separate"/>
    </w:r>
    <w:r w:rsidR="00543D75">
      <w:rPr>
        <w:noProof/>
        <w:sz w:val="22"/>
        <w:szCs w:val="22"/>
      </w:rPr>
      <w:t>7</w:t>
    </w:r>
    <w:r w:rsidRPr="009865E7">
      <w:rPr>
        <w:noProof/>
        <w:sz w:val="22"/>
        <w:szCs w:val="22"/>
      </w:rPr>
      <w:fldChar w:fldCharType="end"/>
    </w:r>
  </w:p>
  <w:p w:rsidR="00C77933" w:rsidRPr="003C2BF4" w:rsidRDefault="00C77933" w:rsidP="003C2BF4">
    <w:pPr>
      <w:pStyle w:val="Porat"/>
      <w:rPr>
        <w:rStyle w:val="FontStyle98"/>
        <w:rFonts w:ascii="Times New Roman" w:hAnsi="Times New Roman" w:cs="Times New Roman"/>
        <w:b w:val="0"/>
        <w:bCs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698" w:rsidRDefault="00DF2698">
      <w:r>
        <w:separator/>
      </w:r>
    </w:p>
  </w:footnote>
  <w:footnote w:type="continuationSeparator" w:id="0">
    <w:p w:rsidR="00DF2698" w:rsidRDefault="00DF2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68ED8BA"/>
    <w:lvl w:ilvl="0">
      <w:start w:val="1"/>
      <w:numFmt w:val="decimal"/>
      <w:lvlText w:val="%1."/>
      <w:lvlJc w:val="left"/>
      <w:pPr>
        <w:tabs>
          <w:tab w:val="num" w:pos="1492"/>
        </w:tabs>
        <w:ind w:left="1492" w:hanging="360"/>
      </w:pPr>
    </w:lvl>
  </w:abstractNum>
  <w:abstractNum w:abstractNumId="1">
    <w:nsid w:val="FFFFFF7D"/>
    <w:multiLevelType w:val="singleLevel"/>
    <w:tmpl w:val="6E82D508"/>
    <w:lvl w:ilvl="0">
      <w:start w:val="1"/>
      <w:numFmt w:val="decimal"/>
      <w:lvlText w:val="%1."/>
      <w:lvlJc w:val="left"/>
      <w:pPr>
        <w:tabs>
          <w:tab w:val="num" w:pos="1209"/>
        </w:tabs>
        <w:ind w:left="1209" w:hanging="360"/>
      </w:pPr>
    </w:lvl>
  </w:abstractNum>
  <w:abstractNum w:abstractNumId="2">
    <w:nsid w:val="FFFFFF7E"/>
    <w:multiLevelType w:val="singleLevel"/>
    <w:tmpl w:val="B36E3450"/>
    <w:lvl w:ilvl="0">
      <w:start w:val="1"/>
      <w:numFmt w:val="decimal"/>
      <w:lvlText w:val="%1."/>
      <w:lvlJc w:val="left"/>
      <w:pPr>
        <w:tabs>
          <w:tab w:val="num" w:pos="926"/>
        </w:tabs>
        <w:ind w:left="926" w:hanging="360"/>
      </w:pPr>
    </w:lvl>
  </w:abstractNum>
  <w:abstractNum w:abstractNumId="3">
    <w:nsid w:val="FFFFFF7F"/>
    <w:multiLevelType w:val="singleLevel"/>
    <w:tmpl w:val="8370C972"/>
    <w:lvl w:ilvl="0">
      <w:start w:val="1"/>
      <w:numFmt w:val="decimal"/>
      <w:lvlText w:val="%1."/>
      <w:lvlJc w:val="left"/>
      <w:pPr>
        <w:tabs>
          <w:tab w:val="num" w:pos="643"/>
        </w:tabs>
        <w:ind w:left="643" w:hanging="360"/>
      </w:pPr>
    </w:lvl>
  </w:abstractNum>
  <w:abstractNum w:abstractNumId="4">
    <w:nsid w:val="FFFFFF80"/>
    <w:multiLevelType w:val="singleLevel"/>
    <w:tmpl w:val="7326F5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F4B1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0CE6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A88F7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8EF1EC"/>
    <w:lvl w:ilvl="0">
      <w:start w:val="1"/>
      <w:numFmt w:val="decimal"/>
      <w:lvlText w:val="%1."/>
      <w:lvlJc w:val="left"/>
      <w:pPr>
        <w:tabs>
          <w:tab w:val="num" w:pos="360"/>
        </w:tabs>
        <w:ind w:left="360" w:hanging="360"/>
      </w:pPr>
    </w:lvl>
  </w:abstractNum>
  <w:abstractNum w:abstractNumId="9">
    <w:nsid w:val="FFFFFF89"/>
    <w:multiLevelType w:val="singleLevel"/>
    <w:tmpl w:val="CFB86BF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33A7EEC"/>
    <w:lvl w:ilvl="0">
      <w:numFmt w:val="bullet"/>
      <w:lvlText w:val="*"/>
      <w:lvlJc w:val="left"/>
    </w:lvl>
  </w:abstractNum>
  <w:abstractNum w:abstractNumId="11">
    <w:nsid w:val="00590223"/>
    <w:multiLevelType w:val="singleLevel"/>
    <w:tmpl w:val="29006A90"/>
    <w:lvl w:ilvl="0">
      <w:start w:val="10"/>
      <w:numFmt w:val="decimal"/>
      <w:lvlText w:val="%1"/>
      <w:legacy w:legacy="1" w:legacySpace="0" w:legacyIndent="408"/>
      <w:lvlJc w:val="left"/>
      <w:rPr>
        <w:rFonts w:ascii="Times New Roman" w:hAnsi="Times New Roman" w:cs="Times New Roman" w:hint="default"/>
      </w:rPr>
    </w:lvl>
  </w:abstractNum>
  <w:abstractNum w:abstractNumId="12">
    <w:nsid w:val="042C29B6"/>
    <w:multiLevelType w:val="hybridMultilevel"/>
    <w:tmpl w:val="D45A3822"/>
    <w:lvl w:ilvl="0" w:tplc="1ED89202">
      <w:start w:val="1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nsid w:val="0D3D0D06"/>
    <w:multiLevelType w:val="multilevel"/>
    <w:tmpl w:val="4A168E6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DB74ED1"/>
    <w:multiLevelType w:val="hybridMultilevel"/>
    <w:tmpl w:val="B9906474"/>
    <w:lvl w:ilvl="0" w:tplc="43C2EA1E">
      <w:start w:val="1"/>
      <w:numFmt w:val="upperRoman"/>
      <w:lvlText w:val="%1."/>
      <w:lvlJc w:val="left"/>
      <w:pPr>
        <w:ind w:left="4123"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1AE7D65"/>
    <w:multiLevelType w:val="singleLevel"/>
    <w:tmpl w:val="B2E81DEA"/>
    <w:lvl w:ilvl="0">
      <w:start w:val="1"/>
      <w:numFmt w:val="lowerLetter"/>
      <w:lvlText w:val="%1)"/>
      <w:legacy w:legacy="1" w:legacySpace="0" w:legacyIndent="735"/>
      <w:lvlJc w:val="left"/>
      <w:rPr>
        <w:rFonts w:ascii="Times New Roman" w:hAnsi="Times New Roman" w:cs="Times New Roman" w:hint="default"/>
      </w:rPr>
    </w:lvl>
  </w:abstractNum>
  <w:abstractNum w:abstractNumId="16">
    <w:nsid w:val="130A0EB6"/>
    <w:multiLevelType w:val="multilevel"/>
    <w:tmpl w:val="2AC6587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48974F4"/>
    <w:multiLevelType w:val="hybridMultilevel"/>
    <w:tmpl w:val="FE105B44"/>
    <w:lvl w:ilvl="0" w:tplc="7D92B1A6">
      <w:start w:val="7"/>
      <w:numFmt w:val="bullet"/>
      <w:lvlText w:val="-"/>
      <w:lvlJc w:val="left"/>
      <w:pPr>
        <w:tabs>
          <w:tab w:val="num" w:pos="1620"/>
        </w:tabs>
        <w:ind w:left="1620" w:hanging="360"/>
      </w:pPr>
      <w:rPr>
        <w:rFonts w:ascii="Times New Roman" w:eastAsia="Times New Roman" w:hAnsi="Times New Roman" w:cs="Times New Roman"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8">
    <w:nsid w:val="1CC15AB7"/>
    <w:multiLevelType w:val="hybridMultilevel"/>
    <w:tmpl w:val="AA5E714C"/>
    <w:lvl w:ilvl="0" w:tplc="1ED8920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26BE78D6"/>
    <w:multiLevelType w:val="hybridMultilevel"/>
    <w:tmpl w:val="FBA48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98A3545"/>
    <w:multiLevelType w:val="hybridMultilevel"/>
    <w:tmpl w:val="AD44BEB0"/>
    <w:lvl w:ilvl="0" w:tplc="1ED8920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17B3C06"/>
    <w:multiLevelType w:val="hybridMultilevel"/>
    <w:tmpl w:val="DC623EE8"/>
    <w:lvl w:ilvl="0" w:tplc="E9EA3BA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44497A1C"/>
    <w:multiLevelType w:val="hybridMultilevel"/>
    <w:tmpl w:val="948EA442"/>
    <w:lvl w:ilvl="0" w:tplc="1ED89202">
      <w:start w:val="13"/>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nsid w:val="46F27FC5"/>
    <w:multiLevelType w:val="multilevel"/>
    <w:tmpl w:val="647672D6"/>
    <w:lvl w:ilvl="0">
      <w:start w:val="1"/>
      <w:numFmt w:val="decimal"/>
      <w:pStyle w:val="finmingeneral"/>
      <w:lvlText w:val="%1."/>
      <w:lvlJc w:val="left"/>
      <w:pPr>
        <w:tabs>
          <w:tab w:val="num" w:pos="717"/>
        </w:tabs>
        <w:ind w:left="717" w:hanging="360"/>
      </w:pPr>
      <w:rPr>
        <w:rFonts w:hint="default"/>
        <w:sz w:val="24"/>
        <w:szCs w:val="24"/>
      </w:rPr>
    </w:lvl>
    <w:lvl w:ilvl="1">
      <w:start w:val="1"/>
      <w:numFmt w:val="decimal"/>
      <w:pStyle w:val="Sraassuenkleliais"/>
      <w:lvlText w:val="%1.%2"/>
      <w:lvlJc w:val="left"/>
      <w:pPr>
        <w:tabs>
          <w:tab w:val="num" w:pos="2052"/>
        </w:tabs>
        <w:ind w:left="2052"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4">
    <w:nsid w:val="479D0B4B"/>
    <w:multiLevelType w:val="singleLevel"/>
    <w:tmpl w:val="C270EF48"/>
    <w:lvl w:ilvl="0">
      <w:start w:val="1"/>
      <w:numFmt w:val="lowerLetter"/>
      <w:lvlText w:val="%1)"/>
      <w:legacy w:legacy="1" w:legacySpace="0" w:legacyIndent="725"/>
      <w:lvlJc w:val="left"/>
      <w:rPr>
        <w:rFonts w:ascii="Times New Roman" w:hAnsi="Times New Roman" w:cs="Times New Roman" w:hint="default"/>
      </w:rPr>
    </w:lvl>
  </w:abstractNum>
  <w:abstractNum w:abstractNumId="25">
    <w:nsid w:val="4C843728"/>
    <w:multiLevelType w:val="hybridMultilevel"/>
    <w:tmpl w:val="D5B6664E"/>
    <w:lvl w:ilvl="0" w:tplc="70DAEC74">
      <w:start w:val="9"/>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59235B03"/>
    <w:multiLevelType w:val="hybridMultilevel"/>
    <w:tmpl w:val="4DA2B136"/>
    <w:lvl w:ilvl="0" w:tplc="C3147D5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5C310132"/>
    <w:multiLevelType w:val="hybridMultilevel"/>
    <w:tmpl w:val="785AB94C"/>
    <w:lvl w:ilvl="0" w:tplc="7D92B1A6">
      <w:start w:val="7"/>
      <w:numFmt w:val="bullet"/>
      <w:lvlText w:val="-"/>
      <w:lvlJc w:val="left"/>
      <w:pPr>
        <w:tabs>
          <w:tab w:val="num" w:pos="1680"/>
        </w:tabs>
        <w:ind w:left="1680" w:hanging="360"/>
      </w:pPr>
      <w:rPr>
        <w:rFonts w:ascii="Times New Roman" w:eastAsia="Times New Roman" w:hAnsi="Times New Roman" w:cs="Times New Roman" w:hint="default"/>
      </w:rPr>
    </w:lvl>
    <w:lvl w:ilvl="1" w:tplc="04270003" w:tentative="1">
      <w:start w:val="1"/>
      <w:numFmt w:val="bullet"/>
      <w:lvlText w:val="o"/>
      <w:lvlJc w:val="left"/>
      <w:pPr>
        <w:tabs>
          <w:tab w:val="num" w:pos="2040"/>
        </w:tabs>
        <w:ind w:left="2040" w:hanging="360"/>
      </w:pPr>
      <w:rPr>
        <w:rFonts w:ascii="Courier New" w:hAnsi="Courier New" w:cs="Courier New" w:hint="default"/>
      </w:rPr>
    </w:lvl>
    <w:lvl w:ilvl="2" w:tplc="04270005" w:tentative="1">
      <w:start w:val="1"/>
      <w:numFmt w:val="bullet"/>
      <w:lvlText w:val=""/>
      <w:lvlJc w:val="left"/>
      <w:pPr>
        <w:tabs>
          <w:tab w:val="num" w:pos="2760"/>
        </w:tabs>
        <w:ind w:left="2760" w:hanging="360"/>
      </w:pPr>
      <w:rPr>
        <w:rFonts w:ascii="Wingdings" w:hAnsi="Wingdings" w:hint="default"/>
      </w:rPr>
    </w:lvl>
    <w:lvl w:ilvl="3" w:tplc="04270001" w:tentative="1">
      <w:start w:val="1"/>
      <w:numFmt w:val="bullet"/>
      <w:lvlText w:val=""/>
      <w:lvlJc w:val="left"/>
      <w:pPr>
        <w:tabs>
          <w:tab w:val="num" w:pos="3480"/>
        </w:tabs>
        <w:ind w:left="3480" w:hanging="360"/>
      </w:pPr>
      <w:rPr>
        <w:rFonts w:ascii="Symbol" w:hAnsi="Symbol" w:hint="default"/>
      </w:rPr>
    </w:lvl>
    <w:lvl w:ilvl="4" w:tplc="04270003" w:tentative="1">
      <w:start w:val="1"/>
      <w:numFmt w:val="bullet"/>
      <w:lvlText w:val="o"/>
      <w:lvlJc w:val="left"/>
      <w:pPr>
        <w:tabs>
          <w:tab w:val="num" w:pos="4200"/>
        </w:tabs>
        <w:ind w:left="4200" w:hanging="360"/>
      </w:pPr>
      <w:rPr>
        <w:rFonts w:ascii="Courier New" w:hAnsi="Courier New" w:cs="Courier New" w:hint="default"/>
      </w:rPr>
    </w:lvl>
    <w:lvl w:ilvl="5" w:tplc="04270005" w:tentative="1">
      <w:start w:val="1"/>
      <w:numFmt w:val="bullet"/>
      <w:lvlText w:val=""/>
      <w:lvlJc w:val="left"/>
      <w:pPr>
        <w:tabs>
          <w:tab w:val="num" w:pos="4920"/>
        </w:tabs>
        <w:ind w:left="4920" w:hanging="360"/>
      </w:pPr>
      <w:rPr>
        <w:rFonts w:ascii="Wingdings" w:hAnsi="Wingdings" w:hint="default"/>
      </w:rPr>
    </w:lvl>
    <w:lvl w:ilvl="6" w:tplc="04270001" w:tentative="1">
      <w:start w:val="1"/>
      <w:numFmt w:val="bullet"/>
      <w:lvlText w:val=""/>
      <w:lvlJc w:val="left"/>
      <w:pPr>
        <w:tabs>
          <w:tab w:val="num" w:pos="5640"/>
        </w:tabs>
        <w:ind w:left="5640" w:hanging="360"/>
      </w:pPr>
      <w:rPr>
        <w:rFonts w:ascii="Symbol" w:hAnsi="Symbol" w:hint="default"/>
      </w:rPr>
    </w:lvl>
    <w:lvl w:ilvl="7" w:tplc="04270003" w:tentative="1">
      <w:start w:val="1"/>
      <w:numFmt w:val="bullet"/>
      <w:lvlText w:val="o"/>
      <w:lvlJc w:val="left"/>
      <w:pPr>
        <w:tabs>
          <w:tab w:val="num" w:pos="6360"/>
        </w:tabs>
        <w:ind w:left="6360" w:hanging="360"/>
      </w:pPr>
      <w:rPr>
        <w:rFonts w:ascii="Courier New" w:hAnsi="Courier New" w:cs="Courier New" w:hint="default"/>
      </w:rPr>
    </w:lvl>
    <w:lvl w:ilvl="8" w:tplc="04270005" w:tentative="1">
      <w:start w:val="1"/>
      <w:numFmt w:val="bullet"/>
      <w:lvlText w:val=""/>
      <w:lvlJc w:val="left"/>
      <w:pPr>
        <w:tabs>
          <w:tab w:val="num" w:pos="7080"/>
        </w:tabs>
        <w:ind w:left="7080" w:hanging="360"/>
      </w:pPr>
      <w:rPr>
        <w:rFonts w:ascii="Wingdings" w:hAnsi="Wingdings" w:hint="default"/>
      </w:rPr>
    </w:lvl>
  </w:abstractNum>
  <w:abstractNum w:abstractNumId="28">
    <w:nsid w:val="5E373DE7"/>
    <w:multiLevelType w:val="hybridMultilevel"/>
    <w:tmpl w:val="0046FF28"/>
    <w:lvl w:ilvl="0" w:tplc="7D92B1A6">
      <w:start w:val="7"/>
      <w:numFmt w:val="bullet"/>
      <w:lvlText w:val="-"/>
      <w:lvlJc w:val="left"/>
      <w:pPr>
        <w:tabs>
          <w:tab w:val="num" w:pos="1620"/>
        </w:tabs>
        <w:ind w:left="1620" w:hanging="360"/>
      </w:pPr>
      <w:rPr>
        <w:rFonts w:ascii="Times New Roman" w:eastAsia="Times New Roman" w:hAnsi="Times New Roman" w:cs="Times New Roman"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9">
    <w:nsid w:val="5E787608"/>
    <w:multiLevelType w:val="singleLevel"/>
    <w:tmpl w:val="BA2227E2"/>
    <w:lvl w:ilvl="0">
      <w:start w:val="1"/>
      <w:numFmt w:val="lowerLetter"/>
      <w:lvlText w:val="(%1)"/>
      <w:legacy w:legacy="1" w:legacySpace="0" w:legacyIndent="528"/>
      <w:lvlJc w:val="left"/>
      <w:rPr>
        <w:rFonts w:ascii="Times New Roman" w:hAnsi="Times New Roman" w:cs="Times New Roman" w:hint="default"/>
      </w:rPr>
    </w:lvl>
  </w:abstractNum>
  <w:abstractNum w:abstractNumId="30">
    <w:nsid w:val="5EF34C14"/>
    <w:multiLevelType w:val="hybridMultilevel"/>
    <w:tmpl w:val="D6C8717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nsid w:val="61540BC4"/>
    <w:multiLevelType w:val="hybridMultilevel"/>
    <w:tmpl w:val="D5360E80"/>
    <w:lvl w:ilvl="0" w:tplc="1ED89202">
      <w:start w:val="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nsid w:val="701826EB"/>
    <w:multiLevelType w:val="hybridMultilevel"/>
    <w:tmpl w:val="4A168E68"/>
    <w:lvl w:ilvl="0" w:tplc="6FE4F7C8">
      <w:start w:val="1"/>
      <w:numFmt w:val="upperRoman"/>
      <w:lvlText w:val="%1."/>
      <w:lvlJc w:val="left"/>
      <w:pPr>
        <w:tabs>
          <w:tab w:val="num" w:pos="900"/>
        </w:tabs>
        <w:ind w:left="90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741526C7"/>
    <w:multiLevelType w:val="hybridMultilevel"/>
    <w:tmpl w:val="9D0A198A"/>
    <w:lvl w:ilvl="0" w:tplc="7D92B1A6">
      <w:start w:val="7"/>
      <w:numFmt w:val="bullet"/>
      <w:lvlText w:val="-"/>
      <w:lvlJc w:val="left"/>
      <w:pPr>
        <w:ind w:left="2160" w:hanging="360"/>
      </w:pPr>
      <w:rPr>
        <w:rFonts w:ascii="Times New Roman" w:eastAsia="Times New Roman"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num w:numId="1">
    <w:abstractNumId w:val="10"/>
    <w:lvlOverride w:ilvl="0">
      <w:lvl w:ilvl="0">
        <w:start w:val="65535"/>
        <w:numFmt w:val="bullet"/>
        <w:lvlText w:val="►"/>
        <w:legacy w:legacy="1" w:legacySpace="0" w:legacyIndent="528"/>
        <w:lvlJc w:val="left"/>
        <w:rPr>
          <w:rFonts w:ascii="Times New Roman" w:hAnsi="Times New Roman" w:cs="Times New Roman" w:hint="default"/>
        </w:rPr>
      </w:lvl>
    </w:lvlOverride>
  </w:num>
  <w:num w:numId="2">
    <w:abstractNumId w:val="10"/>
    <w:lvlOverride w:ilvl="0">
      <w:lvl w:ilvl="0">
        <w:start w:val="65535"/>
        <w:numFmt w:val="bullet"/>
        <w:lvlText w:val="►"/>
        <w:legacy w:legacy="1" w:legacySpace="0" w:legacyIndent="687"/>
        <w:lvlJc w:val="left"/>
        <w:rPr>
          <w:rFonts w:ascii="Times New Roman" w:hAnsi="Times New Roman" w:cs="Times New Roman" w:hint="default"/>
        </w:rPr>
      </w:lvl>
    </w:lvlOverride>
  </w:num>
  <w:num w:numId="3">
    <w:abstractNumId w:val="10"/>
    <w:lvlOverride w:ilvl="0">
      <w:lvl w:ilvl="0">
        <w:start w:val="65535"/>
        <w:numFmt w:val="bullet"/>
        <w:lvlText w:val="►"/>
        <w:legacy w:legacy="1" w:legacySpace="0" w:legacyIndent="533"/>
        <w:lvlJc w:val="left"/>
        <w:rPr>
          <w:rFonts w:ascii="Times New Roman" w:hAnsi="Times New Roman" w:cs="Times New Roman" w:hint="default"/>
        </w:rPr>
      </w:lvl>
    </w:lvlOverride>
  </w:num>
  <w:num w:numId="4">
    <w:abstractNumId w:val="10"/>
    <w:lvlOverride w:ilvl="0">
      <w:lvl w:ilvl="0">
        <w:start w:val="65535"/>
        <w:numFmt w:val="bullet"/>
        <w:lvlText w:val="►"/>
        <w:legacy w:legacy="1" w:legacySpace="0" w:legacyIndent="523"/>
        <w:lvlJc w:val="left"/>
        <w:rPr>
          <w:rFonts w:ascii="Times New Roman" w:hAnsi="Times New Roman" w:cs="Times New Roman" w:hint="default"/>
        </w:rPr>
      </w:lvl>
    </w:lvlOverride>
  </w:num>
  <w:num w:numId="5">
    <w:abstractNumId w:val="29"/>
  </w:num>
  <w:num w:numId="6">
    <w:abstractNumId w:val="10"/>
    <w:lvlOverride w:ilvl="0">
      <w:lvl w:ilvl="0">
        <w:start w:val="65535"/>
        <w:numFmt w:val="bullet"/>
        <w:lvlText w:val="►"/>
        <w:legacy w:legacy="1" w:legacySpace="0" w:legacyIndent="547"/>
        <w:lvlJc w:val="left"/>
        <w:rPr>
          <w:rFonts w:ascii="Times New Roman" w:hAnsi="Times New Roman" w:cs="Times New Roman" w:hint="default"/>
        </w:rPr>
      </w:lvl>
    </w:lvlOverride>
  </w:num>
  <w:num w:numId="7">
    <w:abstractNumId w:val="10"/>
    <w:lvlOverride w:ilvl="0">
      <w:lvl w:ilvl="0">
        <w:start w:val="65535"/>
        <w:numFmt w:val="bullet"/>
        <w:lvlText w:val="►"/>
        <w:legacy w:legacy="1" w:legacySpace="0" w:legacyIndent="475"/>
        <w:lvlJc w:val="left"/>
        <w:rPr>
          <w:rFonts w:ascii="Times New Roman" w:hAnsi="Times New Roman" w:cs="Times New Roman" w:hint="default"/>
        </w:rPr>
      </w:lvl>
    </w:lvlOverride>
  </w:num>
  <w:num w:numId="8">
    <w:abstractNumId w:val="10"/>
    <w:lvlOverride w:ilvl="0">
      <w:lvl w:ilvl="0">
        <w:start w:val="65535"/>
        <w:numFmt w:val="bullet"/>
        <w:lvlText w:val="►"/>
        <w:legacy w:legacy="1" w:legacySpace="0" w:legacyIndent="538"/>
        <w:lvlJc w:val="left"/>
        <w:rPr>
          <w:rFonts w:ascii="Times New Roman" w:hAnsi="Times New Roman" w:cs="Times New Roman" w:hint="default"/>
        </w:rPr>
      </w:lvl>
    </w:lvlOverride>
  </w:num>
  <w:num w:numId="9">
    <w:abstractNumId w:val="10"/>
    <w:lvlOverride w:ilvl="0">
      <w:lvl w:ilvl="0">
        <w:start w:val="65535"/>
        <w:numFmt w:val="bullet"/>
        <w:lvlText w:val="►"/>
        <w:legacy w:legacy="1" w:legacySpace="0" w:legacyIndent="490"/>
        <w:lvlJc w:val="left"/>
        <w:rPr>
          <w:rFonts w:ascii="Times New Roman" w:hAnsi="Times New Roman" w:cs="Times New Roman" w:hint="default"/>
        </w:rPr>
      </w:lvl>
    </w:lvlOverride>
  </w:num>
  <w:num w:numId="10">
    <w:abstractNumId w:val="10"/>
    <w:lvlOverride w:ilvl="0">
      <w:lvl w:ilvl="0">
        <w:start w:val="65535"/>
        <w:numFmt w:val="bullet"/>
        <w:lvlText w:val="►"/>
        <w:legacy w:legacy="1" w:legacySpace="0" w:legacyIndent="518"/>
        <w:lvlJc w:val="left"/>
        <w:rPr>
          <w:rFonts w:ascii="Times New Roman" w:hAnsi="Times New Roman" w:cs="Times New Roman" w:hint="default"/>
        </w:rPr>
      </w:lvl>
    </w:lvlOverride>
  </w:num>
  <w:num w:numId="11">
    <w:abstractNumId w:val="10"/>
    <w:lvlOverride w:ilvl="0">
      <w:lvl w:ilvl="0">
        <w:start w:val="65535"/>
        <w:numFmt w:val="bullet"/>
        <w:lvlText w:val="►"/>
        <w:legacy w:legacy="1" w:legacySpace="0" w:legacyIndent="686"/>
        <w:lvlJc w:val="left"/>
        <w:rPr>
          <w:rFonts w:ascii="Times New Roman" w:hAnsi="Times New Roman" w:cs="Times New Roman" w:hint="default"/>
        </w:rPr>
      </w:lvl>
    </w:lvlOverride>
  </w:num>
  <w:num w:numId="12">
    <w:abstractNumId w:val="24"/>
  </w:num>
  <w:num w:numId="13">
    <w:abstractNumId w:val="15"/>
  </w:num>
  <w:num w:numId="14">
    <w:abstractNumId w:val="11"/>
  </w:num>
  <w:num w:numId="15">
    <w:abstractNumId w:val="1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7"/>
  </w:num>
  <w:num w:numId="27">
    <w:abstractNumId w:val="33"/>
  </w:num>
  <w:num w:numId="28">
    <w:abstractNumId w:val="17"/>
  </w:num>
  <w:num w:numId="29">
    <w:abstractNumId w:val="28"/>
  </w:num>
  <w:num w:numId="30">
    <w:abstractNumId w:val="31"/>
  </w:num>
  <w:num w:numId="31">
    <w:abstractNumId w:val="16"/>
  </w:num>
  <w:num w:numId="32">
    <w:abstractNumId w:val="23"/>
  </w:num>
  <w:num w:numId="33">
    <w:abstractNumId w:val="21"/>
  </w:num>
  <w:num w:numId="34">
    <w:abstractNumId w:val="26"/>
  </w:num>
  <w:num w:numId="35">
    <w:abstractNumId w:val="32"/>
  </w:num>
  <w:num w:numId="36">
    <w:abstractNumId w:val="13"/>
  </w:num>
  <w:num w:numId="37">
    <w:abstractNumId w:val="25"/>
  </w:num>
  <w:num w:numId="38">
    <w:abstractNumId w:val="30"/>
  </w:num>
  <w:num w:numId="39">
    <w:abstractNumId w:val="22"/>
  </w:num>
  <w:num w:numId="40">
    <w:abstractNumId w:val="12"/>
  </w:num>
  <w:num w:numId="41">
    <w:abstractNumId w:val="18"/>
  </w:num>
  <w:num w:numId="42">
    <w:abstractNumId w:val="1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75"/>
    <w:rsid w:val="00000B00"/>
    <w:rsid w:val="00000B60"/>
    <w:rsid w:val="00001AFB"/>
    <w:rsid w:val="000029F3"/>
    <w:rsid w:val="0000322F"/>
    <w:rsid w:val="00004ACE"/>
    <w:rsid w:val="00007422"/>
    <w:rsid w:val="000077ED"/>
    <w:rsid w:val="000163FB"/>
    <w:rsid w:val="000172EC"/>
    <w:rsid w:val="00020C13"/>
    <w:rsid w:val="00021621"/>
    <w:rsid w:val="00021E77"/>
    <w:rsid w:val="000222BA"/>
    <w:rsid w:val="00024432"/>
    <w:rsid w:val="00024FFC"/>
    <w:rsid w:val="0002557C"/>
    <w:rsid w:val="00032FB4"/>
    <w:rsid w:val="00032FCD"/>
    <w:rsid w:val="00033410"/>
    <w:rsid w:val="00037753"/>
    <w:rsid w:val="000418AB"/>
    <w:rsid w:val="00043A51"/>
    <w:rsid w:val="00051216"/>
    <w:rsid w:val="00052598"/>
    <w:rsid w:val="00056ECA"/>
    <w:rsid w:val="00057DD4"/>
    <w:rsid w:val="00061B89"/>
    <w:rsid w:val="0006584E"/>
    <w:rsid w:val="00065A2C"/>
    <w:rsid w:val="000778DF"/>
    <w:rsid w:val="00077C0B"/>
    <w:rsid w:val="00080657"/>
    <w:rsid w:val="0008085E"/>
    <w:rsid w:val="00083240"/>
    <w:rsid w:val="000844DD"/>
    <w:rsid w:val="0008674A"/>
    <w:rsid w:val="00087F74"/>
    <w:rsid w:val="00091F35"/>
    <w:rsid w:val="000A3CFA"/>
    <w:rsid w:val="000A48F5"/>
    <w:rsid w:val="000A5163"/>
    <w:rsid w:val="000A6B95"/>
    <w:rsid w:val="000B14D7"/>
    <w:rsid w:val="000B6A10"/>
    <w:rsid w:val="000C5E0E"/>
    <w:rsid w:val="000D3B99"/>
    <w:rsid w:val="000D5CDF"/>
    <w:rsid w:val="000D60BC"/>
    <w:rsid w:val="000D6D41"/>
    <w:rsid w:val="000D7CA2"/>
    <w:rsid w:val="000E2748"/>
    <w:rsid w:val="000E4823"/>
    <w:rsid w:val="000E5967"/>
    <w:rsid w:val="000E757D"/>
    <w:rsid w:val="000F1A30"/>
    <w:rsid w:val="000F6719"/>
    <w:rsid w:val="000F6D52"/>
    <w:rsid w:val="000F7EF0"/>
    <w:rsid w:val="001106FD"/>
    <w:rsid w:val="00114E5E"/>
    <w:rsid w:val="0011596E"/>
    <w:rsid w:val="001159A4"/>
    <w:rsid w:val="00120759"/>
    <w:rsid w:val="001218C0"/>
    <w:rsid w:val="001221B3"/>
    <w:rsid w:val="0013017B"/>
    <w:rsid w:val="001305BB"/>
    <w:rsid w:val="00130FA4"/>
    <w:rsid w:val="0013363D"/>
    <w:rsid w:val="00135B29"/>
    <w:rsid w:val="0014128A"/>
    <w:rsid w:val="00142523"/>
    <w:rsid w:val="00143114"/>
    <w:rsid w:val="00150267"/>
    <w:rsid w:val="0015044A"/>
    <w:rsid w:val="00150FBF"/>
    <w:rsid w:val="001601D7"/>
    <w:rsid w:val="0016042D"/>
    <w:rsid w:val="00160457"/>
    <w:rsid w:val="00166338"/>
    <w:rsid w:val="00170B30"/>
    <w:rsid w:val="00172326"/>
    <w:rsid w:val="00172AB7"/>
    <w:rsid w:val="0017484A"/>
    <w:rsid w:val="00181582"/>
    <w:rsid w:val="001836BA"/>
    <w:rsid w:val="0019068B"/>
    <w:rsid w:val="00196C89"/>
    <w:rsid w:val="00197882"/>
    <w:rsid w:val="001A2C3A"/>
    <w:rsid w:val="001A4AD3"/>
    <w:rsid w:val="001A6DC7"/>
    <w:rsid w:val="001B1316"/>
    <w:rsid w:val="001C02DE"/>
    <w:rsid w:val="001C2314"/>
    <w:rsid w:val="001C6980"/>
    <w:rsid w:val="001D39CB"/>
    <w:rsid w:val="001D4744"/>
    <w:rsid w:val="001D6271"/>
    <w:rsid w:val="001E06BE"/>
    <w:rsid w:val="001E26F4"/>
    <w:rsid w:val="001F00B9"/>
    <w:rsid w:val="001F1A04"/>
    <w:rsid w:val="001F2147"/>
    <w:rsid w:val="001F6CF4"/>
    <w:rsid w:val="00202543"/>
    <w:rsid w:val="002039F3"/>
    <w:rsid w:val="00205A86"/>
    <w:rsid w:val="00207E7D"/>
    <w:rsid w:val="0021062F"/>
    <w:rsid w:val="00213400"/>
    <w:rsid w:val="002161AB"/>
    <w:rsid w:val="00222F9C"/>
    <w:rsid w:val="00223CF6"/>
    <w:rsid w:val="0022529C"/>
    <w:rsid w:val="00226BD3"/>
    <w:rsid w:val="0023590F"/>
    <w:rsid w:val="00235BF3"/>
    <w:rsid w:val="00236B59"/>
    <w:rsid w:val="00242471"/>
    <w:rsid w:val="002429DB"/>
    <w:rsid w:val="00244C9D"/>
    <w:rsid w:val="00246260"/>
    <w:rsid w:val="0025037C"/>
    <w:rsid w:val="00253EF3"/>
    <w:rsid w:val="00255409"/>
    <w:rsid w:val="00256069"/>
    <w:rsid w:val="002612A8"/>
    <w:rsid w:val="00263CA9"/>
    <w:rsid w:val="00264DEB"/>
    <w:rsid w:val="00273881"/>
    <w:rsid w:val="002764F6"/>
    <w:rsid w:val="0028081E"/>
    <w:rsid w:val="00282A08"/>
    <w:rsid w:val="00284BCA"/>
    <w:rsid w:val="00285879"/>
    <w:rsid w:val="00287180"/>
    <w:rsid w:val="00291720"/>
    <w:rsid w:val="002A1DF8"/>
    <w:rsid w:val="002A70EB"/>
    <w:rsid w:val="002B3686"/>
    <w:rsid w:val="002B4C0E"/>
    <w:rsid w:val="002C4AE0"/>
    <w:rsid w:val="002C56CA"/>
    <w:rsid w:val="002D0301"/>
    <w:rsid w:val="002D396A"/>
    <w:rsid w:val="002D6AF2"/>
    <w:rsid w:val="002D7475"/>
    <w:rsid w:val="002D7949"/>
    <w:rsid w:val="002D7B4B"/>
    <w:rsid w:val="002E0DC2"/>
    <w:rsid w:val="002E28BD"/>
    <w:rsid w:val="002E2B5F"/>
    <w:rsid w:val="002E2F57"/>
    <w:rsid w:val="002F3896"/>
    <w:rsid w:val="002F4544"/>
    <w:rsid w:val="002F623B"/>
    <w:rsid w:val="00300930"/>
    <w:rsid w:val="0030515A"/>
    <w:rsid w:val="00305A6A"/>
    <w:rsid w:val="00306E6F"/>
    <w:rsid w:val="003102DD"/>
    <w:rsid w:val="0031134F"/>
    <w:rsid w:val="0031168E"/>
    <w:rsid w:val="00314891"/>
    <w:rsid w:val="00315A50"/>
    <w:rsid w:val="003174EB"/>
    <w:rsid w:val="00323875"/>
    <w:rsid w:val="00331483"/>
    <w:rsid w:val="00346CB4"/>
    <w:rsid w:val="00347890"/>
    <w:rsid w:val="00347DD7"/>
    <w:rsid w:val="0035671F"/>
    <w:rsid w:val="0036011E"/>
    <w:rsid w:val="00360743"/>
    <w:rsid w:val="00360DCC"/>
    <w:rsid w:val="003652CF"/>
    <w:rsid w:val="00370052"/>
    <w:rsid w:val="00376101"/>
    <w:rsid w:val="003805AC"/>
    <w:rsid w:val="00386E7C"/>
    <w:rsid w:val="0039071D"/>
    <w:rsid w:val="00391115"/>
    <w:rsid w:val="0039159A"/>
    <w:rsid w:val="0039635E"/>
    <w:rsid w:val="00396631"/>
    <w:rsid w:val="00396C95"/>
    <w:rsid w:val="003972DC"/>
    <w:rsid w:val="003A1788"/>
    <w:rsid w:val="003A3F20"/>
    <w:rsid w:val="003A42BB"/>
    <w:rsid w:val="003A584C"/>
    <w:rsid w:val="003B3F29"/>
    <w:rsid w:val="003B4698"/>
    <w:rsid w:val="003C0CA2"/>
    <w:rsid w:val="003C2BF4"/>
    <w:rsid w:val="003E0109"/>
    <w:rsid w:val="003E3AC2"/>
    <w:rsid w:val="003F0D91"/>
    <w:rsid w:val="003F622D"/>
    <w:rsid w:val="003F6AA7"/>
    <w:rsid w:val="00401467"/>
    <w:rsid w:val="00401CAE"/>
    <w:rsid w:val="004022EE"/>
    <w:rsid w:val="004025C0"/>
    <w:rsid w:val="00402914"/>
    <w:rsid w:val="00402A7E"/>
    <w:rsid w:val="00403112"/>
    <w:rsid w:val="00404111"/>
    <w:rsid w:val="00407079"/>
    <w:rsid w:val="00416217"/>
    <w:rsid w:val="00423CE1"/>
    <w:rsid w:val="00425448"/>
    <w:rsid w:val="00426BA5"/>
    <w:rsid w:val="00427C3F"/>
    <w:rsid w:val="00432946"/>
    <w:rsid w:val="004329AB"/>
    <w:rsid w:val="00434741"/>
    <w:rsid w:val="00436DD7"/>
    <w:rsid w:val="00445379"/>
    <w:rsid w:val="00447017"/>
    <w:rsid w:val="0044715E"/>
    <w:rsid w:val="0044748A"/>
    <w:rsid w:val="00451472"/>
    <w:rsid w:val="00452C6D"/>
    <w:rsid w:val="004536B8"/>
    <w:rsid w:val="004612EB"/>
    <w:rsid w:val="00461DFC"/>
    <w:rsid w:val="00463E88"/>
    <w:rsid w:val="004755E7"/>
    <w:rsid w:val="00475E01"/>
    <w:rsid w:val="0048215B"/>
    <w:rsid w:val="004854D3"/>
    <w:rsid w:val="004864CD"/>
    <w:rsid w:val="004904E1"/>
    <w:rsid w:val="00490A55"/>
    <w:rsid w:val="00491089"/>
    <w:rsid w:val="004918AB"/>
    <w:rsid w:val="00491CA4"/>
    <w:rsid w:val="00492495"/>
    <w:rsid w:val="004943E6"/>
    <w:rsid w:val="00495740"/>
    <w:rsid w:val="004961D4"/>
    <w:rsid w:val="004A0ED8"/>
    <w:rsid w:val="004A766A"/>
    <w:rsid w:val="004B0B9B"/>
    <w:rsid w:val="004B3996"/>
    <w:rsid w:val="004B432D"/>
    <w:rsid w:val="004C18EA"/>
    <w:rsid w:val="004C211C"/>
    <w:rsid w:val="004C4417"/>
    <w:rsid w:val="004C5D1D"/>
    <w:rsid w:val="004C7684"/>
    <w:rsid w:val="004C7F85"/>
    <w:rsid w:val="004D486D"/>
    <w:rsid w:val="004E0C4C"/>
    <w:rsid w:val="004E2372"/>
    <w:rsid w:val="004E241E"/>
    <w:rsid w:val="004E2A43"/>
    <w:rsid w:val="004E31A2"/>
    <w:rsid w:val="004E65F1"/>
    <w:rsid w:val="004F0D55"/>
    <w:rsid w:val="004F26E0"/>
    <w:rsid w:val="005014CA"/>
    <w:rsid w:val="00505B63"/>
    <w:rsid w:val="00520950"/>
    <w:rsid w:val="00523286"/>
    <w:rsid w:val="00523DDB"/>
    <w:rsid w:val="00533125"/>
    <w:rsid w:val="00537DE0"/>
    <w:rsid w:val="00540D13"/>
    <w:rsid w:val="00540E87"/>
    <w:rsid w:val="00541336"/>
    <w:rsid w:val="00543820"/>
    <w:rsid w:val="00543D75"/>
    <w:rsid w:val="00544C3D"/>
    <w:rsid w:val="0054580D"/>
    <w:rsid w:val="00550138"/>
    <w:rsid w:val="00550329"/>
    <w:rsid w:val="0055505C"/>
    <w:rsid w:val="00560EC8"/>
    <w:rsid w:val="00560F4D"/>
    <w:rsid w:val="00562789"/>
    <w:rsid w:val="00562CE9"/>
    <w:rsid w:val="0056331D"/>
    <w:rsid w:val="0056531E"/>
    <w:rsid w:val="00570A36"/>
    <w:rsid w:val="00572E7F"/>
    <w:rsid w:val="00574E1B"/>
    <w:rsid w:val="00575969"/>
    <w:rsid w:val="005839DB"/>
    <w:rsid w:val="00587856"/>
    <w:rsid w:val="00591BA0"/>
    <w:rsid w:val="00594F00"/>
    <w:rsid w:val="0059557C"/>
    <w:rsid w:val="00595B90"/>
    <w:rsid w:val="005A156F"/>
    <w:rsid w:val="005A6E92"/>
    <w:rsid w:val="005B27D3"/>
    <w:rsid w:val="005B3245"/>
    <w:rsid w:val="005B4A94"/>
    <w:rsid w:val="005C2944"/>
    <w:rsid w:val="005C3383"/>
    <w:rsid w:val="005C7781"/>
    <w:rsid w:val="005D1CEE"/>
    <w:rsid w:val="005E1919"/>
    <w:rsid w:val="005E7D60"/>
    <w:rsid w:val="005F07C2"/>
    <w:rsid w:val="005F0B82"/>
    <w:rsid w:val="005F3618"/>
    <w:rsid w:val="005F3E1B"/>
    <w:rsid w:val="005F6BC6"/>
    <w:rsid w:val="006001C2"/>
    <w:rsid w:val="00600CF0"/>
    <w:rsid w:val="00602190"/>
    <w:rsid w:val="00602D8D"/>
    <w:rsid w:val="00604609"/>
    <w:rsid w:val="00607E76"/>
    <w:rsid w:val="00610BF8"/>
    <w:rsid w:val="006164BD"/>
    <w:rsid w:val="00617646"/>
    <w:rsid w:val="006206F6"/>
    <w:rsid w:val="00621D13"/>
    <w:rsid w:val="0062312A"/>
    <w:rsid w:val="0062531C"/>
    <w:rsid w:val="00633921"/>
    <w:rsid w:val="00634FBC"/>
    <w:rsid w:val="00642323"/>
    <w:rsid w:val="00642AF4"/>
    <w:rsid w:val="00642E6A"/>
    <w:rsid w:val="00643EB3"/>
    <w:rsid w:val="00650BD2"/>
    <w:rsid w:val="0065392E"/>
    <w:rsid w:val="00654CEF"/>
    <w:rsid w:val="006628E3"/>
    <w:rsid w:val="00663D6C"/>
    <w:rsid w:val="00672A6C"/>
    <w:rsid w:val="00680B61"/>
    <w:rsid w:val="00682DAE"/>
    <w:rsid w:val="006841C9"/>
    <w:rsid w:val="00686BA0"/>
    <w:rsid w:val="00691198"/>
    <w:rsid w:val="006A0EF6"/>
    <w:rsid w:val="006A3BB4"/>
    <w:rsid w:val="006B09D6"/>
    <w:rsid w:val="006B2AB5"/>
    <w:rsid w:val="006B33ED"/>
    <w:rsid w:val="006B77E9"/>
    <w:rsid w:val="006C2DA2"/>
    <w:rsid w:val="006C6B43"/>
    <w:rsid w:val="006C77A7"/>
    <w:rsid w:val="006D21EF"/>
    <w:rsid w:val="006D2A57"/>
    <w:rsid w:val="006D3766"/>
    <w:rsid w:val="006E1C2E"/>
    <w:rsid w:val="006E1EA2"/>
    <w:rsid w:val="006E32BB"/>
    <w:rsid w:val="006E435D"/>
    <w:rsid w:val="006E60A4"/>
    <w:rsid w:val="006F276F"/>
    <w:rsid w:val="006F316F"/>
    <w:rsid w:val="006F505F"/>
    <w:rsid w:val="006F61AA"/>
    <w:rsid w:val="00700E89"/>
    <w:rsid w:val="007020B6"/>
    <w:rsid w:val="0070488F"/>
    <w:rsid w:val="00705184"/>
    <w:rsid w:val="00707990"/>
    <w:rsid w:val="0071293A"/>
    <w:rsid w:val="00714EDE"/>
    <w:rsid w:val="007156F9"/>
    <w:rsid w:val="007168F5"/>
    <w:rsid w:val="0071799A"/>
    <w:rsid w:val="00720F44"/>
    <w:rsid w:val="00725351"/>
    <w:rsid w:val="00727D10"/>
    <w:rsid w:val="007318C7"/>
    <w:rsid w:val="007377F1"/>
    <w:rsid w:val="00743F67"/>
    <w:rsid w:val="00744F4F"/>
    <w:rsid w:val="00746A75"/>
    <w:rsid w:val="00747179"/>
    <w:rsid w:val="00761D07"/>
    <w:rsid w:val="00765209"/>
    <w:rsid w:val="0076540F"/>
    <w:rsid w:val="007660F3"/>
    <w:rsid w:val="00767B48"/>
    <w:rsid w:val="00770AE2"/>
    <w:rsid w:val="00777651"/>
    <w:rsid w:val="00780F99"/>
    <w:rsid w:val="00782E67"/>
    <w:rsid w:val="00783C59"/>
    <w:rsid w:val="00787794"/>
    <w:rsid w:val="00792998"/>
    <w:rsid w:val="007933CF"/>
    <w:rsid w:val="007A0649"/>
    <w:rsid w:val="007A297B"/>
    <w:rsid w:val="007A44E5"/>
    <w:rsid w:val="007A6D77"/>
    <w:rsid w:val="007A771F"/>
    <w:rsid w:val="007B00E1"/>
    <w:rsid w:val="007B1357"/>
    <w:rsid w:val="007B1BB5"/>
    <w:rsid w:val="007B5AF4"/>
    <w:rsid w:val="007B608B"/>
    <w:rsid w:val="007C4C90"/>
    <w:rsid w:val="007C5559"/>
    <w:rsid w:val="007D0ACA"/>
    <w:rsid w:val="007D0D9C"/>
    <w:rsid w:val="007D3146"/>
    <w:rsid w:val="007D7F58"/>
    <w:rsid w:val="007F1053"/>
    <w:rsid w:val="007F16CF"/>
    <w:rsid w:val="007F2C97"/>
    <w:rsid w:val="00800F9E"/>
    <w:rsid w:val="008119D3"/>
    <w:rsid w:val="008132E7"/>
    <w:rsid w:val="008141B2"/>
    <w:rsid w:val="00815C2B"/>
    <w:rsid w:val="00816235"/>
    <w:rsid w:val="00816B6F"/>
    <w:rsid w:val="008203F9"/>
    <w:rsid w:val="00820C1B"/>
    <w:rsid w:val="008347A5"/>
    <w:rsid w:val="008359F0"/>
    <w:rsid w:val="00840BDB"/>
    <w:rsid w:val="00845CE4"/>
    <w:rsid w:val="00851514"/>
    <w:rsid w:val="00853CD1"/>
    <w:rsid w:val="00861DAB"/>
    <w:rsid w:val="00871B1E"/>
    <w:rsid w:val="00876B6C"/>
    <w:rsid w:val="0088271C"/>
    <w:rsid w:val="00883687"/>
    <w:rsid w:val="008854AA"/>
    <w:rsid w:val="00894037"/>
    <w:rsid w:val="008961C1"/>
    <w:rsid w:val="008B0999"/>
    <w:rsid w:val="008B39C4"/>
    <w:rsid w:val="008B4E3B"/>
    <w:rsid w:val="008C02C6"/>
    <w:rsid w:val="008C0B78"/>
    <w:rsid w:val="008C3F59"/>
    <w:rsid w:val="008C533E"/>
    <w:rsid w:val="008D1D71"/>
    <w:rsid w:val="008D1FEA"/>
    <w:rsid w:val="008E5DDB"/>
    <w:rsid w:val="008F0D85"/>
    <w:rsid w:val="00900FEE"/>
    <w:rsid w:val="0090461A"/>
    <w:rsid w:val="00905EA4"/>
    <w:rsid w:val="00910407"/>
    <w:rsid w:val="009106AA"/>
    <w:rsid w:val="00915567"/>
    <w:rsid w:val="00920A3B"/>
    <w:rsid w:val="00922030"/>
    <w:rsid w:val="00922E7D"/>
    <w:rsid w:val="009302B5"/>
    <w:rsid w:val="00933733"/>
    <w:rsid w:val="00933978"/>
    <w:rsid w:val="00933ED8"/>
    <w:rsid w:val="00941CFA"/>
    <w:rsid w:val="0094283B"/>
    <w:rsid w:val="00946858"/>
    <w:rsid w:val="00947529"/>
    <w:rsid w:val="0094761F"/>
    <w:rsid w:val="009521B0"/>
    <w:rsid w:val="00954C7E"/>
    <w:rsid w:val="00954FF9"/>
    <w:rsid w:val="0096728D"/>
    <w:rsid w:val="00975C6F"/>
    <w:rsid w:val="00980B6A"/>
    <w:rsid w:val="00982339"/>
    <w:rsid w:val="00982CB3"/>
    <w:rsid w:val="0098647F"/>
    <w:rsid w:val="009865E7"/>
    <w:rsid w:val="009874EF"/>
    <w:rsid w:val="00990503"/>
    <w:rsid w:val="00993A0D"/>
    <w:rsid w:val="0099435F"/>
    <w:rsid w:val="0099671C"/>
    <w:rsid w:val="009B03DA"/>
    <w:rsid w:val="009B2372"/>
    <w:rsid w:val="009B30AB"/>
    <w:rsid w:val="009B586A"/>
    <w:rsid w:val="009C0084"/>
    <w:rsid w:val="009C1435"/>
    <w:rsid w:val="009C2411"/>
    <w:rsid w:val="009D1147"/>
    <w:rsid w:val="009D563D"/>
    <w:rsid w:val="009E0845"/>
    <w:rsid w:val="009E2454"/>
    <w:rsid w:val="009E65C5"/>
    <w:rsid w:val="009F02C7"/>
    <w:rsid w:val="009F096F"/>
    <w:rsid w:val="009F7C9C"/>
    <w:rsid w:val="00A0116C"/>
    <w:rsid w:val="00A04222"/>
    <w:rsid w:val="00A0509B"/>
    <w:rsid w:val="00A132CC"/>
    <w:rsid w:val="00A267EE"/>
    <w:rsid w:val="00A30CA1"/>
    <w:rsid w:val="00A4046A"/>
    <w:rsid w:val="00A427C4"/>
    <w:rsid w:val="00A4293B"/>
    <w:rsid w:val="00A5189F"/>
    <w:rsid w:val="00A5224C"/>
    <w:rsid w:val="00A527F9"/>
    <w:rsid w:val="00A54E12"/>
    <w:rsid w:val="00A62607"/>
    <w:rsid w:val="00A627AD"/>
    <w:rsid w:val="00A62C35"/>
    <w:rsid w:val="00A63800"/>
    <w:rsid w:val="00A75937"/>
    <w:rsid w:val="00A7707B"/>
    <w:rsid w:val="00A85A10"/>
    <w:rsid w:val="00A86AD0"/>
    <w:rsid w:val="00A87027"/>
    <w:rsid w:val="00A90D46"/>
    <w:rsid w:val="00A94654"/>
    <w:rsid w:val="00A950A1"/>
    <w:rsid w:val="00A971F2"/>
    <w:rsid w:val="00AA2FCE"/>
    <w:rsid w:val="00AA4590"/>
    <w:rsid w:val="00AB6A5F"/>
    <w:rsid w:val="00AC3461"/>
    <w:rsid w:val="00AC3976"/>
    <w:rsid w:val="00AD3607"/>
    <w:rsid w:val="00AD3D41"/>
    <w:rsid w:val="00AD7145"/>
    <w:rsid w:val="00AE0014"/>
    <w:rsid w:val="00AE1B69"/>
    <w:rsid w:val="00AE278E"/>
    <w:rsid w:val="00AE27B0"/>
    <w:rsid w:val="00AE3B7C"/>
    <w:rsid w:val="00AE7E33"/>
    <w:rsid w:val="00AF175E"/>
    <w:rsid w:val="00AF79EC"/>
    <w:rsid w:val="00B00E5D"/>
    <w:rsid w:val="00B10A0D"/>
    <w:rsid w:val="00B12108"/>
    <w:rsid w:val="00B2150F"/>
    <w:rsid w:val="00B218DC"/>
    <w:rsid w:val="00B263A2"/>
    <w:rsid w:val="00B26B26"/>
    <w:rsid w:val="00B27A19"/>
    <w:rsid w:val="00B30A3A"/>
    <w:rsid w:val="00B30FFF"/>
    <w:rsid w:val="00B32B30"/>
    <w:rsid w:val="00B3783F"/>
    <w:rsid w:val="00B45220"/>
    <w:rsid w:val="00B45C76"/>
    <w:rsid w:val="00B504DD"/>
    <w:rsid w:val="00B52455"/>
    <w:rsid w:val="00B54DD1"/>
    <w:rsid w:val="00B55901"/>
    <w:rsid w:val="00B56054"/>
    <w:rsid w:val="00B61E03"/>
    <w:rsid w:val="00B635FD"/>
    <w:rsid w:val="00B66319"/>
    <w:rsid w:val="00B66D29"/>
    <w:rsid w:val="00B73139"/>
    <w:rsid w:val="00B73FAE"/>
    <w:rsid w:val="00B802E7"/>
    <w:rsid w:val="00B82613"/>
    <w:rsid w:val="00B8387F"/>
    <w:rsid w:val="00B84850"/>
    <w:rsid w:val="00B879B4"/>
    <w:rsid w:val="00B87A74"/>
    <w:rsid w:val="00B92A58"/>
    <w:rsid w:val="00B9473C"/>
    <w:rsid w:val="00B96011"/>
    <w:rsid w:val="00B97C4E"/>
    <w:rsid w:val="00BB2612"/>
    <w:rsid w:val="00BB2F42"/>
    <w:rsid w:val="00BB6E85"/>
    <w:rsid w:val="00BC0D8A"/>
    <w:rsid w:val="00BC19A6"/>
    <w:rsid w:val="00BC45E0"/>
    <w:rsid w:val="00BC66E6"/>
    <w:rsid w:val="00BD67C7"/>
    <w:rsid w:val="00BE6ABB"/>
    <w:rsid w:val="00BF1A1F"/>
    <w:rsid w:val="00BF1DFF"/>
    <w:rsid w:val="00BF552C"/>
    <w:rsid w:val="00BF65E5"/>
    <w:rsid w:val="00BF7B39"/>
    <w:rsid w:val="00C03561"/>
    <w:rsid w:val="00C16E70"/>
    <w:rsid w:val="00C2042C"/>
    <w:rsid w:val="00C24AA1"/>
    <w:rsid w:val="00C26946"/>
    <w:rsid w:val="00C37854"/>
    <w:rsid w:val="00C418D6"/>
    <w:rsid w:val="00C419C0"/>
    <w:rsid w:val="00C42A49"/>
    <w:rsid w:val="00C43672"/>
    <w:rsid w:val="00C44076"/>
    <w:rsid w:val="00C44613"/>
    <w:rsid w:val="00C51BF5"/>
    <w:rsid w:val="00C5774E"/>
    <w:rsid w:val="00C634F0"/>
    <w:rsid w:val="00C63C51"/>
    <w:rsid w:val="00C71B06"/>
    <w:rsid w:val="00C739CC"/>
    <w:rsid w:val="00C742B4"/>
    <w:rsid w:val="00C77776"/>
    <w:rsid w:val="00C77933"/>
    <w:rsid w:val="00C77ADC"/>
    <w:rsid w:val="00C804C3"/>
    <w:rsid w:val="00C82BA2"/>
    <w:rsid w:val="00C85612"/>
    <w:rsid w:val="00C86217"/>
    <w:rsid w:val="00C943D7"/>
    <w:rsid w:val="00C95AF7"/>
    <w:rsid w:val="00C979AB"/>
    <w:rsid w:val="00CA20D7"/>
    <w:rsid w:val="00CA2C3E"/>
    <w:rsid w:val="00CA67A5"/>
    <w:rsid w:val="00CB2CB4"/>
    <w:rsid w:val="00CB6E2A"/>
    <w:rsid w:val="00CC1D3D"/>
    <w:rsid w:val="00CC3739"/>
    <w:rsid w:val="00CC4925"/>
    <w:rsid w:val="00CC5C3A"/>
    <w:rsid w:val="00CC5F0C"/>
    <w:rsid w:val="00CC70AB"/>
    <w:rsid w:val="00CC7AA0"/>
    <w:rsid w:val="00CD38A5"/>
    <w:rsid w:val="00CD64D9"/>
    <w:rsid w:val="00CD6CED"/>
    <w:rsid w:val="00CD73A2"/>
    <w:rsid w:val="00CD7561"/>
    <w:rsid w:val="00CE0DE1"/>
    <w:rsid w:val="00CE1A6E"/>
    <w:rsid w:val="00CE1EF6"/>
    <w:rsid w:val="00CE6E71"/>
    <w:rsid w:val="00CF1D4C"/>
    <w:rsid w:val="00CF30E5"/>
    <w:rsid w:val="00CF37F3"/>
    <w:rsid w:val="00CF4504"/>
    <w:rsid w:val="00CF4721"/>
    <w:rsid w:val="00CF6493"/>
    <w:rsid w:val="00D033D6"/>
    <w:rsid w:val="00D10D6B"/>
    <w:rsid w:val="00D12070"/>
    <w:rsid w:val="00D12750"/>
    <w:rsid w:val="00D14310"/>
    <w:rsid w:val="00D16CD6"/>
    <w:rsid w:val="00D20049"/>
    <w:rsid w:val="00D20693"/>
    <w:rsid w:val="00D25DA5"/>
    <w:rsid w:val="00D27BAF"/>
    <w:rsid w:val="00D314C5"/>
    <w:rsid w:val="00D35779"/>
    <w:rsid w:val="00D36A10"/>
    <w:rsid w:val="00D374FC"/>
    <w:rsid w:val="00D41A66"/>
    <w:rsid w:val="00D46A71"/>
    <w:rsid w:val="00D52454"/>
    <w:rsid w:val="00D539A2"/>
    <w:rsid w:val="00D558AD"/>
    <w:rsid w:val="00D607B3"/>
    <w:rsid w:val="00D626AC"/>
    <w:rsid w:val="00D63B76"/>
    <w:rsid w:val="00D7075F"/>
    <w:rsid w:val="00D7323A"/>
    <w:rsid w:val="00D73B96"/>
    <w:rsid w:val="00D75986"/>
    <w:rsid w:val="00D77659"/>
    <w:rsid w:val="00D81683"/>
    <w:rsid w:val="00D85F7C"/>
    <w:rsid w:val="00D95956"/>
    <w:rsid w:val="00DA386E"/>
    <w:rsid w:val="00DA3DC3"/>
    <w:rsid w:val="00DA3EE3"/>
    <w:rsid w:val="00DA57AD"/>
    <w:rsid w:val="00DA6B6A"/>
    <w:rsid w:val="00DB25DD"/>
    <w:rsid w:val="00DB46F8"/>
    <w:rsid w:val="00DC557F"/>
    <w:rsid w:val="00DD1B6A"/>
    <w:rsid w:val="00DD7A88"/>
    <w:rsid w:val="00DE0402"/>
    <w:rsid w:val="00DE38AA"/>
    <w:rsid w:val="00DF05D8"/>
    <w:rsid w:val="00DF09A5"/>
    <w:rsid w:val="00DF0B4F"/>
    <w:rsid w:val="00DF2698"/>
    <w:rsid w:val="00DF3465"/>
    <w:rsid w:val="00E00980"/>
    <w:rsid w:val="00E04114"/>
    <w:rsid w:val="00E1742D"/>
    <w:rsid w:val="00E3022D"/>
    <w:rsid w:val="00E33068"/>
    <w:rsid w:val="00E33619"/>
    <w:rsid w:val="00E36F1F"/>
    <w:rsid w:val="00E372F7"/>
    <w:rsid w:val="00E52F4D"/>
    <w:rsid w:val="00E540CB"/>
    <w:rsid w:val="00E54173"/>
    <w:rsid w:val="00E560B2"/>
    <w:rsid w:val="00E57794"/>
    <w:rsid w:val="00E57DF6"/>
    <w:rsid w:val="00E61B9F"/>
    <w:rsid w:val="00E62DE1"/>
    <w:rsid w:val="00E630B1"/>
    <w:rsid w:val="00E669A3"/>
    <w:rsid w:val="00E7014F"/>
    <w:rsid w:val="00E772F1"/>
    <w:rsid w:val="00E8365B"/>
    <w:rsid w:val="00E8460F"/>
    <w:rsid w:val="00E8539F"/>
    <w:rsid w:val="00E87C1E"/>
    <w:rsid w:val="00E92883"/>
    <w:rsid w:val="00E94B65"/>
    <w:rsid w:val="00E95CFE"/>
    <w:rsid w:val="00EA0F43"/>
    <w:rsid w:val="00EA6F98"/>
    <w:rsid w:val="00EA7C34"/>
    <w:rsid w:val="00EC1B61"/>
    <w:rsid w:val="00EC5C3D"/>
    <w:rsid w:val="00EC654B"/>
    <w:rsid w:val="00ED4CD3"/>
    <w:rsid w:val="00ED5D00"/>
    <w:rsid w:val="00ED6FFF"/>
    <w:rsid w:val="00ED7A4B"/>
    <w:rsid w:val="00EE1FC9"/>
    <w:rsid w:val="00EE25AD"/>
    <w:rsid w:val="00EE2C1C"/>
    <w:rsid w:val="00EE3E45"/>
    <w:rsid w:val="00EE4DAA"/>
    <w:rsid w:val="00EF20FD"/>
    <w:rsid w:val="00EF3E82"/>
    <w:rsid w:val="00EF5DFE"/>
    <w:rsid w:val="00F01BD4"/>
    <w:rsid w:val="00F10EC6"/>
    <w:rsid w:val="00F12EC4"/>
    <w:rsid w:val="00F13B31"/>
    <w:rsid w:val="00F14C98"/>
    <w:rsid w:val="00F16742"/>
    <w:rsid w:val="00F17893"/>
    <w:rsid w:val="00F17E5A"/>
    <w:rsid w:val="00F2041A"/>
    <w:rsid w:val="00F21CC8"/>
    <w:rsid w:val="00F2307A"/>
    <w:rsid w:val="00F234CF"/>
    <w:rsid w:val="00F23FD0"/>
    <w:rsid w:val="00F302A3"/>
    <w:rsid w:val="00F31570"/>
    <w:rsid w:val="00F31A0C"/>
    <w:rsid w:val="00F34018"/>
    <w:rsid w:val="00F35815"/>
    <w:rsid w:val="00F358A4"/>
    <w:rsid w:val="00F44114"/>
    <w:rsid w:val="00F50D39"/>
    <w:rsid w:val="00F55202"/>
    <w:rsid w:val="00F60736"/>
    <w:rsid w:val="00F64331"/>
    <w:rsid w:val="00F6494B"/>
    <w:rsid w:val="00F660D6"/>
    <w:rsid w:val="00F70428"/>
    <w:rsid w:val="00F75C26"/>
    <w:rsid w:val="00F80AA6"/>
    <w:rsid w:val="00F80B67"/>
    <w:rsid w:val="00F855BF"/>
    <w:rsid w:val="00F85D6F"/>
    <w:rsid w:val="00F861EF"/>
    <w:rsid w:val="00F86810"/>
    <w:rsid w:val="00F93EB3"/>
    <w:rsid w:val="00F968E4"/>
    <w:rsid w:val="00F96B08"/>
    <w:rsid w:val="00FA128B"/>
    <w:rsid w:val="00FA1870"/>
    <w:rsid w:val="00FA4EC3"/>
    <w:rsid w:val="00FA52F8"/>
    <w:rsid w:val="00FB0F9C"/>
    <w:rsid w:val="00FB144C"/>
    <w:rsid w:val="00FB1DDA"/>
    <w:rsid w:val="00FB260F"/>
    <w:rsid w:val="00FB2F7E"/>
    <w:rsid w:val="00FB7396"/>
    <w:rsid w:val="00FB7F12"/>
    <w:rsid w:val="00FC0723"/>
    <w:rsid w:val="00FC2757"/>
    <w:rsid w:val="00FC2E03"/>
    <w:rsid w:val="00FC4F15"/>
    <w:rsid w:val="00FD2AD4"/>
    <w:rsid w:val="00FD355D"/>
    <w:rsid w:val="00FD3647"/>
    <w:rsid w:val="00FD4C79"/>
    <w:rsid w:val="00FE2D3D"/>
    <w:rsid w:val="00FE6C02"/>
    <w:rsid w:val="00FE6CD0"/>
    <w:rsid w:val="00FF14D1"/>
    <w:rsid w:val="00FF263F"/>
    <w:rsid w:val="00FF55A9"/>
    <w:rsid w:val="00FF7151"/>
    <w:rsid w:val="00FF7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5:chartTrackingRefBased/>
  <w15:docId w15:val="{1395528A-8536-46EC-8E82-0AEA26D5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6CB4"/>
    <w:rPr>
      <w:rFonts w:hAnsi="Times New Roman"/>
      <w:sz w:val="24"/>
      <w:szCs w:val="24"/>
    </w:rPr>
  </w:style>
  <w:style w:type="character" w:default="1" w:styleId="Numatytasispastraiposriftas">
    <w:name w:val="Default Paragraph Font"/>
    <w:uiPriority w:val="99"/>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style>
  <w:style w:type="paragraph" w:customStyle="1" w:styleId="Style2">
    <w:name w:val="Style2"/>
    <w:basedOn w:val="prastasis"/>
    <w:uiPriority w:val="99"/>
    <w:pPr>
      <w:spacing w:line="582" w:lineRule="exact"/>
      <w:jc w:val="both"/>
    </w:pPr>
  </w:style>
  <w:style w:type="paragraph" w:customStyle="1" w:styleId="Style3">
    <w:name w:val="Style3"/>
    <w:basedOn w:val="prastasis"/>
    <w:uiPriority w:val="99"/>
  </w:style>
  <w:style w:type="paragraph" w:customStyle="1" w:styleId="Style4">
    <w:name w:val="Style4"/>
    <w:basedOn w:val="prastasis"/>
    <w:uiPriority w:val="99"/>
  </w:style>
  <w:style w:type="paragraph" w:customStyle="1" w:styleId="Style5">
    <w:name w:val="Style5"/>
    <w:basedOn w:val="prastasis"/>
    <w:uiPriority w:val="99"/>
  </w:style>
  <w:style w:type="paragraph" w:customStyle="1" w:styleId="Style6">
    <w:name w:val="Style6"/>
    <w:basedOn w:val="prastasis"/>
    <w:uiPriority w:val="99"/>
    <w:pPr>
      <w:spacing w:line="53" w:lineRule="exact"/>
    </w:pPr>
  </w:style>
  <w:style w:type="paragraph" w:customStyle="1" w:styleId="Style7">
    <w:name w:val="Style7"/>
    <w:basedOn w:val="prastasis"/>
    <w:uiPriority w:val="99"/>
  </w:style>
  <w:style w:type="paragraph" w:customStyle="1" w:styleId="Style8">
    <w:name w:val="Style8"/>
    <w:basedOn w:val="prastasis"/>
    <w:uiPriority w:val="99"/>
  </w:style>
  <w:style w:type="paragraph" w:customStyle="1" w:styleId="Style9">
    <w:name w:val="Style9"/>
    <w:basedOn w:val="prastasis"/>
    <w:uiPriority w:val="99"/>
    <w:pPr>
      <w:spacing w:line="384" w:lineRule="exact"/>
    </w:pPr>
  </w:style>
  <w:style w:type="paragraph" w:customStyle="1" w:styleId="Style10">
    <w:name w:val="Style10"/>
    <w:basedOn w:val="prastasis"/>
    <w:uiPriority w:val="99"/>
    <w:pPr>
      <w:spacing w:line="312" w:lineRule="exact"/>
    </w:pPr>
  </w:style>
  <w:style w:type="paragraph" w:customStyle="1" w:styleId="Style11">
    <w:name w:val="Style11"/>
    <w:basedOn w:val="prastasis"/>
    <w:uiPriority w:val="99"/>
    <w:pPr>
      <w:jc w:val="both"/>
    </w:pPr>
  </w:style>
  <w:style w:type="paragraph" w:customStyle="1" w:styleId="Style12">
    <w:name w:val="Style12"/>
    <w:basedOn w:val="prastasis"/>
    <w:uiPriority w:val="99"/>
  </w:style>
  <w:style w:type="paragraph" w:customStyle="1" w:styleId="Style13">
    <w:name w:val="Style13"/>
    <w:basedOn w:val="prastasis"/>
    <w:uiPriority w:val="99"/>
    <w:pPr>
      <w:spacing w:line="384" w:lineRule="exact"/>
      <w:jc w:val="center"/>
    </w:pPr>
  </w:style>
  <w:style w:type="paragraph" w:customStyle="1" w:styleId="Style14">
    <w:name w:val="Style14"/>
    <w:basedOn w:val="prastasis"/>
    <w:uiPriority w:val="99"/>
    <w:pPr>
      <w:spacing w:line="336" w:lineRule="exact"/>
      <w:jc w:val="both"/>
    </w:pPr>
  </w:style>
  <w:style w:type="paragraph" w:customStyle="1" w:styleId="Style15">
    <w:name w:val="Style15"/>
    <w:basedOn w:val="prastasis"/>
    <w:uiPriority w:val="99"/>
  </w:style>
  <w:style w:type="paragraph" w:customStyle="1" w:styleId="Style16">
    <w:name w:val="Style16"/>
    <w:basedOn w:val="prastasis"/>
    <w:uiPriority w:val="99"/>
  </w:style>
  <w:style w:type="paragraph" w:customStyle="1" w:styleId="Style17">
    <w:name w:val="Style17"/>
    <w:basedOn w:val="prastasis"/>
    <w:uiPriority w:val="99"/>
    <w:pPr>
      <w:spacing w:line="336" w:lineRule="exact"/>
    </w:pPr>
  </w:style>
  <w:style w:type="paragraph" w:customStyle="1" w:styleId="Style18">
    <w:name w:val="Style18"/>
    <w:basedOn w:val="prastasis"/>
    <w:uiPriority w:val="99"/>
    <w:pPr>
      <w:spacing w:line="336" w:lineRule="exact"/>
      <w:jc w:val="center"/>
    </w:pPr>
  </w:style>
  <w:style w:type="paragraph" w:customStyle="1" w:styleId="Style19">
    <w:name w:val="Style19"/>
    <w:basedOn w:val="prastasis"/>
    <w:uiPriority w:val="99"/>
  </w:style>
  <w:style w:type="paragraph" w:customStyle="1" w:styleId="Style20">
    <w:name w:val="Style20"/>
    <w:basedOn w:val="prastasis"/>
    <w:uiPriority w:val="99"/>
    <w:pPr>
      <w:spacing w:line="278" w:lineRule="exact"/>
    </w:pPr>
  </w:style>
  <w:style w:type="paragraph" w:customStyle="1" w:styleId="Style21">
    <w:name w:val="Style21"/>
    <w:basedOn w:val="prastasis"/>
    <w:uiPriority w:val="99"/>
    <w:pPr>
      <w:spacing w:line="336" w:lineRule="exact"/>
    </w:pPr>
  </w:style>
  <w:style w:type="paragraph" w:customStyle="1" w:styleId="Style22">
    <w:name w:val="Style22"/>
    <w:basedOn w:val="prastasis"/>
    <w:uiPriority w:val="99"/>
  </w:style>
  <w:style w:type="paragraph" w:customStyle="1" w:styleId="Style23">
    <w:name w:val="Style23"/>
    <w:basedOn w:val="prastasis"/>
    <w:uiPriority w:val="99"/>
  </w:style>
  <w:style w:type="paragraph" w:customStyle="1" w:styleId="Style24">
    <w:name w:val="Style24"/>
    <w:basedOn w:val="prastasis"/>
    <w:uiPriority w:val="99"/>
    <w:pPr>
      <w:spacing w:line="315" w:lineRule="exact"/>
    </w:pPr>
  </w:style>
  <w:style w:type="paragraph" w:customStyle="1" w:styleId="Style25">
    <w:name w:val="Style25"/>
    <w:basedOn w:val="prastasis"/>
    <w:uiPriority w:val="99"/>
  </w:style>
  <w:style w:type="paragraph" w:customStyle="1" w:styleId="Style26">
    <w:name w:val="Style26"/>
    <w:basedOn w:val="prastasis"/>
    <w:uiPriority w:val="99"/>
  </w:style>
  <w:style w:type="paragraph" w:customStyle="1" w:styleId="Style27">
    <w:name w:val="Style27"/>
    <w:basedOn w:val="prastasis"/>
    <w:uiPriority w:val="99"/>
    <w:pPr>
      <w:spacing w:line="432" w:lineRule="exact"/>
      <w:jc w:val="both"/>
    </w:pPr>
  </w:style>
  <w:style w:type="paragraph" w:customStyle="1" w:styleId="Style28">
    <w:name w:val="Style28"/>
    <w:basedOn w:val="prastasis"/>
    <w:uiPriority w:val="99"/>
    <w:pPr>
      <w:spacing w:line="432" w:lineRule="exact"/>
    </w:pPr>
  </w:style>
  <w:style w:type="paragraph" w:customStyle="1" w:styleId="Style29">
    <w:name w:val="Style29"/>
    <w:basedOn w:val="prastasis"/>
    <w:uiPriority w:val="99"/>
    <w:pPr>
      <w:spacing w:line="384" w:lineRule="exact"/>
    </w:pPr>
  </w:style>
  <w:style w:type="paragraph" w:customStyle="1" w:styleId="Style30">
    <w:name w:val="Style30"/>
    <w:basedOn w:val="prastasis"/>
    <w:uiPriority w:val="99"/>
    <w:pPr>
      <w:spacing w:line="480" w:lineRule="exact"/>
      <w:jc w:val="both"/>
    </w:pPr>
  </w:style>
  <w:style w:type="paragraph" w:customStyle="1" w:styleId="Style31">
    <w:name w:val="Style31"/>
    <w:basedOn w:val="prastasis"/>
    <w:uiPriority w:val="99"/>
  </w:style>
  <w:style w:type="paragraph" w:customStyle="1" w:styleId="Style32">
    <w:name w:val="Style32"/>
    <w:basedOn w:val="prastasis"/>
    <w:uiPriority w:val="99"/>
    <w:pPr>
      <w:jc w:val="both"/>
    </w:pPr>
  </w:style>
  <w:style w:type="paragraph" w:customStyle="1" w:styleId="Style33">
    <w:name w:val="Style33"/>
    <w:basedOn w:val="prastasis"/>
    <w:uiPriority w:val="99"/>
    <w:pPr>
      <w:spacing w:line="432" w:lineRule="exact"/>
      <w:ind w:hanging="528"/>
    </w:pPr>
  </w:style>
  <w:style w:type="paragraph" w:customStyle="1" w:styleId="Style34">
    <w:name w:val="Style34"/>
    <w:basedOn w:val="prastasis"/>
    <w:uiPriority w:val="99"/>
    <w:pPr>
      <w:spacing w:line="432" w:lineRule="exact"/>
      <w:ind w:hanging="528"/>
    </w:pPr>
  </w:style>
  <w:style w:type="paragraph" w:customStyle="1" w:styleId="Style35">
    <w:name w:val="Style35"/>
    <w:basedOn w:val="prastasis"/>
    <w:uiPriority w:val="99"/>
    <w:pPr>
      <w:spacing w:line="434" w:lineRule="exact"/>
      <w:ind w:hanging="533"/>
    </w:pPr>
  </w:style>
  <w:style w:type="paragraph" w:customStyle="1" w:styleId="Style36">
    <w:name w:val="Style36"/>
    <w:basedOn w:val="prastasis"/>
    <w:uiPriority w:val="99"/>
  </w:style>
  <w:style w:type="paragraph" w:customStyle="1" w:styleId="Style37">
    <w:name w:val="Style37"/>
    <w:basedOn w:val="prastasis"/>
    <w:uiPriority w:val="99"/>
    <w:pPr>
      <w:spacing w:line="288" w:lineRule="exact"/>
      <w:jc w:val="center"/>
    </w:pPr>
  </w:style>
  <w:style w:type="paragraph" w:customStyle="1" w:styleId="Style38">
    <w:name w:val="Style38"/>
    <w:basedOn w:val="prastasis"/>
    <w:uiPriority w:val="99"/>
    <w:pPr>
      <w:jc w:val="right"/>
    </w:pPr>
  </w:style>
  <w:style w:type="paragraph" w:customStyle="1" w:styleId="Style39">
    <w:name w:val="Style39"/>
    <w:basedOn w:val="prastasis"/>
    <w:uiPriority w:val="99"/>
    <w:pPr>
      <w:spacing w:line="566" w:lineRule="exact"/>
      <w:ind w:hanging="547"/>
    </w:pPr>
  </w:style>
  <w:style w:type="paragraph" w:customStyle="1" w:styleId="Style40">
    <w:name w:val="Style40"/>
    <w:basedOn w:val="prastasis"/>
    <w:uiPriority w:val="99"/>
  </w:style>
  <w:style w:type="paragraph" w:customStyle="1" w:styleId="Style41">
    <w:name w:val="Style41"/>
    <w:basedOn w:val="prastasis"/>
    <w:uiPriority w:val="99"/>
  </w:style>
  <w:style w:type="paragraph" w:customStyle="1" w:styleId="Style42">
    <w:name w:val="Style42"/>
    <w:basedOn w:val="prastasis"/>
    <w:uiPriority w:val="99"/>
    <w:pPr>
      <w:jc w:val="center"/>
    </w:pPr>
  </w:style>
  <w:style w:type="paragraph" w:customStyle="1" w:styleId="Style43">
    <w:name w:val="Style43"/>
    <w:basedOn w:val="prastasis"/>
    <w:uiPriority w:val="99"/>
  </w:style>
  <w:style w:type="paragraph" w:customStyle="1" w:styleId="Style44">
    <w:name w:val="Style44"/>
    <w:basedOn w:val="prastasis"/>
    <w:uiPriority w:val="99"/>
    <w:pPr>
      <w:spacing w:line="365" w:lineRule="exact"/>
      <w:ind w:firstLine="470"/>
    </w:pPr>
  </w:style>
  <w:style w:type="paragraph" w:customStyle="1" w:styleId="Style45">
    <w:name w:val="Style45"/>
    <w:basedOn w:val="prastasis"/>
    <w:uiPriority w:val="99"/>
  </w:style>
  <w:style w:type="paragraph" w:customStyle="1" w:styleId="Style46">
    <w:name w:val="Style46"/>
    <w:basedOn w:val="prastasis"/>
    <w:uiPriority w:val="99"/>
  </w:style>
  <w:style w:type="paragraph" w:customStyle="1" w:styleId="Style47">
    <w:name w:val="Style47"/>
    <w:basedOn w:val="prastasis"/>
    <w:uiPriority w:val="99"/>
  </w:style>
  <w:style w:type="paragraph" w:customStyle="1" w:styleId="Style48">
    <w:name w:val="Style48"/>
    <w:basedOn w:val="prastasis"/>
    <w:uiPriority w:val="99"/>
  </w:style>
  <w:style w:type="paragraph" w:customStyle="1" w:styleId="Style49">
    <w:name w:val="Style49"/>
    <w:basedOn w:val="prastasis"/>
    <w:uiPriority w:val="99"/>
  </w:style>
  <w:style w:type="paragraph" w:customStyle="1" w:styleId="Style50">
    <w:name w:val="Style50"/>
    <w:basedOn w:val="prastasis"/>
    <w:uiPriority w:val="99"/>
  </w:style>
  <w:style w:type="paragraph" w:customStyle="1" w:styleId="Style51">
    <w:name w:val="Style51"/>
    <w:basedOn w:val="prastasis"/>
    <w:uiPriority w:val="99"/>
  </w:style>
  <w:style w:type="paragraph" w:customStyle="1" w:styleId="Style52">
    <w:name w:val="Style52"/>
    <w:basedOn w:val="prastasis"/>
    <w:uiPriority w:val="99"/>
    <w:pPr>
      <w:spacing w:line="298" w:lineRule="exact"/>
      <w:ind w:firstLine="360"/>
    </w:pPr>
  </w:style>
  <w:style w:type="paragraph" w:customStyle="1" w:styleId="Style53">
    <w:name w:val="Style53"/>
    <w:basedOn w:val="prastasis"/>
    <w:uiPriority w:val="99"/>
    <w:pPr>
      <w:spacing w:line="763" w:lineRule="exact"/>
      <w:ind w:firstLine="1036"/>
    </w:pPr>
  </w:style>
  <w:style w:type="paragraph" w:customStyle="1" w:styleId="Style54">
    <w:name w:val="Style54"/>
    <w:basedOn w:val="prastasis"/>
    <w:uiPriority w:val="99"/>
    <w:pPr>
      <w:spacing w:line="485" w:lineRule="exact"/>
      <w:ind w:hanging="686"/>
    </w:pPr>
  </w:style>
  <w:style w:type="paragraph" w:customStyle="1" w:styleId="Style55">
    <w:name w:val="Style55"/>
    <w:basedOn w:val="prastasis"/>
    <w:uiPriority w:val="99"/>
    <w:pPr>
      <w:spacing w:line="312" w:lineRule="exact"/>
      <w:jc w:val="center"/>
    </w:pPr>
  </w:style>
  <w:style w:type="paragraph" w:customStyle="1" w:styleId="Style56">
    <w:name w:val="Style56"/>
    <w:basedOn w:val="prastasis"/>
    <w:uiPriority w:val="99"/>
  </w:style>
  <w:style w:type="paragraph" w:customStyle="1" w:styleId="Style57">
    <w:name w:val="Style57"/>
    <w:basedOn w:val="prastasis"/>
    <w:uiPriority w:val="99"/>
  </w:style>
  <w:style w:type="paragraph" w:customStyle="1" w:styleId="Style58">
    <w:name w:val="Style58"/>
    <w:basedOn w:val="prastasis"/>
    <w:uiPriority w:val="99"/>
  </w:style>
  <w:style w:type="paragraph" w:customStyle="1" w:styleId="Style59">
    <w:name w:val="Style59"/>
    <w:basedOn w:val="prastasis"/>
    <w:uiPriority w:val="99"/>
    <w:pPr>
      <w:spacing w:line="384" w:lineRule="exact"/>
    </w:pPr>
  </w:style>
  <w:style w:type="paragraph" w:customStyle="1" w:styleId="Style60">
    <w:name w:val="Style60"/>
    <w:basedOn w:val="prastasis"/>
    <w:uiPriority w:val="99"/>
  </w:style>
  <w:style w:type="paragraph" w:customStyle="1" w:styleId="Style61">
    <w:name w:val="Style61"/>
    <w:basedOn w:val="prastasis"/>
    <w:uiPriority w:val="99"/>
    <w:pPr>
      <w:spacing w:line="430" w:lineRule="exact"/>
    </w:pPr>
  </w:style>
  <w:style w:type="paragraph" w:customStyle="1" w:styleId="Style62">
    <w:name w:val="Style62"/>
    <w:basedOn w:val="prastasis"/>
    <w:uiPriority w:val="99"/>
  </w:style>
  <w:style w:type="paragraph" w:customStyle="1" w:styleId="Style63">
    <w:name w:val="Style63"/>
    <w:basedOn w:val="prastasis"/>
    <w:uiPriority w:val="99"/>
    <w:pPr>
      <w:spacing w:line="317" w:lineRule="exact"/>
      <w:ind w:firstLine="202"/>
    </w:pPr>
  </w:style>
  <w:style w:type="paragraph" w:customStyle="1" w:styleId="Style64">
    <w:name w:val="Style64"/>
    <w:basedOn w:val="prastasis"/>
    <w:uiPriority w:val="99"/>
  </w:style>
  <w:style w:type="paragraph" w:customStyle="1" w:styleId="Style65">
    <w:name w:val="Style65"/>
    <w:basedOn w:val="prastasis"/>
    <w:uiPriority w:val="99"/>
    <w:pPr>
      <w:jc w:val="center"/>
    </w:pPr>
  </w:style>
  <w:style w:type="paragraph" w:customStyle="1" w:styleId="Style66">
    <w:name w:val="Style66"/>
    <w:basedOn w:val="prastasis"/>
    <w:uiPriority w:val="99"/>
    <w:pPr>
      <w:spacing w:line="384" w:lineRule="exact"/>
    </w:pPr>
  </w:style>
  <w:style w:type="paragraph" w:customStyle="1" w:styleId="Style67">
    <w:name w:val="Style67"/>
    <w:basedOn w:val="prastasis"/>
    <w:uiPriority w:val="99"/>
    <w:pPr>
      <w:spacing w:line="302" w:lineRule="exact"/>
      <w:jc w:val="both"/>
    </w:pPr>
  </w:style>
  <w:style w:type="paragraph" w:customStyle="1" w:styleId="Style68">
    <w:name w:val="Style68"/>
    <w:basedOn w:val="prastasis"/>
    <w:uiPriority w:val="99"/>
    <w:pPr>
      <w:spacing w:line="365" w:lineRule="exact"/>
      <w:ind w:hanging="130"/>
      <w:jc w:val="both"/>
    </w:pPr>
  </w:style>
  <w:style w:type="paragraph" w:customStyle="1" w:styleId="Style69">
    <w:name w:val="Style69"/>
    <w:basedOn w:val="prastasis"/>
    <w:uiPriority w:val="99"/>
    <w:pPr>
      <w:jc w:val="center"/>
    </w:pPr>
  </w:style>
  <w:style w:type="paragraph" w:customStyle="1" w:styleId="Style70">
    <w:name w:val="Style70"/>
    <w:basedOn w:val="prastasis"/>
    <w:uiPriority w:val="99"/>
    <w:pPr>
      <w:spacing w:line="479" w:lineRule="exact"/>
      <w:ind w:hanging="533"/>
    </w:pPr>
  </w:style>
  <w:style w:type="paragraph" w:customStyle="1" w:styleId="Style71">
    <w:name w:val="Style71"/>
    <w:basedOn w:val="prastasis"/>
    <w:uiPriority w:val="99"/>
    <w:pPr>
      <w:spacing w:line="432" w:lineRule="exact"/>
      <w:jc w:val="center"/>
    </w:pPr>
  </w:style>
  <w:style w:type="paragraph" w:customStyle="1" w:styleId="Style72">
    <w:name w:val="Style72"/>
    <w:basedOn w:val="prastasis"/>
    <w:uiPriority w:val="99"/>
    <w:pPr>
      <w:jc w:val="both"/>
    </w:pPr>
  </w:style>
  <w:style w:type="paragraph" w:customStyle="1" w:styleId="Style73">
    <w:name w:val="Style73"/>
    <w:basedOn w:val="prastasis"/>
    <w:uiPriority w:val="99"/>
  </w:style>
  <w:style w:type="paragraph" w:customStyle="1" w:styleId="Style74">
    <w:name w:val="Style74"/>
    <w:basedOn w:val="prastasis"/>
    <w:uiPriority w:val="99"/>
    <w:pPr>
      <w:spacing w:line="53" w:lineRule="exact"/>
    </w:pPr>
  </w:style>
  <w:style w:type="paragraph" w:customStyle="1" w:styleId="Style75">
    <w:name w:val="Style75"/>
    <w:basedOn w:val="prastasis"/>
    <w:uiPriority w:val="99"/>
  </w:style>
  <w:style w:type="paragraph" w:customStyle="1" w:styleId="Style76">
    <w:name w:val="Style76"/>
    <w:basedOn w:val="prastasis"/>
    <w:uiPriority w:val="99"/>
  </w:style>
  <w:style w:type="paragraph" w:customStyle="1" w:styleId="Style77">
    <w:name w:val="Style77"/>
    <w:basedOn w:val="prastasis"/>
    <w:uiPriority w:val="99"/>
    <w:pPr>
      <w:spacing w:line="480" w:lineRule="exact"/>
      <w:ind w:hanging="523"/>
    </w:pPr>
  </w:style>
  <w:style w:type="paragraph" w:customStyle="1" w:styleId="Style78">
    <w:name w:val="Style78"/>
    <w:basedOn w:val="prastasis"/>
    <w:uiPriority w:val="99"/>
  </w:style>
  <w:style w:type="paragraph" w:customStyle="1" w:styleId="Style79">
    <w:name w:val="Style79"/>
    <w:basedOn w:val="prastasis"/>
    <w:uiPriority w:val="99"/>
  </w:style>
  <w:style w:type="paragraph" w:customStyle="1" w:styleId="Style80">
    <w:name w:val="Style80"/>
    <w:basedOn w:val="prastasis"/>
    <w:uiPriority w:val="99"/>
    <w:pPr>
      <w:spacing w:line="374" w:lineRule="exact"/>
      <w:jc w:val="center"/>
    </w:pPr>
  </w:style>
  <w:style w:type="paragraph" w:customStyle="1" w:styleId="Style81">
    <w:name w:val="Style81"/>
    <w:basedOn w:val="prastasis"/>
    <w:uiPriority w:val="99"/>
  </w:style>
  <w:style w:type="paragraph" w:customStyle="1" w:styleId="Style82">
    <w:name w:val="Style82"/>
    <w:basedOn w:val="prastasis"/>
    <w:uiPriority w:val="99"/>
  </w:style>
  <w:style w:type="paragraph" w:customStyle="1" w:styleId="Style83">
    <w:name w:val="Style83"/>
    <w:basedOn w:val="prastasis"/>
    <w:uiPriority w:val="99"/>
    <w:pPr>
      <w:spacing w:line="442" w:lineRule="exact"/>
      <w:ind w:hanging="110"/>
      <w:jc w:val="both"/>
    </w:pPr>
  </w:style>
  <w:style w:type="paragraph" w:customStyle="1" w:styleId="Style84">
    <w:name w:val="Style84"/>
    <w:basedOn w:val="prastasis"/>
    <w:uiPriority w:val="99"/>
  </w:style>
  <w:style w:type="paragraph" w:customStyle="1" w:styleId="Style85">
    <w:name w:val="Style85"/>
    <w:basedOn w:val="prastasis"/>
    <w:uiPriority w:val="99"/>
    <w:pPr>
      <w:spacing w:line="312" w:lineRule="exact"/>
      <w:ind w:firstLine="398"/>
    </w:pPr>
  </w:style>
  <w:style w:type="paragraph" w:customStyle="1" w:styleId="Style86">
    <w:name w:val="Style86"/>
    <w:basedOn w:val="prastasis"/>
    <w:uiPriority w:val="99"/>
    <w:pPr>
      <w:jc w:val="both"/>
    </w:pPr>
  </w:style>
  <w:style w:type="paragraph" w:customStyle="1" w:styleId="Style87">
    <w:name w:val="Style87"/>
    <w:basedOn w:val="prastasis"/>
    <w:uiPriority w:val="99"/>
  </w:style>
  <w:style w:type="paragraph" w:customStyle="1" w:styleId="Style88">
    <w:name w:val="Style88"/>
    <w:basedOn w:val="prastasis"/>
    <w:uiPriority w:val="99"/>
    <w:pPr>
      <w:spacing w:line="365" w:lineRule="exact"/>
      <w:ind w:firstLine="125"/>
      <w:jc w:val="both"/>
    </w:pPr>
  </w:style>
  <w:style w:type="paragraph" w:customStyle="1" w:styleId="Style89">
    <w:name w:val="Style89"/>
    <w:basedOn w:val="prastasis"/>
    <w:uiPriority w:val="99"/>
    <w:pPr>
      <w:spacing w:line="314" w:lineRule="exact"/>
      <w:jc w:val="center"/>
    </w:pPr>
  </w:style>
  <w:style w:type="paragraph" w:customStyle="1" w:styleId="Style90">
    <w:name w:val="Style90"/>
    <w:basedOn w:val="prastasis"/>
    <w:uiPriority w:val="99"/>
  </w:style>
  <w:style w:type="paragraph" w:customStyle="1" w:styleId="Style91">
    <w:name w:val="Style91"/>
    <w:basedOn w:val="prastasis"/>
    <w:uiPriority w:val="99"/>
    <w:pPr>
      <w:spacing w:line="302" w:lineRule="exact"/>
    </w:pPr>
  </w:style>
  <w:style w:type="paragraph" w:customStyle="1" w:styleId="Style92">
    <w:name w:val="Style92"/>
    <w:basedOn w:val="prastasis"/>
    <w:uiPriority w:val="99"/>
  </w:style>
  <w:style w:type="paragraph" w:customStyle="1" w:styleId="Style93">
    <w:name w:val="Style93"/>
    <w:basedOn w:val="prastasis"/>
    <w:uiPriority w:val="99"/>
    <w:pPr>
      <w:spacing w:line="384" w:lineRule="exact"/>
      <w:jc w:val="both"/>
    </w:pPr>
  </w:style>
  <w:style w:type="paragraph" w:customStyle="1" w:styleId="Style94">
    <w:name w:val="Style94"/>
    <w:basedOn w:val="prastasis"/>
    <w:uiPriority w:val="99"/>
    <w:pPr>
      <w:spacing w:line="432" w:lineRule="exact"/>
    </w:pPr>
  </w:style>
  <w:style w:type="character" w:customStyle="1" w:styleId="FontStyle96">
    <w:name w:val="Font Style96"/>
    <w:uiPriority w:val="99"/>
    <w:rPr>
      <w:rFonts w:ascii="Times New Roman" w:hAnsi="Times New Roman" w:cs="Times New Roman"/>
      <w:i/>
      <w:iCs/>
      <w:sz w:val="38"/>
      <w:szCs w:val="38"/>
    </w:rPr>
  </w:style>
  <w:style w:type="character" w:customStyle="1" w:styleId="FontStyle97">
    <w:name w:val="Font Style97"/>
    <w:uiPriority w:val="99"/>
    <w:rPr>
      <w:rFonts w:ascii="Times New Roman" w:hAnsi="Times New Roman" w:cs="Times New Roman"/>
      <w:sz w:val="22"/>
      <w:szCs w:val="22"/>
    </w:rPr>
  </w:style>
  <w:style w:type="character" w:customStyle="1" w:styleId="FontStyle98">
    <w:name w:val="Font Style98"/>
    <w:uiPriority w:val="99"/>
    <w:rPr>
      <w:rFonts w:ascii="Arial" w:hAnsi="Arial" w:cs="Arial"/>
      <w:b/>
      <w:bCs/>
      <w:sz w:val="26"/>
      <w:szCs w:val="26"/>
    </w:rPr>
  </w:style>
  <w:style w:type="character" w:customStyle="1" w:styleId="FontStyle99">
    <w:name w:val="Font Style99"/>
    <w:uiPriority w:val="99"/>
    <w:rPr>
      <w:rFonts w:ascii="Times New Roman" w:hAnsi="Times New Roman" w:cs="Times New Roman"/>
      <w:b/>
      <w:bCs/>
      <w:spacing w:val="30"/>
      <w:sz w:val="42"/>
      <w:szCs w:val="42"/>
    </w:rPr>
  </w:style>
  <w:style w:type="character" w:customStyle="1" w:styleId="FontStyle100">
    <w:name w:val="Font Style100"/>
    <w:uiPriority w:val="99"/>
    <w:rPr>
      <w:rFonts w:ascii="Times New Roman" w:hAnsi="Times New Roman" w:cs="Times New Roman"/>
      <w:b/>
      <w:bCs/>
      <w:sz w:val="30"/>
      <w:szCs w:val="30"/>
    </w:rPr>
  </w:style>
  <w:style w:type="character" w:customStyle="1" w:styleId="FontStyle101">
    <w:name w:val="Font Style101"/>
    <w:uiPriority w:val="99"/>
    <w:rPr>
      <w:rFonts w:ascii="Times New Roman" w:hAnsi="Times New Roman" w:cs="Times New Roman"/>
      <w:sz w:val="30"/>
      <w:szCs w:val="30"/>
    </w:rPr>
  </w:style>
  <w:style w:type="character" w:customStyle="1" w:styleId="FontStyle102">
    <w:name w:val="Font Style102"/>
    <w:uiPriority w:val="99"/>
    <w:rPr>
      <w:rFonts w:ascii="Times New Roman" w:hAnsi="Times New Roman" w:cs="Times New Roman"/>
      <w:b/>
      <w:bCs/>
      <w:spacing w:val="-40"/>
      <w:w w:val="200"/>
      <w:sz w:val="40"/>
      <w:szCs w:val="40"/>
    </w:rPr>
  </w:style>
  <w:style w:type="character" w:customStyle="1" w:styleId="FontStyle103">
    <w:name w:val="Font Style103"/>
    <w:uiPriority w:val="99"/>
    <w:rPr>
      <w:rFonts w:ascii="Arial" w:hAnsi="Arial" w:cs="Arial"/>
      <w:w w:val="250"/>
      <w:sz w:val="56"/>
      <w:szCs w:val="56"/>
    </w:rPr>
  </w:style>
  <w:style w:type="character" w:customStyle="1" w:styleId="FontStyle104">
    <w:name w:val="Font Style104"/>
    <w:uiPriority w:val="99"/>
    <w:rPr>
      <w:rFonts w:ascii="Times New Roman" w:hAnsi="Times New Roman" w:cs="Times New Roman"/>
      <w:b/>
      <w:bCs/>
      <w:i/>
      <w:iCs/>
      <w:sz w:val="22"/>
      <w:szCs w:val="22"/>
    </w:rPr>
  </w:style>
  <w:style w:type="character" w:customStyle="1" w:styleId="FontStyle105">
    <w:name w:val="Font Style105"/>
    <w:uiPriority w:val="99"/>
    <w:rPr>
      <w:rFonts w:ascii="Arial" w:hAnsi="Arial" w:cs="Arial"/>
      <w:b/>
      <w:bCs/>
      <w:spacing w:val="20"/>
      <w:sz w:val="24"/>
      <w:szCs w:val="24"/>
    </w:rPr>
  </w:style>
  <w:style w:type="character" w:customStyle="1" w:styleId="FontStyle106">
    <w:name w:val="Font Style106"/>
    <w:uiPriority w:val="99"/>
    <w:rPr>
      <w:rFonts w:ascii="Times New Roman" w:hAnsi="Times New Roman" w:cs="Times New Roman"/>
      <w:b/>
      <w:bCs/>
      <w:sz w:val="38"/>
      <w:szCs w:val="38"/>
    </w:rPr>
  </w:style>
  <w:style w:type="character" w:customStyle="1" w:styleId="FontStyle107">
    <w:name w:val="Font Style107"/>
    <w:uiPriority w:val="99"/>
    <w:rPr>
      <w:rFonts w:ascii="Times New Roman" w:hAnsi="Times New Roman" w:cs="Times New Roman"/>
      <w:sz w:val="34"/>
      <w:szCs w:val="34"/>
    </w:rPr>
  </w:style>
  <w:style w:type="character" w:customStyle="1" w:styleId="FontStyle108">
    <w:name w:val="Font Style108"/>
    <w:uiPriority w:val="99"/>
    <w:rPr>
      <w:rFonts w:ascii="Times New Roman" w:hAnsi="Times New Roman" w:cs="Times New Roman"/>
      <w:b/>
      <w:bCs/>
      <w:sz w:val="44"/>
      <w:szCs w:val="44"/>
    </w:rPr>
  </w:style>
  <w:style w:type="character" w:customStyle="1" w:styleId="FontStyle109">
    <w:name w:val="Font Style109"/>
    <w:uiPriority w:val="99"/>
    <w:rPr>
      <w:rFonts w:ascii="Times New Roman" w:hAnsi="Times New Roman" w:cs="Times New Roman"/>
      <w:sz w:val="38"/>
      <w:szCs w:val="38"/>
    </w:rPr>
  </w:style>
  <w:style w:type="character" w:customStyle="1" w:styleId="FontStyle110">
    <w:name w:val="Font Style110"/>
    <w:uiPriority w:val="99"/>
    <w:rPr>
      <w:rFonts w:ascii="Times New Roman" w:hAnsi="Times New Roman" w:cs="Times New Roman"/>
      <w:b/>
      <w:bCs/>
      <w:i/>
      <w:iCs/>
      <w:spacing w:val="100"/>
      <w:w w:val="60"/>
      <w:sz w:val="52"/>
      <w:szCs w:val="52"/>
    </w:rPr>
  </w:style>
  <w:style w:type="character" w:customStyle="1" w:styleId="FontStyle111">
    <w:name w:val="Font Style111"/>
    <w:uiPriority w:val="99"/>
    <w:rPr>
      <w:rFonts w:ascii="Times New Roman" w:hAnsi="Times New Roman" w:cs="Times New Roman"/>
      <w:b/>
      <w:bCs/>
      <w:sz w:val="60"/>
      <w:szCs w:val="60"/>
    </w:rPr>
  </w:style>
  <w:style w:type="character" w:customStyle="1" w:styleId="FontStyle112">
    <w:name w:val="Font Style112"/>
    <w:uiPriority w:val="99"/>
    <w:rPr>
      <w:rFonts w:ascii="Times New Roman" w:hAnsi="Times New Roman" w:cs="Times New Roman"/>
      <w:b/>
      <w:bCs/>
      <w:spacing w:val="-50"/>
      <w:sz w:val="50"/>
      <w:szCs w:val="50"/>
    </w:rPr>
  </w:style>
  <w:style w:type="character" w:customStyle="1" w:styleId="FontStyle113">
    <w:name w:val="Font Style113"/>
    <w:uiPriority w:val="99"/>
    <w:rPr>
      <w:rFonts w:ascii="Times New Roman" w:hAnsi="Times New Roman" w:cs="Times New Roman"/>
      <w:smallCaps/>
      <w:sz w:val="12"/>
      <w:szCs w:val="12"/>
    </w:rPr>
  </w:style>
  <w:style w:type="character" w:customStyle="1" w:styleId="FontStyle114">
    <w:name w:val="Font Style114"/>
    <w:uiPriority w:val="99"/>
    <w:rPr>
      <w:rFonts w:ascii="Times New Roman" w:hAnsi="Times New Roman" w:cs="Times New Roman"/>
      <w:i/>
      <w:iCs/>
      <w:sz w:val="28"/>
      <w:szCs w:val="28"/>
    </w:rPr>
  </w:style>
  <w:style w:type="character" w:customStyle="1" w:styleId="FontStyle115">
    <w:name w:val="Font Style115"/>
    <w:uiPriority w:val="99"/>
    <w:rPr>
      <w:rFonts w:ascii="Times New Roman" w:hAnsi="Times New Roman" w:cs="Times New Roman"/>
      <w:b/>
      <w:bCs/>
      <w:sz w:val="34"/>
      <w:szCs w:val="34"/>
    </w:rPr>
  </w:style>
  <w:style w:type="character" w:customStyle="1" w:styleId="FontStyle116">
    <w:name w:val="Font Style116"/>
    <w:uiPriority w:val="99"/>
    <w:rPr>
      <w:rFonts w:ascii="Times New Roman" w:hAnsi="Times New Roman" w:cs="Times New Roman"/>
      <w:b/>
      <w:bCs/>
      <w:sz w:val="22"/>
      <w:szCs w:val="22"/>
    </w:rPr>
  </w:style>
  <w:style w:type="character" w:customStyle="1" w:styleId="FontStyle117">
    <w:name w:val="Font Style117"/>
    <w:uiPriority w:val="99"/>
    <w:rPr>
      <w:rFonts w:ascii="Times New Roman" w:hAnsi="Times New Roman" w:cs="Times New Roman"/>
      <w:sz w:val="22"/>
      <w:szCs w:val="22"/>
    </w:rPr>
  </w:style>
  <w:style w:type="character" w:customStyle="1" w:styleId="FontStyle118">
    <w:name w:val="Font Style118"/>
    <w:uiPriority w:val="99"/>
    <w:rPr>
      <w:rFonts w:ascii="Times New Roman" w:hAnsi="Times New Roman" w:cs="Times New Roman"/>
      <w:b/>
      <w:bCs/>
      <w:sz w:val="26"/>
      <w:szCs w:val="26"/>
    </w:rPr>
  </w:style>
  <w:style w:type="character" w:customStyle="1" w:styleId="FontStyle119">
    <w:name w:val="Font Style119"/>
    <w:uiPriority w:val="99"/>
    <w:rPr>
      <w:rFonts w:ascii="Times New Roman" w:hAnsi="Times New Roman" w:cs="Times New Roman"/>
      <w:sz w:val="26"/>
      <w:szCs w:val="26"/>
    </w:rPr>
  </w:style>
  <w:style w:type="character" w:customStyle="1" w:styleId="FontStyle120">
    <w:name w:val="Font Style120"/>
    <w:uiPriority w:val="99"/>
    <w:rPr>
      <w:rFonts w:ascii="Times New Roman" w:hAnsi="Times New Roman" w:cs="Times New Roman"/>
      <w:b/>
      <w:bCs/>
      <w:w w:val="150"/>
      <w:sz w:val="14"/>
      <w:szCs w:val="14"/>
    </w:rPr>
  </w:style>
  <w:style w:type="character" w:customStyle="1" w:styleId="FontStyle121">
    <w:name w:val="Font Style121"/>
    <w:uiPriority w:val="99"/>
    <w:rPr>
      <w:rFonts w:ascii="Times New Roman" w:hAnsi="Times New Roman" w:cs="Times New Roman"/>
      <w:i/>
      <w:iCs/>
      <w:sz w:val="34"/>
      <w:szCs w:val="34"/>
    </w:rPr>
  </w:style>
  <w:style w:type="character" w:customStyle="1" w:styleId="FontStyle122">
    <w:name w:val="Font Style122"/>
    <w:uiPriority w:val="99"/>
    <w:rPr>
      <w:rFonts w:ascii="Times New Roman" w:hAnsi="Times New Roman" w:cs="Times New Roman"/>
      <w:sz w:val="22"/>
      <w:szCs w:val="22"/>
    </w:rPr>
  </w:style>
  <w:style w:type="character" w:customStyle="1" w:styleId="FontStyle123">
    <w:name w:val="Font Style123"/>
    <w:uiPriority w:val="99"/>
    <w:rPr>
      <w:rFonts w:ascii="Times New Roman" w:hAnsi="Times New Roman" w:cs="Times New Roman"/>
      <w:sz w:val="18"/>
      <w:szCs w:val="18"/>
    </w:rPr>
  </w:style>
  <w:style w:type="character" w:customStyle="1" w:styleId="FontStyle124">
    <w:name w:val="Font Style124"/>
    <w:uiPriority w:val="99"/>
    <w:rPr>
      <w:rFonts w:ascii="Times New Roman" w:hAnsi="Times New Roman" w:cs="Times New Roman"/>
      <w:b/>
      <w:bCs/>
      <w:w w:val="150"/>
      <w:sz w:val="18"/>
      <w:szCs w:val="18"/>
    </w:rPr>
  </w:style>
  <w:style w:type="character" w:customStyle="1" w:styleId="FontStyle125">
    <w:name w:val="Font Style125"/>
    <w:uiPriority w:val="99"/>
    <w:rPr>
      <w:rFonts w:ascii="Times New Roman" w:hAnsi="Times New Roman" w:cs="Times New Roman"/>
      <w:i/>
      <w:iCs/>
      <w:sz w:val="30"/>
      <w:szCs w:val="30"/>
    </w:rPr>
  </w:style>
  <w:style w:type="character" w:customStyle="1" w:styleId="FontStyle126">
    <w:name w:val="Font Style126"/>
    <w:uiPriority w:val="99"/>
    <w:rPr>
      <w:rFonts w:ascii="Times New Roman" w:hAnsi="Times New Roman" w:cs="Times New Roman"/>
      <w:sz w:val="20"/>
      <w:szCs w:val="20"/>
    </w:rPr>
  </w:style>
  <w:style w:type="character" w:customStyle="1" w:styleId="FontStyle127">
    <w:name w:val="Font Style127"/>
    <w:uiPriority w:val="99"/>
    <w:rPr>
      <w:rFonts w:ascii="Arial" w:hAnsi="Arial" w:cs="Arial"/>
      <w:b/>
      <w:bCs/>
      <w:i/>
      <w:iCs/>
      <w:sz w:val="36"/>
      <w:szCs w:val="36"/>
    </w:rPr>
  </w:style>
  <w:style w:type="character" w:customStyle="1" w:styleId="FontStyle128">
    <w:name w:val="Font Style128"/>
    <w:uiPriority w:val="99"/>
    <w:rPr>
      <w:rFonts w:ascii="Times New Roman" w:hAnsi="Times New Roman" w:cs="Times New Roman"/>
      <w:b/>
      <w:bCs/>
      <w:smallCaps/>
      <w:sz w:val="42"/>
      <w:szCs w:val="42"/>
    </w:rPr>
  </w:style>
  <w:style w:type="character" w:customStyle="1" w:styleId="FontStyle129">
    <w:name w:val="Font Style129"/>
    <w:uiPriority w:val="99"/>
    <w:rPr>
      <w:rFonts w:ascii="Times New Roman" w:hAnsi="Times New Roman" w:cs="Times New Roman"/>
      <w:b/>
      <w:bCs/>
      <w:sz w:val="24"/>
      <w:szCs w:val="24"/>
    </w:rPr>
  </w:style>
  <w:style w:type="character" w:customStyle="1" w:styleId="FontStyle130">
    <w:name w:val="Font Style130"/>
    <w:uiPriority w:val="99"/>
    <w:rPr>
      <w:rFonts w:ascii="Arial Narrow" w:hAnsi="Arial Narrow" w:cs="Arial Narrow"/>
      <w:b/>
      <w:bCs/>
      <w:spacing w:val="70"/>
      <w:sz w:val="70"/>
      <w:szCs w:val="70"/>
    </w:rPr>
  </w:style>
  <w:style w:type="character" w:customStyle="1" w:styleId="FontStyle131">
    <w:name w:val="Font Style131"/>
    <w:uiPriority w:val="99"/>
    <w:rPr>
      <w:rFonts w:ascii="Times New Roman" w:hAnsi="Times New Roman" w:cs="Times New Roman"/>
      <w:sz w:val="34"/>
      <w:szCs w:val="34"/>
    </w:rPr>
  </w:style>
  <w:style w:type="character" w:customStyle="1" w:styleId="FontStyle132">
    <w:name w:val="Font Style132"/>
    <w:uiPriority w:val="99"/>
    <w:rPr>
      <w:rFonts w:ascii="Times New Roman" w:hAnsi="Times New Roman" w:cs="Times New Roman"/>
      <w:b/>
      <w:bCs/>
      <w:sz w:val="52"/>
      <w:szCs w:val="52"/>
    </w:rPr>
  </w:style>
  <w:style w:type="character" w:customStyle="1" w:styleId="FontStyle133">
    <w:name w:val="Font Style133"/>
    <w:uiPriority w:val="99"/>
    <w:rPr>
      <w:rFonts w:ascii="Candara" w:hAnsi="Candara" w:cs="Candara"/>
      <w:b/>
      <w:bCs/>
      <w:i/>
      <w:iCs/>
      <w:sz w:val="28"/>
      <w:szCs w:val="28"/>
    </w:rPr>
  </w:style>
  <w:style w:type="paragraph" w:styleId="Antrats">
    <w:name w:val="header"/>
    <w:basedOn w:val="prastasis"/>
    <w:link w:val="AntratsDiagrama"/>
    <w:uiPriority w:val="99"/>
    <w:unhideWhenUsed/>
    <w:rsid w:val="0098647F"/>
    <w:pPr>
      <w:tabs>
        <w:tab w:val="center" w:pos="4819"/>
        <w:tab w:val="right" w:pos="9638"/>
      </w:tabs>
    </w:pPr>
  </w:style>
  <w:style w:type="character" w:customStyle="1" w:styleId="AntratsDiagrama">
    <w:name w:val="Antraštės Diagrama"/>
    <w:link w:val="Antrats"/>
    <w:uiPriority w:val="99"/>
    <w:rsid w:val="0098647F"/>
    <w:rPr>
      <w:rFonts w:hAnsi="Times New Roman"/>
      <w:sz w:val="24"/>
      <w:szCs w:val="24"/>
    </w:rPr>
  </w:style>
  <w:style w:type="paragraph" w:styleId="Porat">
    <w:name w:val="footer"/>
    <w:aliases w:val=" Char"/>
    <w:basedOn w:val="prastasis"/>
    <w:link w:val="PoratDiagrama"/>
    <w:uiPriority w:val="99"/>
    <w:unhideWhenUsed/>
    <w:rsid w:val="0098647F"/>
    <w:pPr>
      <w:tabs>
        <w:tab w:val="center" w:pos="4819"/>
        <w:tab w:val="right" w:pos="9638"/>
      </w:tabs>
    </w:pPr>
  </w:style>
  <w:style w:type="character" w:customStyle="1" w:styleId="PoratDiagrama">
    <w:name w:val="Poraštė Diagrama"/>
    <w:aliases w:val=" Char Diagrama"/>
    <w:link w:val="Porat"/>
    <w:uiPriority w:val="99"/>
    <w:rsid w:val="0098647F"/>
    <w:rPr>
      <w:rFonts w:hAnsi="Times New Roman"/>
      <w:sz w:val="24"/>
      <w:szCs w:val="24"/>
    </w:rPr>
  </w:style>
  <w:style w:type="table" w:styleId="Lentelstinklelis">
    <w:name w:val="Table Grid"/>
    <w:basedOn w:val="prastojilentel"/>
    <w:uiPriority w:val="59"/>
    <w:rsid w:val="00770A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4111"/>
    <w:pPr>
      <w:autoSpaceDE w:val="0"/>
      <w:autoSpaceDN w:val="0"/>
      <w:adjustRightInd w:val="0"/>
    </w:pPr>
    <w:rPr>
      <w:rFonts w:hAnsi="Times New Roman"/>
      <w:color w:val="000000"/>
      <w:sz w:val="24"/>
      <w:szCs w:val="24"/>
    </w:rPr>
  </w:style>
  <w:style w:type="paragraph" w:customStyle="1" w:styleId="Style97">
    <w:name w:val="Style97"/>
    <w:basedOn w:val="prastasis"/>
    <w:rsid w:val="00ED5D00"/>
    <w:pPr>
      <w:spacing w:line="312" w:lineRule="exact"/>
      <w:jc w:val="center"/>
    </w:pPr>
  </w:style>
  <w:style w:type="paragraph" w:customStyle="1" w:styleId="Style99">
    <w:name w:val="Style99"/>
    <w:basedOn w:val="prastasis"/>
    <w:uiPriority w:val="99"/>
    <w:rsid w:val="00ED5D00"/>
  </w:style>
  <w:style w:type="paragraph" w:customStyle="1" w:styleId="Style102">
    <w:name w:val="Style102"/>
    <w:basedOn w:val="prastasis"/>
    <w:uiPriority w:val="99"/>
    <w:rsid w:val="00ED5D00"/>
  </w:style>
  <w:style w:type="paragraph" w:customStyle="1" w:styleId="Style109">
    <w:name w:val="Style109"/>
    <w:basedOn w:val="prastasis"/>
    <w:uiPriority w:val="99"/>
    <w:rsid w:val="00ED5D00"/>
    <w:pPr>
      <w:spacing w:line="336" w:lineRule="exact"/>
    </w:pPr>
  </w:style>
  <w:style w:type="paragraph" w:customStyle="1" w:styleId="Style110">
    <w:name w:val="Style110"/>
    <w:basedOn w:val="prastasis"/>
    <w:rsid w:val="00ED5D00"/>
    <w:pPr>
      <w:spacing w:line="365" w:lineRule="exact"/>
      <w:ind w:firstLine="274"/>
    </w:pPr>
  </w:style>
  <w:style w:type="character" w:customStyle="1" w:styleId="FontStyle153">
    <w:name w:val="Font Style153"/>
    <w:uiPriority w:val="99"/>
    <w:rsid w:val="00ED5D00"/>
    <w:rPr>
      <w:rFonts w:ascii="Times New Roman" w:hAnsi="Times New Roman" w:cs="Times New Roman"/>
      <w:b/>
      <w:bCs/>
      <w:sz w:val="22"/>
      <w:szCs w:val="22"/>
    </w:rPr>
  </w:style>
  <w:style w:type="character" w:customStyle="1" w:styleId="FontStyle155">
    <w:name w:val="Font Style155"/>
    <w:uiPriority w:val="99"/>
    <w:rsid w:val="00ED5D00"/>
    <w:rPr>
      <w:rFonts w:ascii="Times New Roman" w:hAnsi="Times New Roman" w:cs="Times New Roman"/>
      <w:b/>
      <w:bCs/>
      <w:sz w:val="46"/>
      <w:szCs w:val="46"/>
    </w:rPr>
  </w:style>
  <w:style w:type="character" w:customStyle="1" w:styleId="FontStyle159">
    <w:name w:val="Font Style159"/>
    <w:uiPriority w:val="99"/>
    <w:rsid w:val="00ED5D00"/>
    <w:rPr>
      <w:rFonts w:ascii="Times New Roman" w:hAnsi="Times New Roman" w:cs="Times New Roman"/>
      <w:sz w:val="22"/>
      <w:szCs w:val="22"/>
    </w:rPr>
  </w:style>
  <w:style w:type="character" w:customStyle="1" w:styleId="FontStyle167">
    <w:name w:val="Font Style167"/>
    <w:uiPriority w:val="99"/>
    <w:rsid w:val="00ED5D00"/>
    <w:rPr>
      <w:rFonts w:ascii="Times New Roman" w:hAnsi="Times New Roman" w:cs="Times New Roman"/>
      <w:b/>
      <w:bCs/>
      <w:sz w:val="26"/>
      <w:szCs w:val="26"/>
    </w:rPr>
  </w:style>
  <w:style w:type="character" w:customStyle="1" w:styleId="FontStyle170">
    <w:name w:val="Font Style170"/>
    <w:uiPriority w:val="99"/>
    <w:rsid w:val="00ED5D00"/>
    <w:rPr>
      <w:rFonts w:ascii="Times New Roman" w:hAnsi="Times New Roman" w:cs="Times New Roman"/>
      <w:sz w:val="26"/>
      <w:szCs w:val="26"/>
    </w:rPr>
  </w:style>
  <w:style w:type="character" w:customStyle="1" w:styleId="FontStyle176">
    <w:name w:val="Font Style176"/>
    <w:uiPriority w:val="99"/>
    <w:rsid w:val="00ED5D00"/>
    <w:rPr>
      <w:rFonts w:ascii="Times New Roman" w:hAnsi="Times New Roman" w:cs="Times New Roman"/>
      <w:b/>
      <w:bCs/>
      <w:sz w:val="34"/>
      <w:szCs w:val="34"/>
    </w:rPr>
  </w:style>
  <w:style w:type="character" w:customStyle="1" w:styleId="FontStyle137">
    <w:name w:val="Font Style137"/>
    <w:uiPriority w:val="99"/>
    <w:rsid w:val="00ED5D00"/>
    <w:rPr>
      <w:rFonts w:ascii="Arial" w:hAnsi="Arial" w:cs="Arial"/>
      <w:smallCaps/>
      <w:spacing w:val="10"/>
      <w:sz w:val="24"/>
      <w:szCs w:val="24"/>
    </w:rPr>
  </w:style>
  <w:style w:type="character" w:customStyle="1" w:styleId="FontStyle175">
    <w:name w:val="Font Style175"/>
    <w:uiPriority w:val="99"/>
    <w:rsid w:val="00E94B65"/>
    <w:rPr>
      <w:rFonts w:ascii="Times New Roman" w:hAnsi="Times New Roman" w:cs="Times New Roman"/>
      <w:sz w:val="34"/>
      <w:szCs w:val="34"/>
    </w:rPr>
  </w:style>
  <w:style w:type="character" w:customStyle="1" w:styleId="FontStyle172">
    <w:name w:val="Font Style172"/>
    <w:uiPriority w:val="99"/>
    <w:rsid w:val="00D73B96"/>
    <w:rPr>
      <w:rFonts w:ascii="Times New Roman" w:hAnsi="Times New Roman" w:cs="Times New Roman"/>
      <w:sz w:val="30"/>
      <w:szCs w:val="30"/>
    </w:rPr>
  </w:style>
  <w:style w:type="character" w:customStyle="1" w:styleId="FontStyle178">
    <w:name w:val="Font Style178"/>
    <w:uiPriority w:val="99"/>
    <w:rsid w:val="00D73B96"/>
    <w:rPr>
      <w:rFonts w:ascii="Arial" w:hAnsi="Arial" w:cs="Arial"/>
      <w:b/>
      <w:bCs/>
      <w:sz w:val="24"/>
      <w:szCs w:val="24"/>
    </w:rPr>
  </w:style>
  <w:style w:type="paragraph" w:customStyle="1" w:styleId="Style106">
    <w:name w:val="Style106"/>
    <w:basedOn w:val="prastasis"/>
    <w:uiPriority w:val="99"/>
    <w:rsid w:val="00C71B06"/>
  </w:style>
  <w:style w:type="character" w:customStyle="1" w:styleId="FontStyle140">
    <w:name w:val="Font Style140"/>
    <w:uiPriority w:val="99"/>
    <w:rsid w:val="00C71B06"/>
    <w:rPr>
      <w:rFonts w:ascii="Times New Roman" w:hAnsi="Times New Roman" w:cs="Times New Roman"/>
      <w:b/>
      <w:bCs/>
      <w:smallCaps/>
      <w:w w:val="60"/>
      <w:sz w:val="48"/>
      <w:szCs w:val="48"/>
    </w:rPr>
  </w:style>
  <w:style w:type="character" w:customStyle="1" w:styleId="FontStyle157">
    <w:name w:val="Font Style157"/>
    <w:uiPriority w:val="99"/>
    <w:rsid w:val="00C71B06"/>
    <w:rPr>
      <w:rFonts w:ascii="Times New Roman" w:hAnsi="Times New Roman" w:cs="Times New Roman"/>
      <w:b/>
      <w:bCs/>
      <w:spacing w:val="-50"/>
      <w:sz w:val="72"/>
      <w:szCs w:val="72"/>
    </w:rPr>
  </w:style>
  <w:style w:type="paragraph" w:customStyle="1" w:styleId="Style108">
    <w:name w:val="Style108"/>
    <w:basedOn w:val="prastasis"/>
    <w:uiPriority w:val="99"/>
    <w:rsid w:val="00C71B06"/>
    <w:pPr>
      <w:spacing w:line="384" w:lineRule="exact"/>
      <w:ind w:hanging="125"/>
    </w:pPr>
  </w:style>
  <w:style w:type="character" w:customStyle="1" w:styleId="FontStyle164">
    <w:name w:val="Font Style164"/>
    <w:uiPriority w:val="99"/>
    <w:rsid w:val="00C71B06"/>
    <w:rPr>
      <w:rFonts w:ascii="Times New Roman" w:hAnsi="Times New Roman" w:cs="Times New Roman"/>
      <w:b/>
      <w:bCs/>
      <w:sz w:val="30"/>
      <w:szCs w:val="30"/>
    </w:rPr>
  </w:style>
  <w:style w:type="character" w:customStyle="1" w:styleId="FontStyle171">
    <w:name w:val="Font Style171"/>
    <w:uiPriority w:val="99"/>
    <w:rsid w:val="000A5163"/>
    <w:rPr>
      <w:rFonts w:ascii="Arial" w:hAnsi="Arial" w:cs="Arial"/>
      <w:smallCaps/>
      <w:spacing w:val="20"/>
      <w:sz w:val="26"/>
      <w:szCs w:val="26"/>
    </w:rPr>
  </w:style>
  <w:style w:type="paragraph" w:customStyle="1" w:styleId="Style104">
    <w:name w:val="Style104"/>
    <w:basedOn w:val="prastasis"/>
    <w:uiPriority w:val="99"/>
    <w:rsid w:val="000A5163"/>
    <w:pPr>
      <w:spacing w:line="331" w:lineRule="exact"/>
      <w:ind w:firstLine="370"/>
    </w:pPr>
  </w:style>
  <w:style w:type="character" w:customStyle="1" w:styleId="FontStyle134">
    <w:name w:val="Font Style134"/>
    <w:uiPriority w:val="99"/>
    <w:rsid w:val="000A5163"/>
    <w:rPr>
      <w:rFonts w:ascii="Times New Roman" w:hAnsi="Times New Roman" w:cs="Times New Roman"/>
      <w:b/>
      <w:bCs/>
      <w:i/>
      <w:iCs/>
      <w:sz w:val="28"/>
      <w:szCs w:val="28"/>
    </w:rPr>
  </w:style>
  <w:style w:type="character" w:customStyle="1" w:styleId="FontStyle177">
    <w:name w:val="Font Style177"/>
    <w:uiPriority w:val="99"/>
    <w:rsid w:val="000A5163"/>
    <w:rPr>
      <w:rFonts w:ascii="Times New Roman" w:hAnsi="Times New Roman" w:cs="Times New Roman"/>
      <w:sz w:val="38"/>
      <w:szCs w:val="38"/>
    </w:rPr>
  </w:style>
  <w:style w:type="character" w:customStyle="1" w:styleId="FontStyle151">
    <w:name w:val="Font Style151"/>
    <w:uiPriority w:val="99"/>
    <w:rsid w:val="008B0999"/>
    <w:rPr>
      <w:rFonts w:ascii="Times New Roman" w:hAnsi="Times New Roman" w:cs="Times New Roman"/>
      <w:b/>
      <w:bCs/>
      <w:sz w:val="38"/>
      <w:szCs w:val="38"/>
    </w:rPr>
  </w:style>
  <w:style w:type="paragraph" w:customStyle="1" w:styleId="Style95">
    <w:name w:val="Style95"/>
    <w:basedOn w:val="prastasis"/>
    <w:uiPriority w:val="99"/>
    <w:rsid w:val="00403112"/>
  </w:style>
  <w:style w:type="character" w:customStyle="1" w:styleId="FontStyle138">
    <w:name w:val="Font Style138"/>
    <w:uiPriority w:val="99"/>
    <w:rsid w:val="00403112"/>
    <w:rPr>
      <w:rFonts w:ascii="Courier New" w:hAnsi="Courier New" w:cs="Courier New"/>
      <w:b/>
      <w:bCs/>
      <w:sz w:val="18"/>
      <w:szCs w:val="18"/>
    </w:rPr>
  </w:style>
  <w:style w:type="character" w:customStyle="1" w:styleId="FontStyle139">
    <w:name w:val="Font Style139"/>
    <w:uiPriority w:val="99"/>
    <w:rsid w:val="00403112"/>
    <w:rPr>
      <w:rFonts w:ascii="Arial" w:hAnsi="Arial" w:cs="Arial"/>
      <w:sz w:val="28"/>
      <w:szCs w:val="28"/>
    </w:rPr>
  </w:style>
  <w:style w:type="character" w:customStyle="1" w:styleId="FontStyle141">
    <w:name w:val="Font Style141"/>
    <w:uiPriority w:val="99"/>
    <w:rsid w:val="00403112"/>
    <w:rPr>
      <w:rFonts w:ascii="Courier New" w:hAnsi="Courier New" w:cs="Courier New"/>
      <w:b/>
      <w:bCs/>
      <w:sz w:val="16"/>
      <w:szCs w:val="16"/>
    </w:rPr>
  </w:style>
  <w:style w:type="paragraph" w:customStyle="1" w:styleId="Style101">
    <w:name w:val="Style101"/>
    <w:basedOn w:val="prastasis"/>
    <w:uiPriority w:val="99"/>
    <w:rsid w:val="002B3686"/>
  </w:style>
  <w:style w:type="paragraph" w:customStyle="1" w:styleId="Style103">
    <w:name w:val="Style103"/>
    <w:basedOn w:val="prastasis"/>
    <w:uiPriority w:val="99"/>
    <w:rsid w:val="00591BA0"/>
    <w:pPr>
      <w:spacing w:line="365" w:lineRule="exact"/>
      <w:ind w:firstLine="197"/>
    </w:pPr>
  </w:style>
  <w:style w:type="paragraph" w:styleId="Pagrindinistekstas">
    <w:name w:val="Body Text"/>
    <w:basedOn w:val="prastasis"/>
    <w:rsid w:val="00CD73A2"/>
    <w:pPr>
      <w:suppressAutoHyphens/>
    </w:pPr>
    <w:rPr>
      <w:sz w:val="22"/>
      <w:szCs w:val="20"/>
      <w:lang w:eastAsia="ar-SA"/>
    </w:rPr>
  </w:style>
  <w:style w:type="character" w:styleId="Hipersaitas">
    <w:name w:val="Hyperlink"/>
    <w:semiHidden/>
    <w:unhideWhenUsed/>
    <w:rsid w:val="00CD73A2"/>
    <w:rPr>
      <w:strike w:val="0"/>
      <w:dstrike w:val="0"/>
      <w:color w:val="0879D5"/>
      <w:u w:val="none"/>
      <w:effect w:val="none"/>
    </w:rPr>
  </w:style>
  <w:style w:type="character" w:customStyle="1" w:styleId="statymonr">
    <w:name w:val="statymonr"/>
    <w:basedOn w:val="Numatytasispastraiposriftas"/>
    <w:rsid w:val="00CD73A2"/>
  </w:style>
  <w:style w:type="paragraph" w:styleId="HTMLiankstoformatuotas">
    <w:name w:val="HTML Preformatted"/>
    <w:basedOn w:val="prastasis"/>
    <w:rsid w:val="00910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odytext">
    <w:name w:val="Body text"/>
    <w:basedOn w:val="prastasis"/>
    <w:rsid w:val="00AE27B0"/>
    <w:pPr>
      <w:suppressAutoHyphens/>
      <w:spacing w:line="298" w:lineRule="auto"/>
      <w:ind w:firstLine="312"/>
      <w:jc w:val="both"/>
      <w:textAlignment w:val="center"/>
    </w:pPr>
    <w:rPr>
      <w:color w:val="000000"/>
      <w:sz w:val="20"/>
      <w:szCs w:val="20"/>
      <w:lang w:eastAsia="en-US"/>
    </w:rPr>
  </w:style>
  <w:style w:type="character" w:customStyle="1" w:styleId="BoldItalic">
    <w:name w:val="Bold Italic"/>
    <w:rsid w:val="0019068B"/>
    <w:rPr>
      <w:b/>
      <w:bCs/>
      <w:i/>
      <w:iCs/>
    </w:rPr>
  </w:style>
  <w:style w:type="character" w:customStyle="1" w:styleId="DiagramaDiagrama1">
    <w:name w:val=" Diagrama Diagrama1"/>
    <w:rsid w:val="00B635FD"/>
    <w:rPr>
      <w:sz w:val="24"/>
      <w:szCs w:val="24"/>
      <w:lang w:val="lt-LT" w:eastAsia="lt-LT" w:bidi="ar-SA"/>
    </w:rPr>
  </w:style>
  <w:style w:type="paragraph" w:customStyle="1" w:styleId="MAZAS">
    <w:name w:val="MAZAS"/>
    <w:basedOn w:val="prastasis"/>
    <w:rsid w:val="00B635FD"/>
    <w:pPr>
      <w:suppressAutoHyphens/>
      <w:spacing w:line="283" w:lineRule="auto"/>
      <w:ind w:firstLine="312"/>
      <w:jc w:val="both"/>
      <w:textAlignment w:val="center"/>
    </w:pPr>
    <w:rPr>
      <w:color w:val="000000"/>
      <w:sz w:val="8"/>
      <w:szCs w:val="8"/>
      <w:lang w:eastAsia="en-US"/>
    </w:rPr>
  </w:style>
  <w:style w:type="paragraph" w:customStyle="1" w:styleId="Hyperlink1">
    <w:name w:val="Hyperlink1"/>
    <w:basedOn w:val="prastasis"/>
    <w:rsid w:val="00B635FD"/>
    <w:pPr>
      <w:suppressAutoHyphens/>
      <w:spacing w:line="297" w:lineRule="auto"/>
      <w:ind w:firstLine="312"/>
      <w:jc w:val="both"/>
      <w:textAlignment w:val="center"/>
    </w:pPr>
    <w:rPr>
      <w:color w:val="000000"/>
      <w:sz w:val="20"/>
      <w:szCs w:val="20"/>
      <w:lang w:val="en-GB" w:eastAsia="ar-SA"/>
    </w:rPr>
  </w:style>
  <w:style w:type="character" w:styleId="Perirtashipersaitas">
    <w:name w:val="FollowedHyperlink"/>
    <w:rsid w:val="00B635FD"/>
    <w:rPr>
      <w:color w:val="800080"/>
      <w:u w:val="single"/>
    </w:rPr>
  </w:style>
  <w:style w:type="paragraph" w:customStyle="1" w:styleId="font5">
    <w:name w:val="font5"/>
    <w:basedOn w:val="prastasis"/>
    <w:rsid w:val="00B635FD"/>
    <w:pPr>
      <w:spacing w:before="100" w:beforeAutospacing="1" w:after="100" w:afterAutospacing="1"/>
    </w:pPr>
    <w:rPr>
      <w:sz w:val="20"/>
      <w:szCs w:val="20"/>
    </w:rPr>
  </w:style>
  <w:style w:type="paragraph" w:customStyle="1" w:styleId="font6">
    <w:name w:val="font6"/>
    <w:basedOn w:val="prastasis"/>
    <w:rsid w:val="00B635FD"/>
    <w:pPr>
      <w:spacing w:before="100" w:beforeAutospacing="1" w:after="100" w:afterAutospacing="1"/>
    </w:pPr>
    <w:rPr>
      <w:b/>
      <w:bCs/>
      <w:sz w:val="20"/>
      <w:szCs w:val="20"/>
    </w:rPr>
  </w:style>
  <w:style w:type="paragraph" w:customStyle="1" w:styleId="font7">
    <w:name w:val="font7"/>
    <w:basedOn w:val="prastasis"/>
    <w:rsid w:val="00B635FD"/>
    <w:pPr>
      <w:spacing w:before="100" w:beforeAutospacing="1" w:after="100" w:afterAutospacing="1"/>
    </w:pPr>
    <w:rPr>
      <w:b/>
      <w:bCs/>
      <w:sz w:val="20"/>
      <w:szCs w:val="20"/>
    </w:rPr>
  </w:style>
  <w:style w:type="paragraph" w:customStyle="1" w:styleId="xl22">
    <w:name w:val="xl22"/>
    <w:basedOn w:val="prastasis"/>
    <w:rsid w:val="00B63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
    <w:name w:val="xl23"/>
    <w:basedOn w:val="prastasis"/>
    <w:rsid w:val="00B63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
    <w:name w:val="xl24"/>
    <w:basedOn w:val="prastasis"/>
    <w:rsid w:val="00B63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prastasis"/>
    <w:rsid w:val="00B63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
    <w:name w:val="xl26"/>
    <w:basedOn w:val="prastasis"/>
    <w:rsid w:val="00B635F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prastasis"/>
    <w:rsid w:val="00B63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prastasis"/>
    <w:rsid w:val="00B635FD"/>
    <w:pPr>
      <w:shd w:val="clear" w:color="auto" w:fill="FFFFFF"/>
      <w:spacing w:before="100" w:beforeAutospacing="1" w:after="100" w:afterAutospacing="1"/>
      <w:textAlignment w:val="center"/>
    </w:pPr>
  </w:style>
  <w:style w:type="paragraph" w:customStyle="1" w:styleId="xl29">
    <w:name w:val="xl29"/>
    <w:basedOn w:val="prastasis"/>
    <w:rsid w:val="00B635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30">
    <w:name w:val="xl30"/>
    <w:basedOn w:val="prastasis"/>
    <w:rsid w:val="00B635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31">
    <w:name w:val="xl31"/>
    <w:basedOn w:val="prastasis"/>
    <w:rsid w:val="00B635FD"/>
    <w:pPr>
      <w:shd w:val="clear" w:color="auto" w:fill="FFFFFF"/>
      <w:spacing w:before="100" w:beforeAutospacing="1" w:after="100" w:afterAutospacing="1"/>
      <w:textAlignment w:val="center"/>
    </w:pPr>
  </w:style>
  <w:style w:type="paragraph" w:customStyle="1" w:styleId="xl32">
    <w:name w:val="xl32"/>
    <w:basedOn w:val="prastasis"/>
    <w:rsid w:val="00B635F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33">
    <w:name w:val="xl33"/>
    <w:basedOn w:val="prastasis"/>
    <w:rsid w:val="00B63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
    <w:name w:val="xl34"/>
    <w:basedOn w:val="prastasis"/>
    <w:rsid w:val="00B635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35">
    <w:name w:val="xl35"/>
    <w:basedOn w:val="prastasis"/>
    <w:rsid w:val="00B635F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6">
    <w:name w:val="xl36"/>
    <w:basedOn w:val="prastasis"/>
    <w:rsid w:val="00B635F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37">
    <w:name w:val="xl37"/>
    <w:basedOn w:val="prastasis"/>
    <w:rsid w:val="00B63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
    <w:name w:val="xl38"/>
    <w:basedOn w:val="prastasis"/>
    <w:rsid w:val="00B635FD"/>
    <w:pPr>
      <w:pBdr>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39">
    <w:name w:val="xl39"/>
    <w:basedOn w:val="prastasis"/>
    <w:rsid w:val="00B635FD"/>
    <w:pPr>
      <w:pBdr>
        <w:bottom w:val="single" w:sz="4" w:space="0" w:color="auto"/>
      </w:pBdr>
      <w:spacing w:before="100" w:beforeAutospacing="1" w:after="100" w:afterAutospacing="1"/>
      <w:textAlignment w:val="center"/>
    </w:pPr>
  </w:style>
  <w:style w:type="paragraph" w:customStyle="1" w:styleId="xl40">
    <w:name w:val="xl40"/>
    <w:basedOn w:val="prastasis"/>
    <w:rsid w:val="00B635FD"/>
    <w:pPr>
      <w:pBdr>
        <w:left w:val="single" w:sz="4" w:space="0" w:color="auto"/>
        <w:bottom w:val="single" w:sz="4" w:space="0" w:color="auto"/>
      </w:pBdr>
      <w:spacing w:before="100" w:beforeAutospacing="1" w:after="100" w:afterAutospacing="1"/>
      <w:textAlignment w:val="center"/>
    </w:pPr>
  </w:style>
  <w:style w:type="paragraph" w:customStyle="1" w:styleId="xl41">
    <w:name w:val="xl41"/>
    <w:basedOn w:val="prastasis"/>
    <w:rsid w:val="00B635F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prastasis"/>
    <w:rsid w:val="00B635FD"/>
    <w:pPr>
      <w:pBdr>
        <w:bottom w:val="single" w:sz="4" w:space="0" w:color="auto"/>
        <w:right w:val="single" w:sz="4" w:space="0" w:color="auto"/>
      </w:pBdr>
      <w:spacing w:before="100" w:beforeAutospacing="1" w:after="100" w:afterAutospacing="1"/>
      <w:textAlignment w:val="center"/>
    </w:pPr>
  </w:style>
  <w:style w:type="paragraph" w:customStyle="1" w:styleId="xl43">
    <w:name w:val="xl43"/>
    <w:basedOn w:val="prastasis"/>
    <w:rsid w:val="00B635FD"/>
    <w:pPr>
      <w:pBdr>
        <w:top w:val="single" w:sz="4" w:space="0" w:color="auto"/>
        <w:bottom w:val="single" w:sz="4" w:space="0" w:color="auto"/>
      </w:pBdr>
      <w:spacing w:before="100" w:beforeAutospacing="1" w:after="100" w:afterAutospacing="1"/>
      <w:textAlignment w:val="center"/>
    </w:pPr>
  </w:style>
  <w:style w:type="paragraph" w:customStyle="1" w:styleId="xl44">
    <w:name w:val="xl44"/>
    <w:basedOn w:val="prastasis"/>
    <w:rsid w:val="00B635F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prastasis"/>
    <w:rsid w:val="00B63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prastasis"/>
    <w:rsid w:val="00B635FD"/>
    <w:pPr>
      <w:pBdr>
        <w:top w:val="single" w:sz="4" w:space="0" w:color="auto"/>
        <w:bottom w:val="single" w:sz="4" w:space="0" w:color="auto"/>
        <w:right w:val="single" w:sz="4" w:space="0" w:color="auto"/>
      </w:pBdr>
      <w:spacing w:before="100" w:beforeAutospacing="1" w:after="100" w:afterAutospacing="1"/>
    </w:pPr>
  </w:style>
  <w:style w:type="paragraph" w:customStyle="1" w:styleId="xl47">
    <w:name w:val="xl47"/>
    <w:basedOn w:val="prastasis"/>
    <w:rsid w:val="00B635F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8">
    <w:name w:val="xl48"/>
    <w:basedOn w:val="prastasis"/>
    <w:rsid w:val="00B635FD"/>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49">
    <w:name w:val="xl49"/>
    <w:basedOn w:val="prastasis"/>
    <w:rsid w:val="00B635FD"/>
    <w:pPr>
      <w:pBdr>
        <w:top w:val="single" w:sz="4" w:space="0" w:color="auto"/>
        <w:bottom w:val="single" w:sz="4" w:space="0" w:color="auto"/>
      </w:pBdr>
      <w:spacing w:before="100" w:beforeAutospacing="1" w:after="100" w:afterAutospacing="1"/>
      <w:textAlignment w:val="center"/>
    </w:pPr>
    <w:rPr>
      <w:b/>
      <w:bCs/>
    </w:rPr>
  </w:style>
  <w:style w:type="paragraph" w:customStyle="1" w:styleId="xl50">
    <w:name w:val="xl50"/>
    <w:basedOn w:val="prastasis"/>
    <w:rsid w:val="00B635FD"/>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
    <w:name w:val="xl51"/>
    <w:basedOn w:val="prastasis"/>
    <w:rsid w:val="00B635FD"/>
    <w:pPr>
      <w:pBdr>
        <w:top w:val="single" w:sz="4" w:space="0" w:color="auto"/>
        <w:bottom w:val="single" w:sz="4" w:space="0" w:color="auto"/>
      </w:pBdr>
      <w:spacing w:before="100" w:beforeAutospacing="1" w:after="100" w:afterAutospacing="1"/>
      <w:textAlignment w:val="center"/>
    </w:pPr>
  </w:style>
  <w:style w:type="paragraph" w:customStyle="1" w:styleId="xl52">
    <w:name w:val="xl52"/>
    <w:basedOn w:val="prastasis"/>
    <w:rsid w:val="00B635F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3">
    <w:name w:val="xl53"/>
    <w:basedOn w:val="prastasis"/>
    <w:rsid w:val="00B635FD"/>
    <w:pPr>
      <w:pBdr>
        <w:top w:val="single" w:sz="4" w:space="0" w:color="auto"/>
        <w:bottom w:val="single" w:sz="4" w:space="0" w:color="auto"/>
      </w:pBdr>
      <w:spacing w:before="100" w:beforeAutospacing="1" w:after="100" w:afterAutospacing="1"/>
      <w:textAlignment w:val="center"/>
    </w:pPr>
  </w:style>
  <w:style w:type="paragraph" w:customStyle="1" w:styleId="xl54">
    <w:name w:val="xl54"/>
    <w:basedOn w:val="prastasis"/>
    <w:rsid w:val="00B635F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prastasis"/>
    <w:rsid w:val="00B635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
    <w:name w:val="xl56"/>
    <w:basedOn w:val="prastasis"/>
    <w:rsid w:val="00B635FD"/>
    <w:pPr>
      <w:pBdr>
        <w:top w:val="single" w:sz="4" w:space="0" w:color="auto"/>
        <w:left w:val="single" w:sz="4" w:space="0" w:color="auto"/>
      </w:pBdr>
      <w:spacing w:before="100" w:beforeAutospacing="1" w:after="100" w:afterAutospacing="1"/>
      <w:textAlignment w:val="center"/>
    </w:pPr>
    <w:rPr>
      <w:b/>
      <w:bCs/>
    </w:rPr>
  </w:style>
  <w:style w:type="paragraph" w:customStyle="1" w:styleId="xl57">
    <w:name w:val="xl57"/>
    <w:basedOn w:val="prastasis"/>
    <w:rsid w:val="00B635FD"/>
    <w:pPr>
      <w:pBdr>
        <w:top w:val="single" w:sz="4" w:space="0" w:color="auto"/>
      </w:pBdr>
      <w:spacing w:before="100" w:beforeAutospacing="1" w:after="100" w:afterAutospacing="1"/>
      <w:textAlignment w:val="center"/>
    </w:pPr>
    <w:rPr>
      <w:b/>
      <w:bCs/>
    </w:rPr>
  </w:style>
  <w:style w:type="paragraph" w:customStyle="1" w:styleId="xl58">
    <w:name w:val="xl58"/>
    <w:basedOn w:val="prastasis"/>
    <w:rsid w:val="00B635FD"/>
    <w:pPr>
      <w:pBdr>
        <w:top w:val="single" w:sz="4" w:space="0" w:color="auto"/>
        <w:right w:val="single" w:sz="4" w:space="0" w:color="auto"/>
      </w:pBdr>
      <w:spacing w:before="100" w:beforeAutospacing="1" w:after="100" w:afterAutospacing="1"/>
      <w:textAlignment w:val="center"/>
    </w:pPr>
    <w:rPr>
      <w:b/>
      <w:bCs/>
    </w:rPr>
  </w:style>
  <w:style w:type="paragraph" w:customStyle="1" w:styleId="xl59">
    <w:name w:val="xl59"/>
    <w:basedOn w:val="prastasis"/>
    <w:rsid w:val="00B635FD"/>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0">
    <w:name w:val="xl60"/>
    <w:basedOn w:val="prastasis"/>
    <w:rsid w:val="00B635FD"/>
    <w:pPr>
      <w:pBdr>
        <w:top w:val="single" w:sz="4" w:space="0" w:color="auto"/>
        <w:bottom w:val="single" w:sz="4" w:space="0" w:color="auto"/>
      </w:pBdr>
      <w:spacing w:before="100" w:beforeAutospacing="1" w:after="100" w:afterAutospacing="1"/>
      <w:textAlignment w:val="center"/>
    </w:pPr>
    <w:rPr>
      <w:b/>
      <w:bCs/>
    </w:rPr>
  </w:style>
  <w:style w:type="paragraph" w:customStyle="1" w:styleId="xl61">
    <w:name w:val="xl61"/>
    <w:basedOn w:val="prastasis"/>
    <w:rsid w:val="00B635F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2">
    <w:name w:val="xl62"/>
    <w:basedOn w:val="prastasis"/>
    <w:rsid w:val="00B635FD"/>
    <w:pPr>
      <w:pBdr>
        <w:top w:val="single" w:sz="4" w:space="0" w:color="auto"/>
        <w:bottom w:val="single" w:sz="4" w:space="0" w:color="auto"/>
      </w:pBdr>
      <w:spacing w:before="100" w:beforeAutospacing="1" w:after="100" w:afterAutospacing="1"/>
    </w:pPr>
  </w:style>
  <w:style w:type="paragraph" w:customStyle="1" w:styleId="finmingeneral">
    <w:name w:val="finmin general"/>
    <w:basedOn w:val="prastasis"/>
    <w:rsid w:val="00B635FD"/>
    <w:pPr>
      <w:numPr>
        <w:numId w:val="32"/>
      </w:numPr>
      <w:tabs>
        <w:tab w:val="left" w:pos="360"/>
      </w:tabs>
      <w:spacing w:before="240" w:line="320" w:lineRule="atLeast"/>
      <w:jc w:val="both"/>
    </w:pPr>
    <w:rPr>
      <w:lang w:eastAsia="en-US"/>
    </w:rPr>
  </w:style>
  <w:style w:type="paragraph" w:styleId="Sraassuenkleliais">
    <w:name w:val="List Bullet"/>
    <w:basedOn w:val="prastasis"/>
    <w:autoRedefine/>
    <w:rsid w:val="00B635FD"/>
    <w:pPr>
      <w:numPr>
        <w:ilvl w:val="1"/>
        <w:numId w:val="32"/>
      </w:numPr>
      <w:tabs>
        <w:tab w:val="clear" w:pos="2052"/>
        <w:tab w:val="num" w:pos="360"/>
      </w:tabs>
      <w:ind w:left="360" w:hanging="360"/>
    </w:pPr>
    <w:rPr>
      <w:szCs w:val="20"/>
      <w:lang w:val="en-GB" w:eastAsia="en-US"/>
    </w:rPr>
  </w:style>
  <w:style w:type="paragraph" w:styleId="Puslapioinaostekstas">
    <w:name w:val="footnote text"/>
    <w:basedOn w:val="prastasis"/>
    <w:semiHidden/>
    <w:rsid w:val="00B635FD"/>
    <w:rPr>
      <w:sz w:val="16"/>
      <w:szCs w:val="20"/>
      <w:lang w:val="en-GB" w:eastAsia="en-US"/>
    </w:rPr>
  </w:style>
  <w:style w:type="character" w:styleId="Puslapioinaosnuoroda">
    <w:name w:val="footnote reference"/>
    <w:semiHidden/>
    <w:rsid w:val="00B635FD"/>
    <w:rPr>
      <w:vertAlign w:val="superscript"/>
    </w:rPr>
  </w:style>
  <w:style w:type="character" w:styleId="Puslapionumeris">
    <w:name w:val="page number"/>
    <w:basedOn w:val="Numatytasispastraiposriftas"/>
    <w:rsid w:val="00B635FD"/>
  </w:style>
  <w:style w:type="character" w:customStyle="1" w:styleId="Bodytext3">
    <w:name w:val="Body text (3)_"/>
    <w:link w:val="Bodytext30"/>
    <w:uiPriority w:val="99"/>
    <w:locked/>
    <w:rsid w:val="00BF552C"/>
    <w:rPr>
      <w:rFonts w:hAnsi="Times New Roman"/>
      <w:sz w:val="17"/>
      <w:szCs w:val="17"/>
      <w:shd w:val="clear" w:color="auto" w:fill="FFFFFF"/>
    </w:rPr>
  </w:style>
  <w:style w:type="character" w:customStyle="1" w:styleId="Bodytext0">
    <w:name w:val="Body text_"/>
    <w:link w:val="Bodytext1"/>
    <w:uiPriority w:val="99"/>
    <w:locked/>
    <w:rsid w:val="00BF552C"/>
    <w:rPr>
      <w:rFonts w:hAnsi="Times New Roman"/>
      <w:sz w:val="16"/>
      <w:szCs w:val="16"/>
      <w:shd w:val="clear" w:color="auto" w:fill="FFFFFF"/>
    </w:rPr>
  </w:style>
  <w:style w:type="paragraph" w:customStyle="1" w:styleId="Bodytext30">
    <w:name w:val="Body text (3)"/>
    <w:basedOn w:val="prastasis"/>
    <w:link w:val="Bodytext3"/>
    <w:uiPriority w:val="99"/>
    <w:rsid w:val="00BF552C"/>
    <w:pPr>
      <w:shd w:val="clear" w:color="auto" w:fill="FFFFFF"/>
      <w:spacing w:line="240" w:lineRule="atLeast"/>
      <w:jc w:val="right"/>
    </w:pPr>
    <w:rPr>
      <w:sz w:val="17"/>
      <w:szCs w:val="17"/>
    </w:rPr>
  </w:style>
  <w:style w:type="paragraph" w:customStyle="1" w:styleId="Bodytext1">
    <w:name w:val="Body text1"/>
    <w:basedOn w:val="prastasis"/>
    <w:link w:val="Bodytext0"/>
    <w:uiPriority w:val="99"/>
    <w:rsid w:val="00BF552C"/>
    <w:pPr>
      <w:shd w:val="clear" w:color="auto" w:fill="FFFFFF"/>
      <w:spacing w:line="240" w:lineRule="atLeast"/>
    </w:pPr>
    <w:rPr>
      <w:sz w:val="16"/>
      <w:szCs w:val="16"/>
    </w:rPr>
  </w:style>
  <w:style w:type="character" w:customStyle="1" w:styleId="Bodytext12">
    <w:name w:val="Body text (12)_"/>
    <w:link w:val="Bodytext120"/>
    <w:uiPriority w:val="99"/>
    <w:locked/>
    <w:rsid w:val="00B66D29"/>
    <w:rPr>
      <w:rFonts w:hAnsi="Times New Roman"/>
      <w:sz w:val="10"/>
      <w:szCs w:val="10"/>
      <w:shd w:val="clear" w:color="auto" w:fill="FFFFFF"/>
    </w:rPr>
  </w:style>
  <w:style w:type="character" w:customStyle="1" w:styleId="Bodytext16">
    <w:name w:val="Body text (16)_"/>
    <w:link w:val="Bodytext160"/>
    <w:uiPriority w:val="99"/>
    <w:locked/>
    <w:rsid w:val="00B66D29"/>
    <w:rPr>
      <w:rFonts w:hAnsi="Times New Roman"/>
      <w:sz w:val="11"/>
      <w:szCs w:val="11"/>
      <w:shd w:val="clear" w:color="auto" w:fill="FFFFFF"/>
    </w:rPr>
  </w:style>
  <w:style w:type="paragraph" w:customStyle="1" w:styleId="Bodytext120">
    <w:name w:val="Body text (12)"/>
    <w:basedOn w:val="prastasis"/>
    <w:link w:val="Bodytext12"/>
    <w:uiPriority w:val="99"/>
    <w:rsid w:val="00B66D29"/>
    <w:pPr>
      <w:shd w:val="clear" w:color="auto" w:fill="FFFFFF"/>
      <w:spacing w:line="240" w:lineRule="atLeast"/>
    </w:pPr>
    <w:rPr>
      <w:sz w:val="10"/>
      <w:szCs w:val="10"/>
    </w:rPr>
  </w:style>
  <w:style w:type="paragraph" w:customStyle="1" w:styleId="Bodytext160">
    <w:name w:val="Body text (16)"/>
    <w:basedOn w:val="prastasis"/>
    <w:link w:val="Bodytext16"/>
    <w:uiPriority w:val="99"/>
    <w:rsid w:val="00B66D29"/>
    <w:pPr>
      <w:shd w:val="clear" w:color="auto" w:fill="FFFFFF"/>
      <w:spacing w:line="240" w:lineRule="atLeast"/>
      <w:jc w:val="both"/>
    </w:pPr>
    <w:rPr>
      <w:sz w:val="11"/>
      <w:szCs w:val="11"/>
    </w:rPr>
  </w:style>
  <w:style w:type="paragraph" w:styleId="Debesliotekstas">
    <w:name w:val="Balloon Text"/>
    <w:basedOn w:val="prastasis"/>
    <w:link w:val="DebesliotekstasDiagrama"/>
    <w:rsid w:val="009865E7"/>
    <w:rPr>
      <w:rFonts w:ascii="Arial" w:hAnsi="Arial" w:cs="Arial"/>
      <w:sz w:val="16"/>
      <w:szCs w:val="16"/>
    </w:rPr>
  </w:style>
  <w:style w:type="character" w:customStyle="1" w:styleId="DebesliotekstasDiagrama">
    <w:name w:val="Debesėlio tekstas Diagrama"/>
    <w:link w:val="Debesliotekstas"/>
    <w:rsid w:val="009865E7"/>
    <w:rPr>
      <w:rFonts w:ascii="Arial" w:hAnsi="Arial" w:cs="Arial"/>
      <w:sz w:val="16"/>
      <w:szCs w:val="16"/>
    </w:rPr>
  </w:style>
  <w:style w:type="paragraph" w:styleId="Betarp">
    <w:name w:val="No Spacing"/>
    <w:uiPriority w:val="1"/>
    <w:qFormat/>
    <w:rsid w:val="00720F44"/>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0444">
      <w:bodyDiv w:val="1"/>
      <w:marLeft w:val="0"/>
      <w:marRight w:val="0"/>
      <w:marTop w:val="0"/>
      <w:marBottom w:val="0"/>
      <w:divBdr>
        <w:top w:val="none" w:sz="0" w:space="0" w:color="auto"/>
        <w:left w:val="none" w:sz="0" w:space="0" w:color="auto"/>
        <w:bottom w:val="none" w:sz="0" w:space="0" w:color="auto"/>
        <w:right w:val="none" w:sz="0" w:space="0" w:color="auto"/>
      </w:divBdr>
    </w:div>
    <w:div w:id="263342264">
      <w:bodyDiv w:val="1"/>
      <w:marLeft w:val="0"/>
      <w:marRight w:val="0"/>
      <w:marTop w:val="0"/>
      <w:marBottom w:val="0"/>
      <w:divBdr>
        <w:top w:val="none" w:sz="0" w:space="0" w:color="auto"/>
        <w:left w:val="none" w:sz="0" w:space="0" w:color="auto"/>
        <w:bottom w:val="none" w:sz="0" w:space="0" w:color="auto"/>
        <w:right w:val="none" w:sz="0" w:space="0" w:color="auto"/>
      </w:divBdr>
    </w:div>
    <w:div w:id="307445491">
      <w:bodyDiv w:val="1"/>
      <w:marLeft w:val="0"/>
      <w:marRight w:val="0"/>
      <w:marTop w:val="0"/>
      <w:marBottom w:val="0"/>
      <w:divBdr>
        <w:top w:val="none" w:sz="0" w:space="0" w:color="auto"/>
        <w:left w:val="none" w:sz="0" w:space="0" w:color="auto"/>
        <w:bottom w:val="none" w:sz="0" w:space="0" w:color="auto"/>
        <w:right w:val="none" w:sz="0" w:space="0" w:color="auto"/>
      </w:divBdr>
    </w:div>
    <w:div w:id="369302756">
      <w:bodyDiv w:val="1"/>
      <w:marLeft w:val="0"/>
      <w:marRight w:val="0"/>
      <w:marTop w:val="0"/>
      <w:marBottom w:val="0"/>
      <w:divBdr>
        <w:top w:val="none" w:sz="0" w:space="0" w:color="auto"/>
        <w:left w:val="none" w:sz="0" w:space="0" w:color="auto"/>
        <w:bottom w:val="none" w:sz="0" w:space="0" w:color="auto"/>
        <w:right w:val="none" w:sz="0" w:space="0" w:color="auto"/>
      </w:divBdr>
    </w:div>
    <w:div w:id="371197153">
      <w:bodyDiv w:val="1"/>
      <w:marLeft w:val="0"/>
      <w:marRight w:val="0"/>
      <w:marTop w:val="0"/>
      <w:marBottom w:val="0"/>
      <w:divBdr>
        <w:top w:val="none" w:sz="0" w:space="0" w:color="auto"/>
        <w:left w:val="none" w:sz="0" w:space="0" w:color="auto"/>
        <w:bottom w:val="none" w:sz="0" w:space="0" w:color="auto"/>
        <w:right w:val="none" w:sz="0" w:space="0" w:color="auto"/>
      </w:divBdr>
    </w:div>
    <w:div w:id="423720480">
      <w:bodyDiv w:val="1"/>
      <w:marLeft w:val="0"/>
      <w:marRight w:val="0"/>
      <w:marTop w:val="0"/>
      <w:marBottom w:val="0"/>
      <w:divBdr>
        <w:top w:val="none" w:sz="0" w:space="0" w:color="auto"/>
        <w:left w:val="none" w:sz="0" w:space="0" w:color="auto"/>
        <w:bottom w:val="none" w:sz="0" w:space="0" w:color="auto"/>
        <w:right w:val="none" w:sz="0" w:space="0" w:color="auto"/>
      </w:divBdr>
    </w:div>
    <w:div w:id="453670898">
      <w:bodyDiv w:val="1"/>
      <w:marLeft w:val="0"/>
      <w:marRight w:val="0"/>
      <w:marTop w:val="0"/>
      <w:marBottom w:val="0"/>
      <w:divBdr>
        <w:top w:val="none" w:sz="0" w:space="0" w:color="auto"/>
        <w:left w:val="none" w:sz="0" w:space="0" w:color="auto"/>
        <w:bottom w:val="none" w:sz="0" w:space="0" w:color="auto"/>
        <w:right w:val="none" w:sz="0" w:space="0" w:color="auto"/>
      </w:divBdr>
    </w:div>
    <w:div w:id="499734686">
      <w:bodyDiv w:val="1"/>
      <w:marLeft w:val="0"/>
      <w:marRight w:val="0"/>
      <w:marTop w:val="0"/>
      <w:marBottom w:val="0"/>
      <w:divBdr>
        <w:top w:val="none" w:sz="0" w:space="0" w:color="auto"/>
        <w:left w:val="none" w:sz="0" w:space="0" w:color="auto"/>
        <w:bottom w:val="none" w:sz="0" w:space="0" w:color="auto"/>
        <w:right w:val="none" w:sz="0" w:space="0" w:color="auto"/>
      </w:divBdr>
    </w:div>
    <w:div w:id="537742428">
      <w:bodyDiv w:val="1"/>
      <w:marLeft w:val="0"/>
      <w:marRight w:val="0"/>
      <w:marTop w:val="0"/>
      <w:marBottom w:val="0"/>
      <w:divBdr>
        <w:top w:val="none" w:sz="0" w:space="0" w:color="auto"/>
        <w:left w:val="none" w:sz="0" w:space="0" w:color="auto"/>
        <w:bottom w:val="none" w:sz="0" w:space="0" w:color="auto"/>
        <w:right w:val="none" w:sz="0" w:space="0" w:color="auto"/>
      </w:divBdr>
    </w:div>
    <w:div w:id="677387050">
      <w:bodyDiv w:val="1"/>
      <w:marLeft w:val="0"/>
      <w:marRight w:val="0"/>
      <w:marTop w:val="0"/>
      <w:marBottom w:val="0"/>
      <w:divBdr>
        <w:top w:val="none" w:sz="0" w:space="0" w:color="auto"/>
        <w:left w:val="none" w:sz="0" w:space="0" w:color="auto"/>
        <w:bottom w:val="none" w:sz="0" w:space="0" w:color="auto"/>
        <w:right w:val="none" w:sz="0" w:space="0" w:color="auto"/>
      </w:divBdr>
    </w:div>
    <w:div w:id="767510036">
      <w:bodyDiv w:val="1"/>
      <w:marLeft w:val="0"/>
      <w:marRight w:val="0"/>
      <w:marTop w:val="0"/>
      <w:marBottom w:val="0"/>
      <w:divBdr>
        <w:top w:val="none" w:sz="0" w:space="0" w:color="auto"/>
        <w:left w:val="none" w:sz="0" w:space="0" w:color="auto"/>
        <w:bottom w:val="none" w:sz="0" w:space="0" w:color="auto"/>
        <w:right w:val="none" w:sz="0" w:space="0" w:color="auto"/>
      </w:divBdr>
    </w:div>
    <w:div w:id="788627382">
      <w:bodyDiv w:val="1"/>
      <w:marLeft w:val="0"/>
      <w:marRight w:val="0"/>
      <w:marTop w:val="0"/>
      <w:marBottom w:val="0"/>
      <w:divBdr>
        <w:top w:val="none" w:sz="0" w:space="0" w:color="auto"/>
        <w:left w:val="none" w:sz="0" w:space="0" w:color="auto"/>
        <w:bottom w:val="none" w:sz="0" w:space="0" w:color="auto"/>
        <w:right w:val="none" w:sz="0" w:space="0" w:color="auto"/>
      </w:divBdr>
    </w:div>
    <w:div w:id="967665636">
      <w:bodyDiv w:val="1"/>
      <w:marLeft w:val="0"/>
      <w:marRight w:val="0"/>
      <w:marTop w:val="0"/>
      <w:marBottom w:val="0"/>
      <w:divBdr>
        <w:top w:val="none" w:sz="0" w:space="0" w:color="auto"/>
        <w:left w:val="none" w:sz="0" w:space="0" w:color="auto"/>
        <w:bottom w:val="none" w:sz="0" w:space="0" w:color="auto"/>
        <w:right w:val="none" w:sz="0" w:space="0" w:color="auto"/>
      </w:divBdr>
    </w:div>
    <w:div w:id="1106846585">
      <w:bodyDiv w:val="1"/>
      <w:marLeft w:val="0"/>
      <w:marRight w:val="0"/>
      <w:marTop w:val="0"/>
      <w:marBottom w:val="0"/>
      <w:divBdr>
        <w:top w:val="none" w:sz="0" w:space="0" w:color="auto"/>
        <w:left w:val="none" w:sz="0" w:space="0" w:color="auto"/>
        <w:bottom w:val="none" w:sz="0" w:space="0" w:color="auto"/>
        <w:right w:val="none" w:sz="0" w:space="0" w:color="auto"/>
      </w:divBdr>
    </w:div>
    <w:div w:id="1192764703">
      <w:bodyDiv w:val="1"/>
      <w:marLeft w:val="0"/>
      <w:marRight w:val="0"/>
      <w:marTop w:val="0"/>
      <w:marBottom w:val="0"/>
      <w:divBdr>
        <w:top w:val="none" w:sz="0" w:space="0" w:color="auto"/>
        <w:left w:val="none" w:sz="0" w:space="0" w:color="auto"/>
        <w:bottom w:val="none" w:sz="0" w:space="0" w:color="auto"/>
        <w:right w:val="none" w:sz="0" w:space="0" w:color="auto"/>
      </w:divBdr>
    </w:div>
    <w:div w:id="1215043582">
      <w:bodyDiv w:val="1"/>
      <w:marLeft w:val="0"/>
      <w:marRight w:val="0"/>
      <w:marTop w:val="0"/>
      <w:marBottom w:val="0"/>
      <w:divBdr>
        <w:top w:val="none" w:sz="0" w:space="0" w:color="auto"/>
        <w:left w:val="none" w:sz="0" w:space="0" w:color="auto"/>
        <w:bottom w:val="none" w:sz="0" w:space="0" w:color="auto"/>
        <w:right w:val="none" w:sz="0" w:space="0" w:color="auto"/>
      </w:divBdr>
    </w:div>
    <w:div w:id="1313943765">
      <w:bodyDiv w:val="1"/>
      <w:marLeft w:val="0"/>
      <w:marRight w:val="0"/>
      <w:marTop w:val="0"/>
      <w:marBottom w:val="0"/>
      <w:divBdr>
        <w:top w:val="none" w:sz="0" w:space="0" w:color="auto"/>
        <w:left w:val="none" w:sz="0" w:space="0" w:color="auto"/>
        <w:bottom w:val="none" w:sz="0" w:space="0" w:color="auto"/>
        <w:right w:val="none" w:sz="0" w:space="0" w:color="auto"/>
      </w:divBdr>
    </w:div>
    <w:div w:id="1381973560">
      <w:bodyDiv w:val="1"/>
      <w:marLeft w:val="0"/>
      <w:marRight w:val="0"/>
      <w:marTop w:val="0"/>
      <w:marBottom w:val="0"/>
      <w:divBdr>
        <w:top w:val="none" w:sz="0" w:space="0" w:color="auto"/>
        <w:left w:val="none" w:sz="0" w:space="0" w:color="auto"/>
        <w:bottom w:val="none" w:sz="0" w:space="0" w:color="auto"/>
        <w:right w:val="none" w:sz="0" w:space="0" w:color="auto"/>
      </w:divBdr>
    </w:div>
    <w:div w:id="20404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25394</Words>
  <Characters>14476</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PowerPoint Presentation</vt:lpstr>
      <vt:lpstr>PowerPoint Presentation</vt:lpstr>
    </vt:vector>
  </TitlesOfParts>
  <Company>Hewlett-Packard Company</Company>
  <LinksUpToDate>false</LinksUpToDate>
  <CharactersWithSpaces>39791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Aidas</dc:creator>
  <cp:keywords/>
  <cp:lastModifiedBy>Renata Valantiniene</cp:lastModifiedBy>
  <cp:revision>3</cp:revision>
  <cp:lastPrinted>2014-03-05T13:17:00Z</cp:lastPrinted>
  <dcterms:created xsi:type="dcterms:W3CDTF">2014-03-27T14:48:00Z</dcterms:created>
  <dcterms:modified xsi:type="dcterms:W3CDTF">2014-03-27T14:48:00Z</dcterms:modified>
</cp:coreProperties>
</file>