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FAC6B0" w14:textId="77777777" w:rsidR="005A3BBD" w:rsidRPr="00DA23CD" w:rsidRDefault="009E552E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7DA52560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77777777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200AA13D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0D2ADC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0D2ADC">
        <w:rPr>
          <w:sz w:val="24"/>
          <w:szCs w:val="24"/>
        </w:rPr>
        <w:t>balandžio 25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 Nr. T-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>
      <w:pPr>
        <w:rPr>
          <w:sz w:val="24"/>
          <w:szCs w:val="24"/>
        </w:rPr>
      </w:pPr>
    </w:p>
    <w:p w14:paraId="0F45CFCD" w14:textId="53EAF01B"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>ir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24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A71C76">
        <w:rPr>
          <w:sz w:val="24"/>
          <w:szCs w:val="24"/>
        </w:rPr>
        <w:t>ais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 ir atsižvelgdama </w:t>
      </w:r>
      <w:bookmarkStart w:id="0" w:name="_Hlk140064203"/>
      <w:r w:rsidRPr="00DA23CD">
        <w:rPr>
          <w:sz w:val="24"/>
          <w:szCs w:val="24"/>
        </w:rPr>
        <w:t xml:space="preserve">į </w:t>
      </w:r>
      <w:bookmarkStart w:id="1" w:name="_Hlk140049297"/>
      <w:r w:rsidR="00A71C76">
        <w:rPr>
          <w:sz w:val="24"/>
          <w:szCs w:val="24"/>
        </w:rPr>
        <w:t>Lietuvos nacionalinės Martyno Mažvydo bibliotek</w:t>
      </w:r>
      <w:bookmarkEnd w:id="0"/>
      <w:r w:rsidR="00A71C76">
        <w:rPr>
          <w:sz w:val="24"/>
          <w:szCs w:val="24"/>
        </w:rPr>
        <w:t>os</w:t>
      </w:r>
      <w:r w:rsidR="00CB2534" w:rsidRPr="00DA23CD">
        <w:rPr>
          <w:sz w:val="24"/>
          <w:szCs w:val="24"/>
        </w:rPr>
        <w:t xml:space="preserve"> </w:t>
      </w:r>
      <w:bookmarkEnd w:id="1"/>
      <w:r w:rsidR="008E4AB0" w:rsidRPr="00DA23CD">
        <w:rPr>
          <w:sz w:val="24"/>
          <w:szCs w:val="24"/>
        </w:rPr>
        <w:t>20</w:t>
      </w:r>
      <w:r w:rsidR="000D2ADC">
        <w:rPr>
          <w:sz w:val="24"/>
          <w:szCs w:val="24"/>
        </w:rPr>
        <w:t>24</w:t>
      </w:r>
      <w:r w:rsidR="008E4AB0" w:rsidRPr="00DA23CD">
        <w:rPr>
          <w:sz w:val="24"/>
          <w:szCs w:val="24"/>
        </w:rPr>
        <w:t xml:space="preserve"> m. </w:t>
      </w:r>
      <w:r w:rsidR="000D2ADC">
        <w:rPr>
          <w:sz w:val="24"/>
          <w:szCs w:val="24"/>
        </w:rPr>
        <w:t>kovo 27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Nr. </w:t>
      </w:r>
      <w:r w:rsidR="008E4AB0" w:rsidRPr="00DA23CD">
        <w:rPr>
          <w:sz w:val="24"/>
          <w:szCs w:val="24"/>
        </w:rPr>
        <w:t>S</w:t>
      </w:r>
      <w:r w:rsidR="00A71C76">
        <w:rPr>
          <w:sz w:val="24"/>
          <w:szCs w:val="24"/>
        </w:rPr>
        <w:t>D-2</w:t>
      </w:r>
      <w:r w:rsidR="000D2ADC">
        <w:rPr>
          <w:sz w:val="24"/>
          <w:szCs w:val="24"/>
        </w:rPr>
        <w:t>4</w:t>
      </w:r>
      <w:r w:rsidR="00A71C76">
        <w:rPr>
          <w:sz w:val="24"/>
          <w:szCs w:val="24"/>
        </w:rPr>
        <w:t>-</w:t>
      </w:r>
      <w:r w:rsidR="000D2ADC">
        <w:rPr>
          <w:sz w:val="24"/>
          <w:szCs w:val="24"/>
        </w:rPr>
        <w:t>206</w:t>
      </w:r>
      <w:r w:rsidR="00A71C76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A71C76">
        <w:rPr>
          <w:sz w:val="24"/>
          <w:szCs w:val="24"/>
        </w:rPr>
        <w:t xml:space="preserve"> sutikimo perimti valstybės turtą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14:paraId="0441B70B" w14:textId="45C6E6A6"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574CF1">
        <w:rPr>
          <w:sz w:val="24"/>
          <w:szCs w:val="24"/>
        </w:rPr>
        <w:t>Lietuvos nacionalinės Martyno Mažvydo bibliotekos</w:t>
      </w:r>
      <w:r w:rsidR="00574CF1"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</w:t>
      </w:r>
      <w:r w:rsidR="00574CF1">
        <w:rPr>
          <w:sz w:val="24"/>
          <w:szCs w:val="24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700"/>
        <w:gridCol w:w="1701"/>
        <w:gridCol w:w="850"/>
        <w:gridCol w:w="1117"/>
        <w:gridCol w:w="1224"/>
        <w:gridCol w:w="1479"/>
      </w:tblGrid>
      <w:tr w:rsidR="000D2ADC" w:rsidRPr="00DA23CD" w14:paraId="3F13811A" w14:textId="77777777" w:rsidTr="00210367">
        <w:tc>
          <w:tcPr>
            <w:tcW w:w="556" w:type="dxa"/>
            <w:shd w:val="clear" w:color="auto" w:fill="auto"/>
            <w:vAlign w:val="center"/>
          </w:tcPr>
          <w:p w14:paraId="6BA2F700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EAB9B4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Perduodamo turto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30E39" w14:textId="77777777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Inventorinis numeris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586C3" w14:textId="77777777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Kiekis vnt.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E2FA99A" w14:textId="77777777" w:rsidR="00EC777D" w:rsidRPr="009D130C" w:rsidRDefault="00EC777D" w:rsidP="00F53C6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Vieneto įsigijimo vertė (eurais)</w:t>
            </w:r>
          </w:p>
        </w:tc>
        <w:tc>
          <w:tcPr>
            <w:tcW w:w="1224" w:type="dxa"/>
          </w:tcPr>
          <w:p w14:paraId="38CE8CE4" w14:textId="548446C6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Vieneto likutinė vertė (eurais)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C51C31" w14:textId="77777777" w:rsidR="00210367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Bendra likutinė vertė 202</w:t>
            </w:r>
            <w:r w:rsidR="000D2ADC" w:rsidRPr="009D130C">
              <w:rPr>
                <w:color w:val="000000"/>
                <w:sz w:val="22"/>
                <w:szCs w:val="22"/>
                <w:lang w:eastAsia="lt-LT"/>
              </w:rPr>
              <w:t>4</w:t>
            </w: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m.</w:t>
            </w:r>
          </w:p>
          <w:p w14:paraId="258A4CB8" w14:textId="211B4F7C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0D2ADC" w:rsidRPr="009D130C">
              <w:rPr>
                <w:color w:val="000000"/>
                <w:sz w:val="22"/>
                <w:szCs w:val="22"/>
                <w:lang w:eastAsia="lt-LT"/>
              </w:rPr>
              <w:t>kovo 15</w:t>
            </w: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d. (eurais)</w:t>
            </w:r>
          </w:p>
        </w:tc>
      </w:tr>
      <w:tr w:rsidR="000D2ADC" w:rsidRPr="00DA23CD" w14:paraId="774BEB1A" w14:textId="77777777" w:rsidTr="00210367">
        <w:tc>
          <w:tcPr>
            <w:tcW w:w="556" w:type="dxa"/>
            <w:shd w:val="clear" w:color="auto" w:fill="auto"/>
            <w:vAlign w:val="center"/>
          </w:tcPr>
          <w:p w14:paraId="6A4C9EE8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941B30" w14:textId="77777777" w:rsidR="00210367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 xml:space="preserve">Stacionarusis </w:t>
            </w:r>
            <w:r w:rsidR="00EC777D" w:rsidRPr="009D130C">
              <w:rPr>
                <w:sz w:val="22"/>
                <w:szCs w:val="22"/>
              </w:rPr>
              <w:t xml:space="preserve">kompiuteris  </w:t>
            </w:r>
          </w:p>
          <w:p w14:paraId="187909AB" w14:textId="0AD41BA6" w:rsidR="00EC777D" w:rsidRPr="009D130C" w:rsidRDefault="00EC777D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 xml:space="preserve">HP </w:t>
            </w:r>
            <w:proofErr w:type="spellStart"/>
            <w:r w:rsidRPr="009D130C">
              <w:rPr>
                <w:sz w:val="22"/>
                <w:szCs w:val="22"/>
              </w:rPr>
              <w:t>ProOne</w:t>
            </w:r>
            <w:proofErr w:type="spellEnd"/>
            <w:r w:rsidRPr="009D130C">
              <w:rPr>
                <w:sz w:val="22"/>
                <w:szCs w:val="22"/>
              </w:rPr>
              <w:t xml:space="preserve"> 440</w:t>
            </w:r>
            <w:r w:rsidR="00210367" w:rsidRPr="009D130C">
              <w:rPr>
                <w:sz w:val="22"/>
                <w:szCs w:val="22"/>
              </w:rPr>
              <w:t xml:space="preserve"> </w:t>
            </w:r>
            <w:r w:rsidRPr="009D130C">
              <w:rPr>
                <w:sz w:val="22"/>
                <w:szCs w:val="22"/>
              </w:rPr>
              <w:t>G9</w:t>
            </w:r>
            <w:r w:rsidR="000D2ADC" w:rsidRPr="009D130C">
              <w:rPr>
                <w:sz w:val="22"/>
                <w:szCs w:val="22"/>
              </w:rPr>
              <w:t>AiO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F481F" w14:textId="613651C3" w:rsidR="00EC777D" w:rsidRPr="009D130C" w:rsidRDefault="00EC777D" w:rsidP="00EC777D">
            <w:pPr>
              <w:ind w:right="247"/>
              <w:jc w:val="center"/>
              <w:rPr>
                <w:color w:val="FF0000"/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IT-003</w:t>
            </w:r>
            <w:r w:rsidR="000D2ADC" w:rsidRPr="009D130C">
              <w:rPr>
                <w:sz w:val="22"/>
                <w:szCs w:val="22"/>
              </w:rPr>
              <w:t>981</w:t>
            </w:r>
            <w:r w:rsidRPr="009D130C">
              <w:rPr>
                <w:sz w:val="22"/>
                <w:szCs w:val="22"/>
              </w:rPr>
              <w:t>–IT-003</w:t>
            </w:r>
            <w:r w:rsidR="000D2ADC" w:rsidRPr="009D130C">
              <w:rPr>
                <w:sz w:val="22"/>
                <w:szCs w:val="22"/>
              </w:rPr>
              <w:t>982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EB749" w14:textId="1762674C" w:rsidR="00EC777D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AA4642" w14:textId="33023C59" w:rsidR="00EC777D" w:rsidRPr="009D130C" w:rsidRDefault="000D2ADC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885,72</w:t>
            </w:r>
          </w:p>
        </w:tc>
        <w:tc>
          <w:tcPr>
            <w:tcW w:w="1224" w:type="dxa"/>
            <w:vAlign w:val="center"/>
          </w:tcPr>
          <w:p w14:paraId="018E8F78" w14:textId="4E64EA25" w:rsidR="00EC777D" w:rsidRPr="009D130C" w:rsidRDefault="000D2ADC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885,72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562A8A" w14:textId="010AB16E" w:rsidR="00EC777D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1 771,44</w:t>
            </w:r>
          </w:p>
        </w:tc>
      </w:tr>
      <w:tr w:rsidR="000D2ADC" w:rsidRPr="00DA23CD" w14:paraId="78A627D0" w14:textId="77777777" w:rsidTr="00210367">
        <w:tc>
          <w:tcPr>
            <w:tcW w:w="556" w:type="dxa"/>
            <w:shd w:val="clear" w:color="auto" w:fill="auto"/>
            <w:vAlign w:val="center"/>
          </w:tcPr>
          <w:p w14:paraId="2FE6E824" w14:textId="4B03E52D" w:rsidR="000D2ADC" w:rsidRPr="009D130C" w:rsidRDefault="000D2ADC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210FCE" w14:textId="0173097C" w:rsidR="00210367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Nešiojamas</w:t>
            </w:r>
            <w:r w:rsidR="00210367" w:rsidRPr="009D130C">
              <w:rPr>
                <w:sz w:val="22"/>
                <w:szCs w:val="22"/>
              </w:rPr>
              <w:t xml:space="preserve"> </w:t>
            </w:r>
            <w:r w:rsidRPr="009D130C">
              <w:rPr>
                <w:sz w:val="22"/>
                <w:szCs w:val="22"/>
              </w:rPr>
              <w:t xml:space="preserve">kompiuteris </w:t>
            </w:r>
          </w:p>
          <w:p w14:paraId="4864881E" w14:textId="33D366F2" w:rsidR="000D2ADC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HP ELITEBOOK 645 G10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6B4F9" w14:textId="556402E9" w:rsidR="000D2ADC" w:rsidRPr="009D130C" w:rsidRDefault="000D2ADC" w:rsidP="00EC777D">
            <w:pPr>
              <w:ind w:right="247"/>
              <w:jc w:val="center"/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IT-003892–IT-003895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998A4" w14:textId="04D4DA8B" w:rsidR="000D2ADC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01796F" w14:textId="6434A9C8" w:rsidR="000D2ADC" w:rsidRPr="009D130C" w:rsidRDefault="000D2ADC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895,40</w:t>
            </w:r>
          </w:p>
        </w:tc>
        <w:tc>
          <w:tcPr>
            <w:tcW w:w="1224" w:type="dxa"/>
            <w:vAlign w:val="center"/>
          </w:tcPr>
          <w:p w14:paraId="719C7774" w14:textId="466471F3" w:rsidR="000D2ADC" w:rsidRPr="009D130C" w:rsidRDefault="000D2ADC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895,40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A9F9F12" w14:textId="58AA7B96" w:rsidR="000D2ADC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3 581,60</w:t>
            </w:r>
          </w:p>
        </w:tc>
      </w:tr>
      <w:tr w:rsidR="00210367" w:rsidRPr="00DA23CD" w14:paraId="7EB6DDC1" w14:textId="77777777" w:rsidTr="00210367">
        <w:tc>
          <w:tcPr>
            <w:tcW w:w="4957" w:type="dxa"/>
            <w:gridSpan w:val="3"/>
            <w:shd w:val="clear" w:color="auto" w:fill="auto"/>
            <w:vAlign w:val="center"/>
          </w:tcPr>
          <w:p w14:paraId="15F6460E" w14:textId="7128D9E9" w:rsidR="006B45E3" w:rsidRPr="009D130C" w:rsidRDefault="006B45E3" w:rsidP="00EC777D">
            <w:pPr>
              <w:ind w:right="247"/>
              <w:jc w:val="center"/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Iš viso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A36D1" w14:textId="06C613C5" w:rsidR="006B45E3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45BE73" w14:textId="01704FF5" w:rsidR="006B45E3" w:rsidRPr="009D130C" w:rsidRDefault="006B45E3" w:rsidP="006B45E3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24" w:type="dxa"/>
            <w:vAlign w:val="center"/>
          </w:tcPr>
          <w:p w14:paraId="6DA82967" w14:textId="4CB828CB" w:rsidR="006B45E3" w:rsidRPr="009D130C" w:rsidRDefault="006B45E3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493659" w14:textId="52629FEE" w:rsidR="006B45E3" w:rsidRPr="009D130C" w:rsidRDefault="00210367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5 353,04</w:t>
            </w:r>
          </w:p>
        </w:tc>
      </w:tr>
    </w:tbl>
    <w:p w14:paraId="6817C85E" w14:textId="77777777"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14:paraId="736EBC83" w14:textId="0CADC86A"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>savivaldybės savarankiškajai funkcijai</w:t>
      </w:r>
      <w:r w:rsidR="00397200">
        <w:rPr>
          <w:sz w:val="24"/>
          <w:szCs w:val="24"/>
        </w:rPr>
        <w:t xml:space="preserve"> </w:t>
      </w:r>
      <w:bookmarkStart w:id="2" w:name="_Hlk140063474"/>
      <w:r w:rsidR="00397200">
        <w:rPr>
          <w:sz w:val="24"/>
          <w:szCs w:val="24"/>
        </w:rPr>
        <w:t xml:space="preserve">įgyvendinti, plėtojant viešosios interneto prieigos paslaugų teikimą. </w:t>
      </w:r>
    </w:p>
    <w:bookmarkEnd w:id="2"/>
    <w:p w14:paraId="7A42E792" w14:textId="06E7A30F"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4. Įgalioti Panevėžio rajono savivaldybės administracijos Švietimo, kultūros ir sporto  skyriaus vedėją Algirdą Kęstutį Rimkų Panevėžio rajono savivaldybės vardu pasirašyti sprendimo     1 </w:t>
      </w:r>
      <w:r w:rsidR="006B45E3"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 w:rsidR="006B45E3"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 w:rsidR="000E487F"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73BAC126" w14:textId="77777777"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77777777"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73D857AE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4DA89490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575836F2" w14:textId="77777777" w:rsidR="005A3BBD" w:rsidRPr="00DA23CD" w:rsidRDefault="005A3BBD">
      <w:pPr>
        <w:jc w:val="center"/>
        <w:rPr>
          <w:sz w:val="24"/>
          <w:szCs w:val="24"/>
        </w:rPr>
      </w:pPr>
    </w:p>
    <w:p w14:paraId="6E40CB8F" w14:textId="77777777" w:rsidR="005A3BBD" w:rsidRPr="00DA23CD" w:rsidRDefault="005A3BBD">
      <w:pPr>
        <w:jc w:val="center"/>
        <w:rPr>
          <w:sz w:val="24"/>
          <w:szCs w:val="24"/>
        </w:rPr>
      </w:pPr>
    </w:p>
    <w:p w14:paraId="46CE317F" w14:textId="77777777" w:rsidR="005A3BBD" w:rsidRPr="00DA23CD" w:rsidRDefault="005A3BBD">
      <w:pPr>
        <w:jc w:val="center"/>
        <w:rPr>
          <w:sz w:val="24"/>
          <w:szCs w:val="24"/>
        </w:rPr>
      </w:pPr>
    </w:p>
    <w:p w14:paraId="6F4DBB69" w14:textId="77777777" w:rsidR="005A3BBD" w:rsidRPr="00DA23CD" w:rsidRDefault="005A3BBD">
      <w:pPr>
        <w:ind w:right="-15"/>
        <w:jc w:val="both"/>
        <w:rPr>
          <w:sz w:val="24"/>
          <w:szCs w:val="24"/>
        </w:rPr>
      </w:pPr>
    </w:p>
    <w:p w14:paraId="141BA907" w14:textId="77777777" w:rsidR="00837377" w:rsidRPr="00DA23CD" w:rsidRDefault="00837377">
      <w:pPr>
        <w:ind w:right="-15"/>
        <w:jc w:val="both"/>
        <w:rPr>
          <w:sz w:val="24"/>
          <w:szCs w:val="24"/>
        </w:rPr>
      </w:pPr>
    </w:p>
    <w:p w14:paraId="46EEF824" w14:textId="09ADE856" w:rsidR="000A08FD" w:rsidRDefault="009D130C" w:rsidP="000A08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14:paraId="553A8E23" w14:textId="14F0E004" w:rsidR="009D130C" w:rsidRPr="00DA23CD" w:rsidRDefault="009D130C" w:rsidP="000A08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2024-04-04</w:t>
      </w:r>
    </w:p>
    <w:p w14:paraId="4361030C" w14:textId="77777777" w:rsidR="00E66A06" w:rsidRPr="00DA23CD" w:rsidRDefault="00C51919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lastRenderedPageBreak/>
        <w:t>PANEVĖŽIO RAJONO SAVIVALDYBĖS ADMINISTRACIJOS</w:t>
      </w:r>
    </w:p>
    <w:p w14:paraId="7BBEAF8F" w14:textId="77777777" w:rsidR="005A3BBD" w:rsidRPr="00DA23CD" w:rsidRDefault="005A3BBD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EKONOMIKOS IR TURTO VALDYMO SKYRIUS</w:t>
      </w:r>
    </w:p>
    <w:p w14:paraId="5D61F6BC" w14:textId="77777777" w:rsidR="001D6A82" w:rsidRPr="00DA23CD" w:rsidRDefault="001D6A82">
      <w:pPr>
        <w:ind w:right="-1185"/>
        <w:jc w:val="center"/>
        <w:rPr>
          <w:b/>
          <w:sz w:val="24"/>
          <w:szCs w:val="24"/>
        </w:rPr>
      </w:pPr>
    </w:p>
    <w:p w14:paraId="124378D2" w14:textId="77777777" w:rsidR="005A3BBD" w:rsidRPr="00DA23CD" w:rsidRDefault="005A3BBD">
      <w:pPr>
        <w:ind w:right="-1185"/>
        <w:rPr>
          <w:sz w:val="24"/>
          <w:szCs w:val="24"/>
        </w:rPr>
      </w:pPr>
    </w:p>
    <w:p w14:paraId="417EC0B1" w14:textId="77777777" w:rsidR="005A3BBD" w:rsidRPr="00DA23CD" w:rsidRDefault="005A3BBD">
      <w:pPr>
        <w:ind w:right="-1185"/>
        <w:rPr>
          <w:sz w:val="24"/>
          <w:szCs w:val="24"/>
        </w:rPr>
      </w:pPr>
      <w:r w:rsidRPr="00DA23CD">
        <w:rPr>
          <w:sz w:val="24"/>
          <w:szCs w:val="24"/>
        </w:rPr>
        <w:t>Panevėžio rajono savivaldybės tarybai</w:t>
      </w:r>
    </w:p>
    <w:p w14:paraId="36B32D2E" w14:textId="77777777" w:rsidR="001D6A82" w:rsidRPr="00DA23CD" w:rsidRDefault="001D6A82">
      <w:pPr>
        <w:ind w:right="-1185"/>
        <w:rPr>
          <w:sz w:val="24"/>
          <w:szCs w:val="24"/>
        </w:rPr>
      </w:pPr>
    </w:p>
    <w:p w14:paraId="12D90040" w14:textId="77777777" w:rsidR="005A3BBD" w:rsidRPr="00DA23CD" w:rsidRDefault="005A3BBD">
      <w:pPr>
        <w:ind w:right="-1185"/>
        <w:rPr>
          <w:sz w:val="24"/>
          <w:szCs w:val="24"/>
        </w:rPr>
      </w:pPr>
    </w:p>
    <w:p w14:paraId="29EB561E" w14:textId="77777777" w:rsidR="005A3BBD" w:rsidRPr="00DA23CD" w:rsidRDefault="001D6A82" w:rsidP="008470F3">
      <w:pPr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 xml:space="preserve">SAVIVALDYBĖS TARYBOS </w:t>
      </w:r>
      <w:r w:rsidR="005A3BBD" w:rsidRPr="00DA23CD">
        <w:rPr>
          <w:b/>
          <w:sz w:val="24"/>
          <w:szCs w:val="24"/>
        </w:rPr>
        <w:t>SPRENDIMO „</w:t>
      </w:r>
      <w:r w:rsidR="008470F3"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  <w:r w:rsidR="005A3BBD" w:rsidRPr="00DA23CD">
        <w:rPr>
          <w:b/>
          <w:bCs/>
          <w:caps/>
          <w:color w:val="000000"/>
          <w:sz w:val="24"/>
          <w:szCs w:val="24"/>
        </w:rPr>
        <w:t>“</w:t>
      </w:r>
      <w:r w:rsidR="005A3BBD" w:rsidRPr="00DA23CD">
        <w:rPr>
          <w:b/>
          <w:bCs/>
          <w:sz w:val="24"/>
          <w:szCs w:val="24"/>
        </w:rPr>
        <w:t xml:space="preserve"> </w:t>
      </w:r>
      <w:r w:rsidR="005A3BBD" w:rsidRPr="00DA23CD">
        <w:rPr>
          <w:b/>
          <w:sz w:val="24"/>
          <w:szCs w:val="24"/>
        </w:rPr>
        <w:t>PROJEKTO</w:t>
      </w:r>
      <w:r w:rsidR="002C52F3" w:rsidRPr="00DA23CD">
        <w:rPr>
          <w:b/>
          <w:sz w:val="24"/>
          <w:szCs w:val="24"/>
        </w:rPr>
        <w:t xml:space="preserve"> AIŠKINAMASIS RAŠTAS</w:t>
      </w:r>
    </w:p>
    <w:p w14:paraId="44537F96" w14:textId="77777777" w:rsidR="005A3BBD" w:rsidRPr="00DA23CD" w:rsidRDefault="005A3BBD">
      <w:pPr>
        <w:rPr>
          <w:sz w:val="24"/>
          <w:szCs w:val="24"/>
        </w:rPr>
      </w:pPr>
    </w:p>
    <w:p w14:paraId="52526A4B" w14:textId="71496D9A" w:rsidR="005A3BBD" w:rsidRPr="00DA23CD" w:rsidRDefault="005A3BBD" w:rsidP="00146AC7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F659AC" w:rsidRPr="00DA23CD">
        <w:rPr>
          <w:sz w:val="24"/>
          <w:szCs w:val="24"/>
        </w:rPr>
        <w:t>2</w:t>
      </w:r>
      <w:r w:rsidR="009D130C">
        <w:rPr>
          <w:sz w:val="24"/>
          <w:szCs w:val="24"/>
        </w:rPr>
        <w:t>4</w:t>
      </w:r>
      <w:r w:rsidR="006473A0" w:rsidRPr="00DA23CD">
        <w:rPr>
          <w:sz w:val="24"/>
          <w:szCs w:val="24"/>
        </w:rPr>
        <w:t xml:space="preserve"> m. </w:t>
      </w:r>
      <w:r w:rsidR="009D130C">
        <w:rPr>
          <w:sz w:val="24"/>
          <w:szCs w:val="24"/>
        </w:rPr>
        <w:t>balandžio 4</w:t>
      </w:r>
      <w:r w:rsidR="00F27D00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</w:t>
      </w:r>
    </w:p>
    <w:p w14:paraId="3EC4A00E" w14:textId="77777777" w:rsidR="005A3BBD" w:rsidRPr="00DA23CD" w:rsidRDefault="005A3BBD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183D06A4" w14:textId="77777777" w:rsidR="00C51919" w:rsidRPr="00DA23CD" w:rsidRDefault="00C51919" w:rsidP="00F83733">
      <w:pPr>
        <w:rPr>
          <w:sz w:val="24"/>
          <w:szCs w:val="24"/>
        </w:rPr>
      </w:pPr>
    </w:p>
    <w:p w14:paraId="783474FA" w14:textId="77777777" w:rsidR="00CD2930" w:rsidRPr="00DA23CD" w:rsidRDefault="002C52F3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1</w:t>
      </w:r>
      <w:r w:rsidR="00CD2930" w:rsidRPr="00DA23CD">
        <w:rPr>
          <w:b/>
          <w:sz w:val="24"/>
          <w:szCs w:val="24"/>
        </w:rPr>
        <w:t>. Sprendimo projekto tikslai ir uždaviniai</w:t>
      </w:r>
    </w:p>
    <w:p w14:paraId="0F788BE4" w14:textId="6A35243E" w:rsidR="00CD2930" w:rsidRPr="00DA23CD" w:rsidRDefault="00CD2930" w:rsidP="00437D26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DA23CD">
        <w:rPr>
          <w:sz w:val="24"/>
          <w:szCs w:val="24"/>
        </w:rPr>
        <w:t xml:space="preserve">Parengtas sprendimo projektas </w:t>
      </w:r>
      <w:r w:rsidR="00C51919" w:rsidRPr="00DA23CD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437D26">
        <w:rPr>
          <w:sz w:val="24"/>
          <w:szCs w:val="24"/>
        </w:rPr>
        <w:t>Lietuvos nacionalinės Martyno Mažvydo bibliotekos</w:t>
      </w:r>
      <w:r w:rsidR="00437D26" w:rsidRPr="00DA23CD">
        <w:rPr>
          <w:sz w:val="24"/>
          <w:szCs w:val="24"/>
        </w:rPr>
        <w:t xml:space="preserve"> patikėjimo teise valdomą turtą</w:t>
      </w:r>
      <w:r w:rsidR="00437D26">
        <w:rPr>
          <w:sz w:val="24"/>
          <w:szCs w:val="24"/>
        </w:rPr>
        <w:t xml:space="preserve"> </w:t>
      </w:r>
      <w:r w:rsidR="00CB53FB" w:rsidRPr="00DA23CD">
        <w:rPr>
          <w:sz w:val="24"/>
          <w:szCs w:val="24"/>
        </w:rPr>
        <w:t>ir</w:t>
      </w:r>
      <w:r w:rsidR="00437D26">
        <w:rPr>
          <w:sz w:val="24"/>
          <w:szCs w:val="24"/>
        </w:rPr>
        <w:t xml:space="preserve"> </w:t>
      </w:r>
      <w:r w:rsidR="00CB53FB" w:rsidRPr="00DA23CD">
        <w:rPr>
          <w:sz w:val="24"/>
          <w:szCs w:val="24"/>
        </w:rPr>
        <w:t>perimtą turtą perduoti Panevėžio rajono savivaldybės viešajai bibliotekai valdyti, naudoti ir disponuoti juo patikėjimo teise.</w:t>
      </w:r>
    </w:p>
    <w:p w14:paraId="1E9B610D" w14:textId="77777777" w:rsidR="00CD2930" w:rsidRPr="00DA23CD" w:rsidRDefault="00CD2930" w:rsidP="00F83733">
      <w:pPr>
        <w:jc w:val="both"/>
        <w:rPr>
          <w:b/>
          <w:bCs/>
          <w:sz w:val="24"/>
          <w:szCs w:val="24"/>
        </w:rPr>
      </w:pPr>
      <w:r w:rsidRPr="00DA23CD">
        <w:rPr>
          <w:color w:val="000000"/>
          <w:spacing w:val="7"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>2.</w:t>
      </w:r>
      <w:r w:rsidRPr="00DA23CD">
        <w:rPr>
          <w:b/>
          <w:sz w:val="24"/>
          <w:szCs w:val="24"/>
        </w:rPr>
        <w:t xml:space="preserve"> Siūlomos teisinio reguliavimo nuostatos</w:t>
      </w:r>
      <w:r w:rsidR="003E2BCB" w:rsidRPr="00DA23CD">
        <w:rPr>
          <w:b/>
          <w:sz w:val="24"/>
          <w:szCs w:val="24"/>
        </w:rPr>
        <w:t xml:space="preserve"> ir laukiami rezultatai</w:t>
      </w:r>
      <w:r w:rsidRPr="00DA23CD">
        <w:rPr>
          <w:b/>
          <w:bCs/>
          <w:sz w:val="24"/>
          <w:szCs w:val="24"/>
        </w:rPr>
        <w:t xml:space="preserve"> </w:t>
      </w:r>
    </w:p>
    <w:p w14:paraId="6E7FA815" w14:textId="3E5E9BC9" w:rsidR="00F56CD6" w:rsidRDefault="00C51919" w:rsidP="00F56CD6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DA23CD">
        <w:rPr>
          <w:sz w:val="24"/>
          <w:szCs w:val="24"/>
        </w:rPr>
        <w:t>s</w:t>
      </w:r>
      <w:r w:rsidRPr="00DA23CD">
        <w:rPr>
          <w:sz w:val="24"/>
          <w:szCs w:val="24"/>
        </w:rPr>
        <w:t xml:space="preserve">avivaldybė turtą įgyja </w:t>
      </w:r>
      <w:r w:rsidR="002C52F3" w:rsidRPr="00DA23CD">
        <w:rPr>
          <w:color w:val="000000"/>
          <w:sz w:val="24"/>
          <w:szCs w:val="24"/>
        </w:rPr>
        <w:t>S</w:t>
      </w:r>
      <w:r w:rsidRPr="00DA23CD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437D26">
        <w:rPr>
          <w:sz w:val="24"/>
          <w:szCs w:val="24"/>
        </w:rPr>
        <w:t>įgyvendinti,</w:t>
      </w:r>
      <w:r w:rsidR="000E487F">
        <w:rPr>
          <w:sz w:val="24"/>
          <w:szCs w:val="24"/>
        </w:rPr>
        <w:t xml:space="preserve"> </w:t>
      </w:r>
      <w:r w:rsidR="001F3255">
        <w:rPr>
          <w:sz w:val="24"/>
          <w:szCs w:val="24"/>
        </w:rPr>
        <w:t xml:space="preserve">naudojant perimtą turtą </w:t>
      </w:r>
      <w:r w:rsidR="00437D26">
        <w:rPr>
          <w:sz w:val="24"/>
          <w:szCs w:val="24"/>
        </w:rPr>
        <w:t xml:space="preserve">viešosios interneto prieigos paslaugų teikimą. </w:t>
      </w:r>
    </w:p>
    <w:p w14:paraId="3EA613A6" w14:textId="32602058" w:rsidR="00C51919" w:rsidRPr="00DA23CD" w:rsidRDefault="00C51919" w:rsidP="00F56CD6">
      <w:pPr>
        <w:ind w:firstLine="720"/>
        <w:jc w:val="both"/>
        <w:rPr>
          <w:sz w:val="24"/>
          <w:szCs w:val="24"/>
        </w:rPr>
      </w:pPr>
      <w:r w:rsidRPr="00DA23CD">
        <w:rPr>
          <w:color w:val="000000"/>
          <w:sz w:val="24"/>
          <w:szCs w:val="24"/>
        </w:rPr>
        <w:t xml:space="preserve">Valstybės turtas </w:t>
      </w:r>
      <w:r w:rsidRPr="00DA23CD">
        <w:rPr>
          <w:sz w:val="24"/>
          <w:szCs w:val="24"/>
        </w:rPr>
        <w:t>savivaldybės nuosavybėn bus perduodamas Savivaldybės taryb</w:t>
      </w:r>
      <w:r w:rsidR="001D6A82" w:rsidRPr="00DA23CD">
        <w:rPr>
          <w:sz w:val="24"/>
          <w:szCs w:val="24"/>
        </w:rPr>
        <w:t>ai</w:t>
      </w:r>
      <w:r w:rsidRPr="00DA23CD">
        <w:rPr>
          <w:sz w:val="24"/>
          <w:szCs w:val="24"/>
        </w:rPr>
        <w:t xml:space="preserve"> </w:t>
      </w:r>
      <w:r w:rsidR="001D6A82" w:rsidRPr="00DA23CD">
        <w:rPr>
          <w:sz w:val="24"/>
          <w:szCs w:val="24"/>
        </w:rPr>
        <w:t xml:space="preserve">priėmus </w:t>
      </w:r>
      <w:r w:rsidRPr="00DA23CD">
        <w:rPr>
          <w:sz w:val="24"/>
          <w:szCs w:val="24"/>
        </w:rPr>
        <w:t>sprendim</w:t>
      </w:r>
      <w:r w:rsidR="001D6A82" w:rsidRPr="00DA23CD">
        <w:rPr>
          <w:sz w:val="24"/>
          <w:szCs w:val="24"/>
        </w:rPr>
        <w:t>ą</w:t>
      </w:r>
      <w:r w:rsidRPr="00DA23CD">
        <w:rPr>
          <w:sz w:val="24"/>
          <w:szCs w:val="24"/>
        </w:rPr>
        <w:t xml:space="preserve">. </w:t>
      </w:r>
    </w:p>
    <w:p w14:paraId="0192A1CE" w14:textId="3E22F303" w:rsidR="00B018EE" w:rsidRDefault="00CD2930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ab/>
      </w:r>
      <w:r w:rsidR="00F56CD6">
        <w:rPr>
          <w:sz w:val="24"/>
          <w:szCs w:val="24"/>
        </w:rPr>
        <w:t>Lietuvos nacionalinė Martyno Mažvydo biblioteka</w:t>
      </w:r>
      <w:r w:rsidR="00F32621" w:rsidRPr="00DA23CD">
        <w:rPr>
          <w:sz w:val="24"/>
          <w:szCs w:val="24"/>
        </w:rPr>
        <w:t xml:space="preserve"> įgyvendina </w:t>
      </w:r>
      <w:r w:rsidR="00F56CD6">
        <w:rPr>
          <w:sz w:val="24"/>
          <w:szCs w:val="24"/>
        </w:rPr>
        <w:t>Lietuvos Respublikos kultūros ministerijos investicijų projektą „Bibliotekų kompiuterizavimas“,</w:t>
      </w:r>
      <w:r w:rsidR="006B45E3">
        <w:rPr>
          <w:sz w:val="24"/>
          <w:szCs w:val="24"/>
        </w:rPr>
        <w:t xml:space="preserve"> </w:t>
      </w:r>
      <w:r w:rsidR="00183417" w:rsidRPr="00DA23CD">
        <w:rPr>
          <w:sz w:val="24"/>
          <w:szCs w:val="24"/>
        </w:rPr>
        <w:t>kuri</w:t>
      </w:r>
      <w:r w:rsidR="00F56CD6">
        <w:rPr>
          <w:sz w:val="24"/>
          <w:szCs w:val="24"/>
        </w:rPr>
        <w:t>o tikslas – plėtoti ir</w:t>
      </w:r>
      <w:r w:rsidR="000E487F">
        <w:rPr>
          <w:sz w:val="24"/>
          <w:szCs w:val="24"/>
        </w:rPr>
        <w:t xml:space="preserve"> atnaujinti viešos prieigos kompiuterių infrastruktūrą viešosiose bibliotekose, sudarant sąlygas joms dalyvaut</w:t>
      </w:r>
      <w:r w:rsidR="001F3255">
        <w:rPr>
          <w:sz w:val="24"/>
          <w:szCs w:val="24"/>
        </w:rPr>
        <w:t>i</w:t>
      </w:r>
      <w:r w:rsidR="000E487F">
        <w:rPr>
          <w:sz w:val="24"/>
          <w:szCs w:val="24"/>
        </w:rPr>
        <w:t xml:space="preserve"> gyventojų skaitmeninių kompetencijų ugdymo ir vietos skaitmeninio turinio kūrimo bei kitose skaitmeninės informacijos iniciatyvose, teikti geros kokybės paslaugas bibliotekų vartotojams, bei siekdama atnaujinti vieš</w:t>
      </w:r>
      <w:r w:rsidR="009D130C">
        <w:rPr>
          <w:sz w:val="24"/>
          <w:szCs w:val="24"/>
        </w:rPr>
        <w:t>ai</w:t>
      </w:r>
      <w:r w:rsidR="000E487F">
        <w:rPr>
          <w:sz w:val="24"/>
          <w:szCs w:val="24"/>
        </w:rPr>
        <w:t xml:space="preserve"> prieig</w:t>
      </w:r>
      <w:r w:rsidR="009D130C">
        <w:rPr>
          <w:sz w:val="24"/>
          <w:szCs w:val="24"/>
        </w:rPr>
        <w:t>ai, vartotojų mokymams ir el. paslaugų teikimui skirtus</w:t>
      </w:r>
      <w:r w:rsidR="000E487F">
        <w:rPr>
          <w:sz w:val="24"/>
          <w:szCs w:val="24"/>
        </w:rPr>
        <w:t xml:space="preserve"> kompiuterius, </w:t>
      </w:r>
      <w:r w:rsidR="009D130C">
        <w:rPr>
          <w:sz w:val="24"/>
          <w:szCs w:val="24"/>
        </w:rPr>
        <w:t>2023 metais įgijo kompiuterinę įrangą iš projektui „Bibliotekų kompiuterizavimas</w:t>
      </w:r>
      <w:r w:rsidR="00B018EE">
        <w:rPr>
          <w:sz w:val="24"/>
          <w:szCs w:val="24"/>
        </w:rPr>
        <w:t xml:space="preserve">“ </w:t>
      </w:r>
      <w:r w:rsidR="00AB29C8">
        <w:rPr>
          <w:sz w:val="24"/>
          <w:szCs w:val="24"/>
        </w:rPr>
        <w:t>skirtų Valstybės biudžeto lėšų</w:t>
      </w:r>
      <w:r w:rsidR="00183417" w:rsidRPr="00DA23CD">
        <w:rPr>
          <w:sz w:val="24"/>
          <w:szCs w:val="24"/>
        </w:rPr>
        <w:t xml:space="preserve">. </w:t>
      </w:r>
    </w:p>
    <w:p w14:paraId="044CA844" w14:textId="5BDE7DF2" w:rsidR="001C678E" w:rsidRPr="00DA23CD" w:rsidRDefault="00183417" w:rsidP="00B018EE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Perėmus savivaldybės nuosavybėn turtą, jis bus perduotas Panevėžio rajono savivaldybės viešajai bibliotekai </w:t>
      </w:r>
      <w:r w:rsidR="001C678E" w:rsidRPr="00DA23CD">
        <w:rPr>
          <w:sz w:val="24"/>
          <w:szCs w:val="24"/>
        </w:rPr>
        <w:t>a</w:t>
      </w:r>
      <w:r w:rsidR="00DA23CD">
        <w:rPr>
          <w:sz w:val="24"/>
          <w:szCs w:val="24"/>
        </w:rPr>
        <w:t>nks</w:t>
      </w:r>
      <w:r w:rsidR="001C678E" w:rsidRPr="00DA23CD">
        <w:rPr>
          <w:sz w:val="24"/>
          <w:szCs w:val="24"/>
        </w:rPr>
        <w:t>čiau minėtoms veikloms vykdyti.</w:t>
      </w:r>
    </w:p>
    <w:p w14:paraId="0BDFEDD5" w14:textId="77777777" w:rsidR="00CD2930" w:rsidRDefault="003E2BCB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bCs/>
          <w:color w:val="000000"/>
          <w:spacing w:val="-3"/>
          <w:sz w:val="24"/>
          <w:szCs w:val="24"/>
        </w:rPr>
        <w:t>3</w:t>
      </w:r>
      <w:r w:rsidR="00CD2930" w:rsidRPr="00DA23CD">
        <w:rPr>
          <w:b/>
          <w:bCs/>
          <w:color w:val="000000"/>
          <w:spacing w:val="-3"/>
          <w:sz w:val="24"/>
          <w:szCs w:val="24"/>
        </w:rPr>
        <w:t>.</w:t>
      </w:r>
      <w:r w:rsidR="00CD2930" w:rsidRPr="00DA23CD">
        <w:rPr>
          <w:color w:val="000000"/>
          <w:spacing w:val="-3"/>
          <w:sz w:val="24"/>
          <w:szCs w:val="24"/>
        </w:rPr>
        <w:t xml:space="preserve"> </w:t>
      </w:r>
      <w:r w:rsidR="00CD2930" w:rsidRPr="00DA23CD">
        <w:rPr>
          <w:b/>
          <w:sz w:val="24"/>
          <w:szCs w:val="24"/>
        </w:rPr>
        <w:t>Lėšų poreikis ir šaltiniai</w:t>
      </w:r>
    </w:p>
    <w:p w14:paraId="25E48AD4" w14:textId="58E7FA6A" w:rsidR="001F3255" w:rsidRPr="001F3255" w:rsidRDefault="001F3255" w:rsidP="00F83733">
      <w:pPr>
        <w:ind w:firstLine="720"/>
        <w:jc w:val="both"/>
        <w:rPr>
          <w:bCs/>
          <w:sz w:val="24"/>
          <w:szCs w:val="24"/>
        </w:rPr>
      </w:pPr>
      <w:r w:rsidRPr="001F3255">
        <w:rPr>
          <w:bCs/>
          <w:sz w:val="24"/>
          <w:szCs w:val="24"/>
        </w:rPr>
        <w:t>Nėra.</w:t>
      </w:r>
    </w:p>
    <w:p w14:paraId="10620C97" w14:textId="77777777" w:rsidR="00CD2930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b/>
          <w:color w:val="000000"/>
          <w:sz w:val="24"/>
          <w:szCs w:val="24"/>
        </w:rPr>
        <w:tab/>
      </w:r>
      <w:r w:rsidR="003E2BCB" w:rsidRPr="00DA23CD">
        <w:rPr>
          <w:b/>
          <w:color w:val="000000"/>
          <w:sz w:val="24"/>
          <w:szCs w:val="24"/>
        </w:rPr>
        <w:t>4</w:t>
      </w:r>
      <w:r w:rsidRPr="00DA23CD">
        <w:rPr>
          <w:b/>
          <w:bCs/>
          <w:sz w:val="24"/>
          <w:szCs w:val="24"/>
        </w:rPr>
        <w:t>. Kiti reikalingi pagrindimai, skaičiavimai</w:t>
      </w:r>
      <w:r w:rsidR="003E2BCB" w:rsidRPr="00DA23CD">
        <w:rPr>
          <w:b/>
          <w:bCs/>
          <w:sz w:val="24"/>
          <w:szCs w:val="24"/>
        </w:rPr>
        <w:t xml:space="preserve"> ar </w:t>
      </w:r>
      <w:r w:rsidRPr="00DA23CD">
        <w:rPr>
          <w:b/>
          <w:bCs/>
          <w:sz w:val="24"/>
          <w:szCs w:val="24"/>
        </w:rPr>
        <w:t>paaiškinimai</w:t>
      </w:r>
    </w:p>
    <w:p w14:paraId="1C89ACF6" w14:textId="77777777" w:rsidR="00CD2930" w:rsidRPr="00DA23CD" w:rsidRDefault="00CD2930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Nėra.</w:t>
      </w:r>
    </w:p>
    <w:p w14:paraId="68BD245E" w14:textId="77777777" w:rsidR="005A3BBD" w:rsidRPr="00DA23CD" w:rsidRDefault="005A3BBD" w:rsidP="00F83733">
      <w:pPr>
        <w:jc w:val="both"/>
        <w:rPr>
          <w:sz w:val="24"/>
          <w:szCs w:val="24"/>
        </w:rPr>
      </w:pPr>
    </w:p>
    <w:p w14:paraId="3B292388" w14:textId="77777777" w:rsidR="00E20E1B" w:rsidRPr="00DA23CD" w:rsidRDefault="005A3BBD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>Vyr. specialistė</w:t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  <w:t>Jadvyga Balčienė</w:t>
      </w:r>
    </w:p>
    <w:sectPr w:rsidR="00E20E1B" w:rsidRPr="00DA23CD" w:rsidSect="00643B53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A5316" w14:textId="77777777" w:rsidR="00643B53" w:rsidRDefault="00643B53">
      <w:r>
        <w:separator/>
      </w:r>
    </w:p>
  </w:endnote>
  <w:endnote w:type="continuationSeparator" w:id="0">
    <w:p w14:paraId="050A4440" w14:textId="77777777" w:rsidR="00643B53" w:rsidRDefault="0064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7B2D3" w14:textId="77777777" w:rsidR="00643B53" w:rsidRDefault="00643B53">
      <w:r>
        <w:separator/>
      </w:r>
    </w:p>
  </w:footnote>
  <w:footnote w:type="continuationSeparator" w:id="0">
    <w:p w14:paraId="5CE48DD9" w14:textId="77777777" w:rsidR="00643B53" w:rsidRDefault="0064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D2ADC"/>
    <w:rsid w:val="000E487F"/>
    <w:rsid w:val="000F2C4F"/>
    <w:rsid w:val="000F536F"/>
    <w:rsid w:val="00146AC7"/>
    <w:rsid w:val="00172E97"/>
    <w:rsid w:val="00183417"/>
    <w:rsid w:val="001C678E"/>
    <w:rsid w:val="001D6A82"/>
    <w:rsid w:val="001F3255"/>
    <w:rsid w:val="00210367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97200"/>
    <w:rsid w:val="003D4CEE"/>
    <w:rsid w:val="003E2BCB"/>
    <w:rsid w:val="003E6E6B"/>
    <w:rsid w:val="00406F1C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4CF1"/>
    <w:rsid w:val="00575D94"/>
    <w:rsid w:val="00592B18"/>
    <w:rsid w:val="005A3BBD"/>
    <w:rsid w:val="005A62E1"/>
    <w:rsid w:val="005D3CB3"/>
    <w:rsid w:val="005D6DBF"/>
    <w:rsid w:val="005E2AAA"/>
    <w:rsid w:val="005E3BBF"/>
    <w:rsid w:val="00606221"/>
    <w:rsid w:val="00613409"/>
    <w:rsid w:val="00625882"/>
    <w:rsid w:val="00637ECA"/>
    <w:rsid w:val="00643B53"/>
    <w:rsid w:val="006473A0"/>
    <w:rsid w:val="00662E12"/>
    <w:rsid w:val="006B45E3"/>
    <w:rsid w:val="006F57A5"/>
    <w:rsid w:val="0074089C"/>
    <w:rsid w:val="0074275C"/>
    <w:rsid w:val="00766132"/>
    <w:rsid w:val="00785A6D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130C"/>
    <w:rsid w:val="009D5E43"/>
    <w:rsid w:val="009E3E1B"/>
    <w:rsid w:val="009E552E"/>
    <w:rsid w:val="00A417E5"/>
    <w:rsid w:val="00A71C76"/>
    <w:rsid w:val="00A77792"/>
    <w:rsid w:val="00AB29C8"/>
    <w:rsid w:val="00AE73A6"/>
    <w:rsid w:val="00AF68C8"/>
    <w:rsid w:val="00B018EE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2D81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D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2024-04-05T04:53:00Z</cp:lastPrinted>
  <dcterms:created xsi:type="dcterms:W3CDTF">2024-04-04T06:43:00Z</dcterms:created>
  <dcterms:modified xsi:type="dcterms:W3CDTF">2024-04-05T04:53:00Z</dcterms:modified>
</cp:coreProperties>
</file>