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DC2FD7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9E40D4" w:rsidRDefault="00381CA8">
      <w:pPr>
        <w:pStyle w:val="Antrats"/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9E40D4" w:rsidRPr="009E40D4">
        <w:rPr>
          <w:b/>
          <w:sz w:val="24"/>
          <w:szCs w:val="24"/>
        </w:rPr>
        <w:t>Projektas</w:t>
      </w:r>
      <w:r w:rsidRPr="009E40D4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2014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1213A1">
        <w:rPr>
          <w:sz w:val="24"/>
        </w:rPr>
        <w:t>birželio 19</w:t>
      </w:r>
      <w:r>
        <w:rPr>
          <w:sz w:val="24"/>
        </w:rPr>
        <w:t xml:space="preserve"> d. Nr. T- 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B31AA7">
        <w:rPr>
          <w:sz w:val="24"/>
          <w:szCs w:val="24"/>
        </w:rPr>
        <w:br/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401D29" w:rsidRPr="005A17F7" w:rsidRDefault="00E67570" w:rsidP="005A17F7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A17F7">
        <w:rPr>
          <w:sz w:val="24"/>
          <w:szCs w:val="24"/>
        </w:rPr>
        <w:t>Padidinti</w:t>
      </w:r>
      <w:r w:rsidR="00513699" w:rsidRPr="005A17F7">
        <w:rPr>
          <w:sz w:val="24"/>
          <w:szCs w:val="24"/>
        </w:rPr>
        <w:t xml:space="preserve"> </w:t>
      </w:r>
      <w:r w:rsidR="00310E21" w:rsidRPr="005A17F7">
        <w:rPr>
          <w:sz w:val="24"/>
          <w:szCs w:val="24"/>
        </w:rPr>
        <w:t>552,1</w:t>
      </w:r>
      <w:r w:rsidR="001158CD" w:rsidRPr="005A17F7">
        <w:rPr>
          <w:sz w:val="24"/>
          <w:szCs w:val="24"/>
        </w:rPr>
        <w:t xml:space="preserve"> tūkst. Lt </w:t>
      </w:r>
      <w:r w:rsidRPr="005A17F7">
        <w:rPr>
          <w:sz w:val="24"/>
          <w:szCs w:val="24"/>
        </w:rPr>
        <w:t>savivaldybės biudžeto pajamas</w:t>
      </w:r>
      <w:r w:rsidR="001158CD" w:rsidRPr="005A17F7">
        <w:rPr>
          <w:sz w:val="24"/>
          <w:szCs w:val="24"/>
        </w:rPr>
        <w:t>, iš jų</w:t>
      </w:r>
      <w:r w:rsidRPr="005A17F7">
        <w:rPr>
          <w:sz w:val="24"/>
          <w:szCs w:val="24"/>
        </w:rPr>
        <w:t>:</w:t>
      </w:r>
      <w:r w:rsidR="00215403" w:rsidRPr="005A17F7">
        <w:rPr>
          <w:sz w:val="24"/>
          <w:szCs w:val="24"/>
        </w:rPr>
        <w:t xml:space="preserve"> 232,0 tūkst. Lt lėšomis gautomis kultūros ir meno darbuotojų darbo užmokesčiui padidinti</w:t>
      </w:r>
      <w:r w:rsidR="006D7187" w:rsidRPr="005A17F7">
        <w:rPr>
          <w:sz w:val="24"/>
          <w:szCs w:val="24"/>
        </w:rPr>
        <w:t xml:space="preserve"> </w:t>
      </w:r>
      <w:r w:rsidR="00215403" w:rsidRPr="005A17F7">
        <w:rPr>
          <w:sz w:val="24"/>
          <w:szCs w:val="24"/>
        </w:rPr>
        <w:t xml:space="preserve">ir skirti </w:t>
      </w:r>
      <w:r w:rsidR="005A17F7">
        <w:rPr>
          <w:sz w:val="24"/>
          <w:szCs w:val="24"/>
        </w:rPr>
        <w:t xml:space="preserve">kultūros įstaigoms               </w:t>
      </w:r>
      <w:r w:rsidR="00215403" w:rsidRPr="005A17F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(</w:t>
      </w:r>
      <w:r w:rsidR="00215403" w:rsidRPr="005A17F7">
        <w:rPr>
          <w:sz w:val="24"/>
          <w:szCs w:val="24"/>
        </w:rPr>
        <w:t>1 pried</w:t>
      </w:r>
      <w:r w:rsidR="005A17F7">
        <w:rPr>
          <w:sz w:val="24"/>
          <w:szCs w:val="24"/>
        </w:rPr>
        <w:t>as)</w:t>
      </w:r>
      <w:r w:rsidR="00215403" w:rsidRPr="005A17F7">
        <w:rPr>
          <w:sz w:val="24"/>
          <w:szCs w:val="24"/>
        </w:rPr>
        <w:t>,</w:t>
      </w:r>
      <w:r w:rsidR="00094893" w:rsidRPr="005A17F7">
        <w:rPr>
          <w:sz w:val="24"/>
          <w:szCs w:val="24"/>
        </w:rPr>
        <w:t xml:space="preserve"> </w:t>
      </w:r>
      <w:r w:rsidR="001158CD" w:rsidRPr="005A17F7">
        <w:rPr>
          <w:sz w:val="24"/>
          <w:szCs w:val="24"/>
        </w:rPr>
        <w:t>1</w:t>
      </w:r>
      <w:r w:rsidR="00310E21" w:rsidRPr="005A17F7">
        <w:rPr>
          <w:sz w:val="24"/>
          <w:szCs w:val="24"/>
        </w:rPr>
        <w:t>35,3</w:t>
      </w:r>
      <w:r w:rsidR="001158CD" w:rsidRPr="005A17F7">
        <w:rPr>
          <w:sz w:val="24"/>
          <w:szCs w:val="24"/>
        </w:rPr>
        <w:t xml:space="preserve"> tūkst. Lt nekilnojamojo turto mokestį, 184,</w:t>
      </w:r>
      <w:r w:rsidR="00310E21" w:rsidRPr="005A17F7">
        <w:rPr>
          <w:sz w:val="24"/>
          <w:szCs w:val="24"/>
        </w:rPr>
        <w:t>8</w:t>
      </w:r>
      <w:r w:rsidR="001158CD" w:rsidRPr="005A17F7">
        <w:rPr>
          <w:sz w:val="24"/>
          <w:szCs w:val="24"/>
        </w:rPr>
        <w:t xml:space="preserve"> tūkst. Lt dividendus ir skirti papildo</w:t>
      </w:r>
      <w:r w:rsidR="006D7187" w:rsidRPr="005A17F7">
        <w:rPr>
          <w:sz w:val="24"/>
          <w:szCs w:val="24"/>
        </w:rPr>
        <w:t xml:space="preserve">miems </w:t>
      </w:r>
      <w:proofErr w:type="spellStart"/>
      <w:r w:rsidR="006D7187" w:rsidRPr="005A17F7">
        <w:rPr>
          <w:sz w:val="24"/>
          <w:szCs w:val="24"/>
        </w:rPr>
        <w:t>asignavimams</w:t>
      </w:r>
      <w:proofErr w:type="spellEnd"/>
      <w:r w:rsidR="006D7187" w:rsidRPr="005A17F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 xml:space="preserve"> (</w:t>
      </w:r>
      <w:r w:rsidR="00D32435" w:rsidRPr="005A17F7">
        <w:rPr>
          <w:sz w:val="24"/>
          <w:szCs w:val="24"/>
        </w:rPr>
        <w:t>2 pried</w:t>
      </w:r>
      <w:r w:rsidR="005A17F7">
        <w:rPr>
          <w:sz w:val="24"/>
          <w:szCs w:val="24"/>
        </w:rPr>
        <w:t>as)</w:t>
      </w:r>
      <w:r w:rsidR="006D7187" w:rsidRPr="005A17F7">
        <w:rPr>
          <w:sz w:val="24"/>
          <w:szCs w:val="24"/>
        </w:rPr>
        <w:t>.</w:t>
      </w:r>
    </w:p>
    <w:p w:rsidR="005A17F7" w:rsidRPr="005A17F7" w:rsidRDefault="00DC2FD7" w:rsidP="005A17F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</w:rPr>
        <w:t xml:space="preserve">            </w:t>
      </w:r>
      <w:r w:rsidR="005A17F7">
        <w:rPr>
          <w:sz w:val="24"/>
        </w:rPr>
        <w:t>2. Patikslinti skolintų lėšų investiciniams projektams, vykdomiems kompensavimo būdu, paskirstymą (3</w:t>
      </w:r>
      <w:r w:rsidR="005A17F7">
        <w:rPr>
          <w:sz w:val="24"/>
          <w:szCs w:val="24"/>
        </w:rPr>
        <w:t xml:space="preserve"> priedas).</w:t>
      </w:r>
    </w:p>
    <w:p w:rsidR="00F71C86" w:rsidRDefault="002F5844" w:rsidP="001F46C1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17F7">
        <w:rPr>
          <w:sz w:val="24"/>
          <w:szCs w:val="24"/>
        </w:rPr>
        <w:t>3</w:t>
      </w:r>
      <w:r w:rsidR="001F46C1">
        <w:rPr>
          <w:sz w:val="24"/>
          <w:szCs w:val="24"/>
        </w:rPr>
        <w:t>. Sumažinti</w:t>
      </w:r>
      <w:r w:rsidR="00F71C86">
        <w:rPr>
          <w:sz w:val="24"/>
          <w:szCs w:val="24"/>
        </w:rPr>
        <w:t>:</w:t>
      </w:r>
    </w:p>
    <w:p w:rsidR="00854AF0" w:rsidRDefault="00F71C86" w:rsidP="001F46C1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060BAC">
        <w:rPr>
          <w:sz w:val="24"/>
          <w:szCs w:val="24"/>
        </w:rPr>
        <w:t xml:space="preserve">20,0 tūkst. Lt biudžeto pajamas specialią tikslinę dotaciją socialinei paramai mokiniams ir atitinkamai sumažinti </w:t>
      </w:r>
      <w:proofErr w:type="spellStart"/>
      <w:r w:rsidR="00060BAC">
        <w:rPr>
          <w:sz w:val="24"/>
          <w:szCs w:val="24"/>
        </w:rPr>
        <w:t>asignavimus</w:t>
      </w:r>
      <w:proofErr w:type="spellEnd"/>
      <w:r w:rsidR="00060BAC">
        <w:rPr>
          <w:sz w:val="24"/>
          <w:szCs w:val="24"/>
        </w:rPr>
        <w:t xml:space="preserve"> skirtus maisto produktams įsigyti: 10,0 tūkst. Lt Ramygalos gimnazijai, 10,0 tūkst. Lt Paįstrio Juozo Zikaro vidurinei mokyklai.</w:t>
      </w:r>
      <w:r w:rsidR="00060BAC">
        <w:rPr>
          <w:sz w:val="24"/>
          <w:szCs w:val="24"/>
        </w:rPr>
        <w:tab/>
      </w:r>
    </w:p>
    <w:p w:rsidR="00F71C86" w:rsidRDefault="00EC284E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 w:rsidR="00F71C86">
        <w:rPr>
          <w:sz w:val="24"/>
          <w:szCs w:val="24"/>
        </w:rPr>
        <w:t xml:space="preserve">.2. 8,4 tūkst. Lt Smilgių seniūnijai 04 programai skirtus </w:t>
      </w:r>
      <w:proofErr w:type="spellStart"/>
      <w:r w:rsidR="00F71C86">
        <w:rPr>
          <w:sz w:val="24"/>
          <w:szCs w:val="24"/>
        </w:rPr>
        <w:t>asignavimus</w:t>
      </w:r>
      <w:proofErr w:type="spellEnd"/>
      <w:r w:rsidR="00F71C86">
        <w:rPr>
          <w:sz w:val="24"/>
          <w:szCs w:val="24"/>
        </w:rPr>
        <w:t xml:space="preserve"> gyvenamajam būstui įsigyti ir skirti 0,6 tūkst. Lt kitoms paslaugoms, 7,8 tūkst. Lt ilgalaikio materialiojo turto einamajam remontui;</w:t>
      </w:r>
    </w:p>
    <w:p w:rsidR="00712E08" w:rsidRDefault="00F71C86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712E08">
        <w:rPr>
          <w:sz w:val="24"/>
          <w:szCs w:val="24"/>
        </w:rPr>
        <w:t xml:space="preserve">10,6 tūkst. Lt </w:t>
      </w:r>
      <w:proofErr w:type="spellStart"/>
      <w:r w:rsidR="00712E08">
        <w:rPr>
          <w:sz w:val="24"/>
          <w:szCs w:val="24"/>
        </w:rPr>
        <w:t>Velžio</w:t>
      </w:r>
      <w:proofErr w:type="spellEnd"/>
      <w:r w:rsidR="00712E08">
        <w:rPr>
          <w:sz w:val="24"/>
          <w:szCs w:val="24"/>
        </w:rPr>
        <w:t xml:space="preserve"> seniūnijai 04 programai skirtus </w:t>
      </w:r>
      <w:proofErr w:type="spellStart"/>
      <w:r w:rsidR="00712E08">
        <w:rPr>
          <w:sz w:val="24"/>
          <w:szCs w:val="24"/>
        </w:rPr>
        <w:t>asignavimus</w:t>
      </w:r>
      <w:proofErr w:type="spellEnd"/>
      <w:r w:rsidR="00712E08">
        <w:rPr>
          <w:sz w:val="24"/>
          <w:szCs w:val="24"/>
        </w:rPr>
        <w:t xml:space="preserve"> gyvenamajam būstui įsigyti ir skirti</w:t>
      </w:r>
      <w:r w:rsidR="006D7187">
        <w:rPr>
          <w:sz w:val="24"/>
          <w:szCs w:val="24"/>
        </w:rPr>
        <w:t xml:space="preserve"> </w:t>
      </w:r>
      <w:r w:rsidR="00712E08">
        <w:rPr>
          <w:sz w:val="24"/>
          <w:szCs w:val="24"/>
        </w:rPr>
        <w:t>ilgalaikio materialiojo turto einamajam remontui;</w:t>
      </w:r>
      <w:r w:rsidR="00A61A80">
        <w:rPr>
          <w:sz w:val="24"/>
          <w:szCs w:val="24"/>
        </w:rPr>
        <w:tab/>
      </w:r>
    </w:p>
    <w:p w:rsidR="00854AF0" w:rsidRDefault="00712E08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.4. 5,7 tūkst. Lt Upytės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831056" w:rsidRDefault="00712E08" w:rsidP="004910C8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2FD7"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.5. 11,9 tūkst. Lt Karsakiškio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gyvenamajam būstui įsigyti ir </w:t>
      </w:r>
      <w:r w:rsidR="006D7187">
        <w:rPr>
          <w:sz w:val="24"/>
          <w:szCs w:val="24"/>
        </w:rPr>
        <w:t xml:space="preserve">skirti </w:t>
      </w:r>
      <w:r>
        <w:rPr>
          <w:sz w:val="24"/>
          <w:szCs w:val="24"/>
        </w:rPr>
        <w:t>ilgalaikio materialiojo turto einamajam remontui</w:t>
      </w:r>
      <w:r w:rsidR="00831056">
        <w:rPr>
          <w:sz w:val="24"/>
          <w:szCs w:val="24"/>
        </w:rPr>
        <w:t xml:space="preserve">, 3,3 tūkst. Lt skirtus </w:t>
      </w:r>
      <w:proofErr w:type="spellStart"/>
      <w:r w:rsidR="00831056">
        <w:rPr>
          <w:sz w:val="24"/>
          <w:szCs w:val="24"/>
        </w:rPr>
        <w:t>asignavimus</w:t>
      </w:r>
      <w:proofErr w:type="spellEnd"/>
      <w:r w:rsidR="00831056">
        <w:rPr>
          <w:sz w:val="24"/>
          <w:szCs w:val="24"/>
        </w:rPr>
        <w:t xml:space="preserve"> ilgalaikio materialiojo turto einamajam</w:t>
      </w:r>
      <w:r w:rsidR="006D7187">
        <w:rPr>
          <w:sz w:val="24"/>
          <w:szCs w:val="24"/>
        </w:rPr>
        <w:t xml:space="preserve"> remontui skirti žoliapjovei-krūmapjovei įsigyt</w:t>
      </w:r>
      <w:r w:rsidR="00831056">
        <w:rPr>
          <w:sz w:val="24"/>
          <w:szCs w:val="24"/>
        </w:rPr>
        <w:t>i;</w:t>
      </w:r>
    </w:p>
    <w:p w:rsidR="00831056" w:rsidRDefault="00831056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C2F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.6. 17,3 tūkst. Lt Naujamiesčio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831056" w:rsidRDefault="00831056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.7. 4,8 tūkst. Lt Paįstrio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.8. 5,9 tūkst. Lt Vadoklių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2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.9. 7,7 tūkst. Lt Miežiškių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831056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.10. 5,4 tūkst. Lt Krekenavos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6B0E44" w:rsidRDefault="006B0E44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.11. 19,0 tūkst. Lt Ramygalos seniūnijai 04 programai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gyven</w:t>
      </w:r>
      <w:r w:rsidR="006D7187">
        <w:rPr>
          <w:sz w:val="24"/>
          <w:szCs w:val="24"/>
        </w:rPr>
        <w:t xml:space="preserve">amajam būstui įsigyti ir skirti </w:t>
      </w:r>
      <w:r>
        <w:rPr>
          <w:sz w:val="24"/>
          <w:szCs w:val="24"/>
        </w:rPr>
        <w:t>ilgalaikio materialiojo turto einamajam remontui;</w:t>
      </w:r>
    </w:p>
    <w:p w:rsidR="00DC2FD7" w:rsidRDefault="00C27DC5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27DC5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5A17F7">
        <w:rPr>
          <w:sz w:val="24"/>
          <w:szCs w:val="24"/>
        </w:rPr>
        <w:t>3</w:t>
      </w:r>
      <w:r w:rsidR="00C27DC5">
        <w:rPr>
          <w:sz w:val="24"/>
          <w:szCs w:val="24"/>
        </w:rPr>
        <w:t xml:space="preserve">.12. 2,0 tūkst. Lt Krekenavos kultūros centrui iš spec. lėšų likučio skirtus </w:t>
      </w:r>
      <w:proofErr w:type="spellStart"/>
      <w:r w:rsidR="00C27DC5">
        <w:rPr>
          <w:sz w:val="24"/>
          <w:szCs w:val="24"/>
        </w:rPr>
        <w:t>asignavimus</w:t>
      </w:r>
      <w:proofErr w:type="spellEnd"/>
      <w:r w:rsidR="00C27DC5">
        <w:rPr>
          <w:sz w:val="24"/>
          <w:szCs w:val="24"/>
        </w:rPr>
        <w:t xml:space="preserve"> ilgalaikio materialiojo turto einamajam remontui ir skirti</w:t>
      </w:r>
      <w:r w:rsidR="006D7187">
        <w:rPr>
          <w:sz w:val="24"/>
          <w:szCs w:val="24"/>
        </w:rPr>
        <w:t xml:space="preserve"> žoliapjovei įsigyt</w:t>
      </w:r>
      <w:r w:rsidR="0080443C">
        <w:rPr>
          <w:sz w:val="24"/>
          <w:szCs w:val="24"/>
        </w:rPr>
        <w:t>i;</w:t>
      </w:r>
    </w:p>
    <w:p w:rsidR="00936865" w:rsidRDefault="00936865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17F7">
        <w:rPr>
          <w:sz w:val="24"/>
          <w:szCs w:val="24"/>
        </w:rPr>
        <w:t>3</w:t>
      </w:r>
      <w:r>
        <w:rPr>
          <w:sz w:val="24"/>
          <w:szCs w:val="24"/>
        </w:rPr>
        <w:t xml:space="preserve">.13. 17,5 tūkst. Lt Ramygalos gimnazijai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iš mokinio krepšelio spaudiniams ir skirti</w:t>
      </w:r>
      <w:r w:rsidR="00D80DDC">
        <w:rPr>
          <w:sz w:val="24"/>
          <w:szCs w:val="24"/>
        </w:rPr>
        <w:t xml:space="preserve"> </w:t>
      </w:r>
      <w:proofErr w:type="spellStart"/>
      <w:r w:rsidR="00D80DDC">
        <w:rPr>
          <w:sz w:val="24"/>
          <w:szCs w:val="24"/>
        </w:rPr>
        <w:t>kopiju</w:t>
      </w:r>
      <w:r w:rsidR="006D7187">
        <w:rPr>
          <w:sz w:val="24"/>
          <w:szCs w:val="24"/>
        </w:rPr>
        <w:t>okliui</w:t>
      </w:r>
      <w:proofErr w:type="spellEnd"/>
      <w:r w:rsidR="006D7187">
        <w:rPr>
          <w:sz w:val="24"/>
          <w:szCs w:val="24"/>
        </w:rPr>
        <w:t xml:space="preserve"> ir projektoriams įsigyti</w:t>
      </w:r>
      <w:r w:rsidR="00DC2FD7">
        <w:rPr>
          <w:sz w:val="24"/>
          <w:szCs w:val="24"/>
        </w:rPr>
        <w:t>.</w:t>
      </w: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6B0E44">
      <w:pPr>
        <w:tabs>
          <w:tab w:val="left" w:pos="1134"/>
        </w:tabs>
        <w:jc w:val="both"/>
        <w:rPr>
          <w:sz w:val="24"/>
          <w:szCs w:val="24"/>
        </w:rPr>
      </w:pPr>
    </w:p>
    <w:p w:rsidR="00522749" w:rsidRDefault="00522749" w:rsidP="006B0E4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11264" w:type="dxa"/>
        <w:tblLook w:val="04A0" w:firstRow="1" w:lastRow="0" w:firstColumn="1" w:lastColumn="0" w:noHBand="0" w:noVBand="1"/>
      </w:tblPr>
      <w:tblGrid>
        <w:gridCol w:w="570"/>
        <w:gridCol w:w="4480"/>
        <w:gridCol w:w="1440"/>
        <w:gridCol w:w="1483"/>
        <w:gridCol w:w="1650"/>
        <w:gridCol w:w="960"/>
        <w:gridCol w:w="960"/>
      </w:tblGrid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PATVIRTINTA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ind w:right="694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Panevėžio rajono savivaldybės tarybos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2014-06-19 sprendimu Nr.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 priedas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00"/>
        </w:trPr>
        <w:tc>
          <w:tcPr>
            <w:tcW w:w="11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ind w:right="1796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LĖŠŲ, SKIRTŲ KULTŪROS DARBUOTOJŲ DARBO UŽMOKESČIUI PADIDINTI, PASKIRSTYMAS</w:t>
            </w: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9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(</w:t>
            </w:r>
            <w:proofErr w:type="spellStart"/>
            <w:r w:rsidRPr="00DC2FD7">
              <w:rPr>
                <w:sz w:val="24"/>
                <w:szCs w:val="24"/>
                <w:lang w:eastAsia="lt-LT"/>
              </w:rPr>
              <w:t>tūkst.Lt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Eil.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Asignavimų valdytojas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630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FD7" w:rsidRPr="00DC2FD7" w:rsidRDefault="00DC2FD7" w:rsidP="00DC2FD7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Darbo 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užmokesčiui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b/>
                <w:bCs/>
                <w:sz w:val="24"/>
                <w:szCs w:val="24"/>
                <w:lang w:eastAsia="lt-LT"/>
              </w:rPr>
              <w:t>Soc.draudimo</w:t>
            </w:r>
            <w:proofErr w:type="spellEnd"/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C2FD7">
              <w:rPr>
                <w:b/>
                <w:bCs/>
                <w:sz w:val="24"/>
                <w:szCs w:val="24"/>
                <w:lang w:eastAsia="lt-LT"/>
              </w:rPr>
              <w:br/>
              <w:t>įnašams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 xml:space="preserve">03 Aktyvaus bendruomenės gyvenimo skatinimo programa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Krekenavos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Raguvos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Ramygalos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Naujamiesčio kultūros centras-dailės galerija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Smilgių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Liūdynės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Tiltagalių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C2FD7">
              <w:rPr>
                <w:sz w:val="24"/>
                <w:szCs w:val="24"/>
                <w:lang w:eastAsia="lt-LT"/>
              </w:rPr>
              <w:t>Šilagalio</w:t>
            </w:r>
            <w:proofErr w:type="spellEnd"/>
            <w:r w:rsidRPr="00DC2FD7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Miežiškių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Ėriškių kultūros centras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99,2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75,7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232,0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177,0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C2FD7">
              <w:rPr>
                <w:b/>
                <w:bCs/>
                <w:sz w:val="24"/>
                <w:szCs w:val="24"/>
                <w:lang w:eastAsia="lt-LT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  <w:tr w:rsidR="00DC2FD7" w:rsidRPr="00DC2FD7" w:rsidTr="00DC2FD7">
        <w:trPr>
          <w:trHeight w:val="315"/>
        </w:trPr>
        <w:tc>
          <w:tcPr>
            <w:tcW w:w="9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C2FD7">
              <w:rPr>
                <w:sz w:val="24"/>
                <w:szCs w:val="24"/>
                <w:lang w:eastAsia="lt-LT"/>
              </w:rPr>
              <w:t>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FD7" w:rsidRPr="00DC2FD7" w:rsidRDefault="00DC2FD7" w:rsidP="00DC2FD7">
            <w:pPr>
              <w:suppressAutoHyphens w:val="0"/>
              <w:rPr>
                <w:lang w:eastAsia="lt-LT"/>
              </w:rPr>
            </w:pPr>
          </w:p>
        </w:tc>
      </w:tr>
    </w:tbl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DC2FD7" w:rsidRDefault="00DC2FD7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40"/>
        <w:gridCol w:w="3268"/>
        <w:gridCol w:w="760"/>
        <w:gridCol w:w="981"/>
        <w:gridCol w:w="711"/>
        <w:gridCol w:w="3522"/>
      </w:tblGrid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sz w:val="24"/>
                <w:szCs w:val="24"/>
                <w:lang w:eastAsia="lt-LT"/>
              </w:rPr>
            </w:pPr>
            <w:bookmarkStart w:id="0" w:name="RANGE!A1:F44"/>
            <w:bookmarkEnd w:id="0"/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PATVIRTINTA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822239">
            <w:pPr>
              <w:suppressAutoHyphens w:val="0"/>
              <w:ind w:right="-393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Panevėžio rajono savivaldybės tarybos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2014-06-19 sprendimu Nr. 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2 priedas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</w:tr>
      <w:tr w:rsidR="003E40AB" w:rsidRPr="003E40AB" w:rsidTr="00822239">
        <w:trPr>
          <w:trHeight w:val="69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ind w:right="-108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PANEVĖŽIO RAJONO SAVIVALDYBĖS 2014 METŲ BIUDŽETO PAPILDOMŲ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 xml:space="preserve"> ASIGNAVIMŲ PASKIRSTYMAS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(tūkst. Lt)</w:t>
            </w:r>
          </w:p>
        </w:tc>
      </w:tr>
      <w:tr w:rsidR="003E40AB" w:rsidRPr="003E40AB" w:rsidTr="00822239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Eil.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Pastabos</w:t>
            </w:r>
          </w:p>
        </w:tc>
      </w:tr>
      <w:tr w:rsidR="003E40AB" w:rsidRPr="003E40AB" w:rsidTr="00822239">
        <w:trPr>
          <w:trHeight w:val="141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Prekių ir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paslaugų</w:t>
            </w: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br/>
              <w:t>išlaidoms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Turtui</w:t>
            </w: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01 Savivaldybės valdymo programa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Šilumos apskaitos įrengimui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01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02 Ugdymo proceso ir kokybiškos ugdymosi aplinkos užtikrinimo programa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Švietimo centras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Projekto „Kultūros darbuotojų kompetencijų ugdymas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inovatyviais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metodais“ bendram finansavimui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71,0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55,8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70,7 tūkst. Lt valgyklos patalpų remontui,     0,3 tūkst. Lt komandiruotėms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progimnazija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Žoliapjovei-krūmapjovei įsigyti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vaikų lopšelis-darželis  „Smalsutis“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Investicinio projekto rengimui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Naujamiesčio vaikų lopšelis-darželis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21,7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7,9 tūkst. Lt lauko pavėsinių remontui,          13,8 tūkst. Lt karšto vandens sistemos remontui</w:t>
            </w:r>
          </w:p>
        </w:tc>
      </w:tr>
      <w:tr w:rsidR="003E40AB" w:rsidRPr="003E40AB" w:rsidTr="00822239">
        <w:trPr>
          <w:trHeight w:val="69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24,9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9,7 tūkst. Lt-lauko pavėsinių nugriovimui ir remontui, 15,2 tūkst. Lt-patalpų remontui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Vejapjovei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įsigyti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Mokyklos 50 metų jubiliejaus šventei</w:t>
            </w:r>
            <w:r w:rsidRPr="003E40AB">
              <w:rPr>
                <w:color w:val="000000"/>
                <w:sz w:val="22"/>
                <w:szCs w:val="22"/>
                <w:lang w:eastAsia="lt-LT"/>
              </w:rPr>
              <w:br/>
              <w:t>rengti</w:t>
            </w:r>
          </w:p>
        </w:tc>
      </w:tr>
      <w:tr w:rsidR="003E40AB" w:rsidRPr="003E40AB" w:rsidTr="00822239">
        <w:trPr>
          <w:trHeight w:val="12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10,0 tūkst. Lt liuminescenciniams šviestuvams įsigyti, 20,0 tūkst. Lt įvažiavimui ir laiptams į gimnazijos stadioną atnaujinti                   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2,0 tūkst. Lt </w:t>
            </w:r>
            <w:proofErr w:type="spellStart"/>
            <w:r w:rsidRPr="003E40AB">
              <w:rPr>
                <w:color w:val="000000"/>
                <w:sz w:val="22"/>
                <w:szCs w:val="22"/>
                <w:lang w:eastAsia="lt-LT"/>
              </w:rPr>
              <w:t>marmitui</w:t>
            </w:r>
            <w:proofErr w:type="spellEnd"/>
            <w:r w:rsidRPr="003E40AB">
              <w:rPr>
                <w:color w:val="000000"/>
                <w:sz w:val="22"/>
                <w:szCs w:val="22"/>
                <w:lang w:eastAsia="lt-LT"/>
              </w:rPr>
              <w:t xml:space="preserve"> įsigyti, 10,0 tūkst. Lt karšto vandens tiekimui įrengti į prausyklas ir tualetus</w:t>
            </w:r>
          </w:p>
        </w:tc>
      </w:tr>
      <w:tr w:rsidR="003E40AB" w:rsidRPr="003E40AB" w:rsidTr="00822239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Vadoklių vidurinė mokykla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4,6 tūkst. Lt stogo remontui, 20,0 tūkst. Lt mikroautobusui įsigyti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lastRenderedPageBreak/>
              <w:t>12.</w:t>
            </w:r>
          </w:p>
        </w:tc>
        <w:tc>
          <w:tcPr>
            <w:tcW w:w="3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vaikų lopšelis-darželis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35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Lauko vaikiškai karuselei įsigyti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Psichologo kabinetui įrengti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02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208,7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139,4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69,3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03 Aktyvaus bendruomenės gyvenimo skatinimo programa</w:t>
            </w:r>
          </w:p>
        </w:tc>
      </w:tr>
      <w:tr w:rsidR="003E40AB" w:rsidRPr="003E40AB" w:rsidTr="00822239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Projektui „Bendruomenės infrastruktūros ir gyvenamosios aplinkos gerinimas Krekenavos miestelyje, Panevėžio rajone“ bendram finansavimui</w:t>
            </w:r>
          </w:p>
        </w:tc>
      </w:tr>
      <w:tr w:rsidR="003E40AB" w:rsidRPr="003E40AB" w:rsidTr="00822239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Projekto „Kultūrinis užimtumas Ramygalos seniūnijoje, įtraukiant vietos jaunimą, moteris, pagyvenusius žmones ir žmones su negalia“ bendram finansavimui</w:t>
            </w:r>
          </w:p>
        </w:tc>
      </w:tr>
      <w:tr w:rsidR="003E40AB" w:rsidRPr="003E40AB" w:rsidTr="00822239">
        <w:trPr>
          <w:trHeight w:val="390"/>
        </w:trPr>
        <w:tc>
          <w:tcPr>
            <w:tcW w:w="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Paįstrio krašto renginiui organizuoti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Krekenavos kultūros centras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rFonts w:ascii="Calibri" w:hAnsi="Calibri" w:cs="Arial"/>
                <w:color w:val="000000"/>
                <w:sz w:val="22"/>
                <w:szCs w:val="22"/>
                <w:lang w:eastAsia="lt-LT"/>
              </w:rPr>
              <w:t>Pastato stogo remontui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03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04 Rajono infrastruktūros priežiūros, modernizavimo ir plėtros programa</w:t>
            </w:r>
          </w:p>
        </w:tc>
      </w:tr>
      <w:tr w:rsidR="003E40AB" w:rsidRPr="003E40AB" w:rsidTr="00822239">
        <w:trPr>
          <w:trHeight w:val="375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Ramygalos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Vaizdo stebėjimo kameroms įsigyti ir įrengti</w:t>
            </w:r>
          </w:p>
        </w:tc>
      </w:tr>
      <w:tr w:rsidR="003E40AB" w:rsidRPr="003E40AB" w:rsidTr="00822239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Upytės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Vaizdo stebėjimo kameroms įsigyti ir įrengti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04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75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05 Socialinės atskirties mažinimo programa</w:t>
            </w:r>
          </w:p>
        </w:tc>
      </w:tr>
      <w:tr w:rsidR="003E40AB" w:rsidRPr="003E40AB" w:rsidTr="00822239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Vaikų globos namai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15 tūkst. Lt vaikų vasaros poilsiui organizuoti, 60 tūkst. Lt patalpų remontui</w:t>
            </w:r>
          </w:p>
        </w:tc>
      </w:tr>
      <w:tr w:rsidR="003E40AB" w:rsidRPr="003E40AB" w:rsidTr="00822239">
        <w:trPr>
          <w:trHeight w:val="900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Miežiškių seniūnija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Socialiniams darbuotojams, dirbantiems  su socialinės rizikos šeimomis, transporto išlaikymui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 05 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79,0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320,1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178,4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b/>
                <w:bCs/>
                <w:color w:val="000000"/>
                <w:sz w:val="22"/>
                <w:szCs w:val="22"/>
                <w:lang w:eastAsia="lt-LT"/>
              </w:rPr>
              <w:t>141,7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3E40AB" w:rsidRPr="003E40AB" w:rsidTr="00822239">
        <w:trPr>
          <w:trHeight w:val="31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lang w:eastAsia="lt-LT"/>
              </w:rPr>
            </w:pPr>
          </w:p>
        </w:tc>
        <w:tc>
          <w:tcPr>
            <w:tcW w:w="5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0AB" w:rsidRPr="003E40AB" w:rsidRDefault="003E40AB" w:rsidP="003E40A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3E40AB">
              <w:rPr>
                <w:color w:val="000000"/>
                <w:sz w:val="22"/>
                <w:szCs w:val="22"/>
                <w:lang w:eastAsia="lt-LT"/>
              </w:rPr>
              <w:t>____________________________________</w:t>
            </w:r>
          </w:p>
        </w:tc>
      </w:tr>
    </w:tbl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5630FC" w:rsidRDefault="005630FC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54AF0" w:rsidRDefault="00854AF0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3E40AB" w:rsidRDefault="003E40AB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p w:rsidR="00822239" w:rsidRDefault="00822239" w:rsidP="004910C8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97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"/>
        <w:gridCol w:w="499"/>
        <w:gridCol w:w="725"/>
        <w:gridCol w:w="20"/>
        <w:gridCol w:w="3544"/>
        <w:gridCol w:w="9"/>
        <w:gridCol w:w="53"/>
        <w:gridCol w:w="513"/>
        <w:gridCol w:w="3172"/>
        <w:gridCol w:w="368"/>
        <w:gridCol w:w="563"/>
        <w:gridCol w:w="162"/>
        <w:gridCol w:w="52"/>
        <w:gridCol w:w="28"/>
      </w:tblGrid>
      <w:tr w:rsidR="00EC287F" w:rsidTr="005630FC">
        <w:trPr>
          <w:gridBefore w:val="1"/>
          <w:gridAfter w:val="1"/>
          <w:wBefore w:w="32" w:type="dxa"/>
          <w:wAfter w:w="28" w:type="dxa"/>
          <w:trHeight w:val="30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tabs>
                <w:tab w:val="left" w:pos="395"/>
              </w:tabs>
              <w:suppressAutoHyphens w:val="0"/>
              <w:autoSpaceDE w:val="0"/>
              <w:autoSpaceDN w:val="0"/>
              <w:adjustRightInd w:val="0"/>
              <w:ind w:right="152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ind w:right="-3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287F" w:rsidRDefault="00EC287F" w:rsidP="00EC287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48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3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69" w:type="dxa"/>
            <w:gridSpan w:val="5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4"/>
          <w:wAfter w:w="805" w:type="dxa"/>
          <w:trHeight w:val="914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3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6" w:type="dxa"/>
            <w:gridSpan w:val="4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savivaldybės tarybos</w:t>
            </w:r>
          </w:p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2014 m. birželio 19 d. sprendimu Nr</w:t>
            </w:r>
            <w:r w:rsidR="00822239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</w:t>
            </w:r>
          </w:p>
          <w:p w:rsidR="0025547A" w:rsidRDefault="00DC2FD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="0025547A">
              <w:rPr>
                <w:color w:val="000000"/>
                <w:sz w:val="24"/>
                <w:szCs w:val="24"/>
                <w:lang w:eastAsia="lt-LT"/>
              </w:rPr>
              <w:t xml:space="preserve">  priedas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73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669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2"/>
          <w:wAfter w:w="80" w:type="dxa"/>
          <w:trHeight w:val="1102"/>
        </w:trPr>
        <w:tc>
          <w:tcPr>
            <w:tcW w:w="9660" w:type="dxa"/>
            <w:gridSpan w:val="12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SKOLINTŲ LĖŠŲ INVESTICINIAMS PROJEKTAMS, VYKDOMIEMS KOMPENSAVIMO BŪDU, PASKIRSTYMAS 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739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Programa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Kredito suma ( tūkst. Lt)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Kūrybinio aktyvumo ir bendruomeniškumo užimtumo skatinimas Raguvos gimnazijoje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66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Naujamiesčio vidurinė mokykla -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Comenius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daugiašalės mokyklų partnerystės pagal Mokymosi visą gyvenimą programą projektas Nr.LLP-COM-DP-2012-LT-00214 „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Show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your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talent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Piniavos mokyklos - darželio pastato atnaujinimas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132,7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93B12" w:rsidTr="005630FC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Krekenavos Mykolo Antanaičio  gimnazija-„Vieninga bendruomenė-gyvybinga visuomenė“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22,6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91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02 programa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593B12" w:rsidP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178,8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Asociacija Ramygalos miesto -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Garuckų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kaimo bendruomenė - „Rieda ratukai“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Naujamiesčio piliečių draugija - „Naujamiesčio bendruomenės informacijos ir mokymo paslaugų centras“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6,5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Panevėžio rajono vietos veiklos grupė - „Aukštaitijos trio“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11,3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Bernatonių bendruomenė - „Bernatonių krašto kulinarinio paveldo sūrio šventė“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Gyventojų bendruomenė „Daukniūnai“- „Daukniūnų menų dirbtuvės“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Asociacija „Menų sala“- „Menų sala“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Ėriškių kultūros centras - „Panevėžio rajono linų muziejaus atnaujinimas“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28,1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Paįstrio kultūros centras - „Kultūrinės veiklos sąlygų pagerinimas“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Ramygalos kultūros centras - „Kultūrinis užimtumas Ramygalos seniūnijoje, įtraukiant vietos jaunimą, moteris, pagyvenusius ir žmones su negalia“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9,6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kultūros centras - </w:t>
            </w:r>
            <w:r w:rsidR="003A0C47">
              <w:rPr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Bendruomenės sambūris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kultūros centre</w:t>
            </w:r>
            <w:r w:rsidR="003A0C47"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23,3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Panevėžio rajono Raguvos bendruomenė“-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lt-LT"/>
              </w:rPr>
              <w:t>„</w:t>
            </w:r>
            <w:r>
              <w:rPr>
                <w:color w:val="000000"/>
                <w:sz w:val="24"/>
                <w:szCs w:val="24"/>
                <w:lang w:eastAsia="lt-LT"/>
              </w:rPr>
              <w:t>Bendruomenės namai“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Asociacija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Bernatonių bendruomenė“-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Bernatonių sporto ir laisvalaikio centras“   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17,2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C50F9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kultūros centras-„Kultūrinės-šviečiamosios veiklos vykdymas Panevėžio ir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seniūnijose į veiklas įtraukiant vietos jaunimą, moteris ir pagyvenusius žmones“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62" w:type="dxa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</w:tr>
      <w:tr w:rsidR="005C50F9" w:rsidTr="005630FC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5C50F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Asociacija</w:t>
            </w:r>
            <w:r w:rsidR="00F649F4">
              <w:rPr>
                <w:color w:val="000000"/>
                <w:sz w:val="22"/>
                <w:szCs w:val="22"/>
                <w:lang w:eastAsia="lt-LT"/>
              </w:rPr>
              <w:t xml:space="preserve"> „</w:t>
            </w:r>
            <w:proofErr w:type="spellStart"/>
            <w:r w:rsidR="00F649F4">
              <w:rPr>
                <w:color w:val="000000"/>
                <w:sz w:val="22"/>
                <w:szCs w:val="22"/>
                <w:lang w:eastAsia="lt-LT"/>
              </w:rPr>
              <w:t>Berniųnų</w:t>
            </w:r>
            <w:proofErr w:type="spellEnd"/>
            <w:r w:rsidR="00F649F4">
              <w:rPr>
                <w:color w:val="000000"/>
                <w:sz w:val="22"/>
                <w:szCs w:val="22"/>
                <w:lang w:eastAsia="lt-LT"/>
              </w:rPr>
              <w:t xml:space="preserve"> bendruomenė“-„Berniūnų bendruomenė centras“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F9" w:rsidRDefault="00F649F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62" w:type="dxa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C50F9" w:rsidRDefault="005C50F9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rajono Aukštadvario kaimo bendruomenė „Aktyvi bendruomenė-gyvybingas kaimas“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593B12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piliečių draugija-„Bendruomenės paslaugų verslo kūrimas“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93B1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31,0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593B12" w:rsidTr="005630FC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Gyventojų bendruomenė „Naujasis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Velžys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“-„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StovyklAUK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Velžyje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B12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24,5</w:t>
            </w:r>
          </w:p>
        </w:tc>
        <w:tc>
          <w:tcPr>
            <w:tcW w:w="162" w:type="dxa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93B12" w:rsidRDefault="00593B12">
            <w:pPr>
              <w:suppressAutoHyphens w:val="0"/>
              <w:rPr>
                <w:lang w:eastAsia="lt-LT"/>
              </w:rPr>
            </w:pPr>
          </w:p>
        </w:tc>
      </w:tr>
      <w:tr w:rsidR="00530485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Lietuvos varinių pučiamųjų instrumentų orkestrų asociacija-„Jaunimo užimtumo programa „Ritmas“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62" w:type="dxa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</w:tr>
      <w:tr w:rsidR="00530485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Katinų kaimo gyventojų bendruomenės centras-„Meno, grožio ir sveikatingumo mokymai“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485" w:rsidRDefault="0053048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62" w:type="dxa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</w:tcPr>
          <w:p w:rsidR="00530485" w:rsidRDefault="00530485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406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03 programa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530485" w:rsidP="00F649F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  <w:r w:rsidR="00F649F4">
              <w:rPr>
                <w:b/>
                <w:bCs/>
                <w:color w:val="000000"/>
                <w:sz w:val="24"/>
                <w:szCs w:val="24"/>
                <w:lang w:eastAsia="lt-LT"/>
              </w:rPr>
              <w:t>2,5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943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Vandens gerinimo sistemos įrengimas </w:t>
            </w: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Trakiškio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kaime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Viso 04 programa 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154,9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1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8</w:t>
            </w: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Tradicinių amatų centro Upytės kame, Panevėžio rajone, plėtra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526,8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gridAfter w:val="3"/>
          <w:wAfter w:w="242" w:type="dxa"/>
          <w:trHeight w:val="377"/>
        </w:trPr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Viso 08 programa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526,8</w:t>
            </w: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6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1.233,0</w:t>
            </w: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3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69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  <w:tr w:rsidR="0025547A" w:rsidTr="005630FC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1256" w:type="dxa"/>
            <w:gridSpan w:val="3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73" w:type="dxa"/>
            <w:gridSpan w:val="3"/>
            <w:hideMark/>
          </w:tcPr>
          <w:p w:rsidR="0025547A" w:rsidRDefault="0025547A">
            <w:pPr>
              <w:tabs>
                <w:tab w:val="left" w:pos="239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_____________________________</w:t>
            </w:r>
          </w:p>
        </w:tc>
        <w:tc>
          <w:tcPr>
            <w:tcW w:w="4669" w:type="dxa"/>
            <w:gridSpan w:val="5"/>
          </w:tcPr>
          <w:p w:rsidR="0025547A" w:rsidRDefault="0025547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2" w:type="dxa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  <w:tc>
          <w:tcPr>
            <w:tcW w:w="80" w:type="dxa"/>
            <w:gridSpan w:val="2"/>
            <w:vAlign w:val="center"/>
            <w:hideMark/>
          </w:tcPr>
          <w:p w:rsidR="0025547A" w:rsidRDefault="0025547A">
            <w:pPr>
              <w:suppressAutoHyphens w:val="0"/>
              <w:rPr>
                <w:lang w:eastAsia="lt-LT"/>
              </w:rPr>
            </w:pPr>
          </w:p>
        </w:tc>
      </w:tr>
    </w:tbl>
    <w:p w:rsidR="00991FAC" w:rsidRP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noProof/>
          <w:lang w:eastAsia="lt-LT"/>
        </w:rPr>
      </w:pPr>
    </w:p>
    <w:p w:rsidR="00DC2FD7" w:rsidRDefault="00DC2FD7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D3584B" w:rsidRDefault="00D3584B" w:rsidP="00991FAC">
      <w:pPr>
        <w:rPr>
          <w:sz w:val="24"/>
          <w:szCs w:val="24"/>
        </w:rPr>
      </w:pPr>
    </w:p>
    <w:p w:rsidR="00991FAC" w:rsidRDefault="00991FAC" w:rsidP="00991FAC">
      <w:pPr>
        <w:rPr>
          <w:sz w:val="24"/>
          <w:szCs w:val="24"/>
        </w:rPr>
      </w:pPr>
    </w:p>
    <w:p w:rsidR="0042012D" w:rsidRPr="0042012D" w:rsidRDefault="0042012D" w:rsidP="0042012D">
      <w:pPr>
        <w:jc w:val="center"/>
        <w:rPr>
          <w:rFonts w:cs="Tahoma"/>
          <w:b/>
          <w:bCs/>
          <w:sz w:val="24"/>
          <w:szCs w:val="24"/>
        </w:rPr>
      </w:pPr>
      <w:r w:rsidRPr="0042012D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42012D" w:rsidRPr="0042012D" w:rsidRDefault="0042012D" w:rsidP="0042012D">
      <w:pPr>
        <w:jc w:val="center"/>
        <w:rPr>
          <w:rFonts w:cs="Tahoma"/>
          <w:b/>
          <w:bCs/>
          <w:sz w:val="24"/>
          <w:szCs w:val="24"/>
        </w:rPr>
      </w:pPr>
      <w:r w:rsidRPr="0042012D">
        <w:rPr>
          <w:rFonts w:cs="Tahoma"/>
          <w:b/>
          <w:bCs/>
          <w:sz w:val="24"/>
          <w:szCs w:val="24"/>
        </w:rPr>
        <w:t>FINANSŲ SKYRIUS</w:t>
      </w:r>
    </w:p>
    <w:p w:rsidR="0042012D" w:rsidRPr="0042012D" w:rsidRDefault="0042012D" w:rsidP="0042012D">
      <w:pPr>
        <w:jc w:val="center"/>
        <w:rPr>
          <w:rFonts w:cs="Tahoma"/>
          <w:b/>
          <w:bCs/>
          <w:sz w:val="24"/>
          <w:szCs w:val="24"/>
        </w:rPr>
      </w:pPr>
    </w:p>
    <w:p w:rsidR="0042012D" w:rsidRPr="0042012D" w:rsidRDefault="0042012D" w:rsidP="0042012D">
      <w:pPr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Panevėžio rajono savivaldybės tarybai</w:t>
      </w:r>
    </w:p>
    <w:p w:rsidR="0042012D" w:rsidRPr="0042012D" w:rsidRDefault="0042012D" w:rsidP="0042012D">
      <w:pPr>
        <w:rPr>
          <w:rFonts w:cs="Tahoma"/>
          <w:sz w:val="24"/>
          <w:szCs w:val="24"/>
        </w:rPr>
      </w:pPr>
    </w:p>
    <w:p w:rsidR="0042012D" w:rsidRPr="0042012D" w:rsidRDefault="0042012D" w:rsidP="0042012D">
      <w:pPr>
        <w:rPr>
          <w:rFonts w:cs="Tahoma"/>
          <w:sz w:val="24"/>
          <w:szCs w:val="24"/>
        </w:rPr>
      </w:pPr>
    </w:p>
    <w:p w:rsidR="0042012D" w:rsidRPr="0042012D" w:rsidRDefault="0042012D" w:rsidP="0042012D">
      <w:pPr>
        <w:jc w:val="center"/>
        <w:rPr>
          <w:rFonts w:cs="Tahoma"/>
          <w:b/>
          <w:bCs/>
          <w:sz w:val="24"/>
          <w:szCs w:val="24"/>
        </w:rPr>
      </w:pPr>
      <w:r w:rsidRPr="0042012D">
        <w:rPr>
          <w:rFonts w:cs="Tahoma"/>
          <w:b/>
          <w:bCs/>
          <w:sz w:val="24"/>
          <w:szCs w:val="24"/>
        </w:rPr>
        <w:t>AIŠKINAMASIS RAŠTAS DĖL SPRENDIMO „DĖL PANEVĖŽIO RAJONO SAVIVALDYBĖS 2014 METŲ BIUDŽETO PATIKSLINIMO“ PROJEKTO</w:t>
      </w:r>
    </w:p>
    <w:p w:rsidR="0042012D" w:rsidRPr="0042012D" w:rsidRDefault="0042012D" w:rsidP="0042012D">
      <w:pPr>
        <w:jc w:val="center"/>
        <w:rPr>
          <w:rFonts w:cs="Tahoma"/>
          <w:b/>
          <w:bCs/>
          <w:sz w:val="24"/>
          <w:szCs w:val="24"/>
        </w:rPr>
      </w:pPr>
    </w:p>
    <w:p w:rsidR="0042012D" w:rsidRPr="0042012D" w:rsidRDefault="0042012D" w:rsidP="0042012D">
      <w:pPr>
        <w:jc w:val="center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2014 m. birželio 10 d.</w:t>
      </w:r>
    </w:p>
    <w:p w:rsidR="0042012D" w:rsidRPr="0042012D" w:rsidRDefault="0042012D" w:rsidP="0042012D">
      <w:pPr>
        <w:jc w:val="center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Panevėžys</w:t>
      </w:r>
    </w:p>
    <w:p w:rsidR="0042012D" w:rsidRPr="0042012D" w:rsidRDefault="0042012D" w:rsidP="0042012D">
      <w:pPr>
        <w:jc w:val="center"/>
        <w:rPr>
          <w:rFonts w:cs="Tahoma"/>
          <w:sz w:val="24"/>
          <w:szCs w:val="24"/>
        </w:rPr>
      </w:pPr>
    </w:p>
    <w:p w:rsidR="0042012D" w:rsidRPr="0042012D" w:rsidRDefault="0042012D" w:rsidP="0042012D">
      <w:pPr>
        <w:jc w:val="both"/>
        <w:rPr>
          <w:rFonts w:cs="Tahoma"/>
          <w:b/>
          <w:sz w:val="24"/>
          <w:szCs w:val="24"/>
        </w:rPr>
      </w:pPr>
      <w:r w:rsidRPr="0042012D">
        <w:rPr>
          <w:rFonts w:cs="Tahoma"/>
          <w:sz w:val="24"/>
          <w:szCs w:val="24"/>
        </w:rPr>
        <w:tab/>
      </w:r>
      <w:r w:rsidRPr="0042012D">
        <w:rPr>
          <w:rFonts w:cs="Tahoma"/>
          <w:b/>
          <w:sz w:val="24"/>
          <w:szCs w:val="24"/>
        </w:rPr>
        <w:t>Projekto rengimą paskatinusios priežastys.</w:t>
      </w:r>
    </w:p>
    <w:p w:rsidR="0042012D" w:rsidRPr="0042012D" w:rsidRDefault="0042012D" w:rsidP="0042012D">
      <w:pPr>
        <w:ind w:firstLine="709"/>
        <w:jc w:val="both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Patikslinama biudžeto apimtis ir skiriami papildomi asignavimai. Patikslinami skirti asignavimai pagal įstaigų prašymus.</w:t>
      </w:r>
    </w:p>
    <w:p w:rsidR="0042012D" w:rsidRPr="0042012D" w:rsidRDefault="0042012D" w:rsidP="0042012D">
      <w:pPr>
        <w:ind w:firstLine="795"/>
        <w:jc w:val="both"/>
        <w:rPr>
          <w:rFonts w:cs="Tahoma"/>
          <w:b/>
          <w:bCs/>
          <w:sz w:val="24"/>
          <w:szCs w:val="24"/>
        </w:rPr>
      </w:pPr>
      <w:r w:rsidRPr="0042012D">
        <w:rPr>
          <w:rFonts w:cs="Tahoma"/>
          <w:b/>
          <w:bCs/>
          <w:sz w:val="24"/>
          <w:szCs w:val="24"/>
        </w:rPr>
        <w:t>Sprendimo projekto esmė ir tikslai.</w:t>
      </w:r>
    </w:p>
    <w:p w:rsidR="00EB6EF1" w:rsidRDefault="00EB6EF1" w:rsidP="0042012D">
      <w:pPr>
        <w:ind w:firstLine="795"/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Lietuvos Respublikos Socialinės apsaugos ir darbo ministro 2014-06-12 įsakymu                   Nr. A1-316 </w:t>
      </w:r>
      <w:r>
        <w:rPr>
          <w:bCs/>
          <w:sz w:val="24"/>
          <w:szCs w:val="24"/>
        </w:rPr>
        <w:t>„</w:t>
      </w:r>
      <w:r>
        <w:rPr>
          <w:rFonts w:cs="Tahoma"/>
          <w:bCs/>
          <w:sz w:val="24"/>
          <w:szCs w:val="24"/>
        </w:rPr>
        <w:t xml:space="preserve">Dėl Lietuvos Respublikos socialinės apsaugos ir darbo ministro 2014 m. sausio 2 d. įsakymo Nr. A1-2 </w:t>
      </w:r>
      <w:r>
        <w:rPr>
          <w:bCs/>
          <w:sz w:val="24"/>
          <w:szCs w:val="24"/>
        </w:rPr>
        <w:t>„</w:t>
      </w:r>
      <w:r>
        <w:rPr>
          <w:rFonts w:cs="Tahoma"/>
          <w:bCs/>
          <w:sz w:val="24"/>
          <w:szCs w:val="24"/>
        </w:rPr>
        <w:t xml:space="preserve">Dėl socialinės apsaugos srities specialiųjų tikslinių dotacijų savivaldybių biudžetams 2014 metais paskirstymo savivaldybių administracijoms patvirtinimo“ pakeitimo“ Panevėžio rajono savivaldybei sumažinta 20,0 tūkst. Lt </w:t>
      </w:r>
      <w:r w:rsidR="0044573B">
        <w:rPr>
          <w:rFonts w:cs="Tahoma"/>
          <w:bCs/>
          <w:sz w:val="24"/>
          <w:szCs w:val="24"/>
        </w:rPr>
        <w:t>speciali tikslinė dotacija socialinei paramai mokiniams. Siūloma sumažinti lėšas  po 10,0 tūkst. Lt Ramygalos</w:t>
      </w:r>
      <w:r w:rsidR="003A2707">
        <w:rPr>
          <w:rFonts w:cs="Tahoma"/>
          <w:bCs/>
          <w:sz w:val="24"/>
          <w:szCs w:val="24"/>
        </w:rPr>
        <w:t xml:space="preserve"> gimnazijai</w:t>
      </w:r>
      <w:r w:rsidR="0044573B">
        <w:rPr>
          <w:rFonts w:cs="Tahoma"/>
          <w:bCs/>
          <w:sz w:val="24"/>
          <w:szCs w:val="24"/>
        </w:rPr>
        <w:t xml:space="preserve"> ir Paįstrio Juozo Zikaro vidurinei mokyklai</w:t>
      </w:r>
      <w:r w:rsidR="0044573B" w:rsidRPr="0044573B">
        <w:rPr>
          <w:rFonts w:cs="Tahoma"/>
          <w:bCs/>
          <w:sz w:val="24"/>
          <w:szCs w:val="24"/>
        </w:rPr>
        <w:t xml:space="preserve"> </w:t>
      </w:r>
      <w:r w:rsidR="0044573B">
        <w:rPr>
          <w:rFonts w:cs="Tahoma"/>
          <w:bCs/>
          <w:sz w:val="24"/>
          <w:szCs w:val="24"/>
        </w:rPr>
        <w:t>maisto produktams įsigyti.</w:t>
      </w:r>
    </w:p>
    <w:p w:rsidR="0044573B" w:rsidRDefault="0044573B" w:rsidP="0042012D">
      <w:pPr>
        <w:ind w:firstLine="795"/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Lietuvos Respublikos Vyriausybės 2014-06-11 nutarimu Nr. 534 </w:t>
      </w:r>
      <w:r>
        <w:rPr>
          <w:bCs/>
          <w:sz w:val="24"/>
          <w:szCs w:val="24"/>
        </w:rPr>
        <w:t>„</w:t>
      </w:r>
      <w:r>
        <w:rPr>
          <w:rFonts w:cs="Tahoma"/>
          <w:bCs/>
          <w:sz w:val="24"/>
          <w:szCs w:val="24"/>
        </w:rPr>
        <w:t xml:space="preserve">Dėl 2014 metų Lietuvos Respublikos valstybės biudžeto </w:t>
      </w:r>
      <w:proofErr w:type="spellStart"/>
      <w:r>
        <w:rPr>
          <w:rFonts w:cs="Tahoma"/>
          <w:bCs/>
          <w:sz w:val="24"/>
          <w:szCs w:val="24"/>
        </w:rPr>
        <w:t>asignavimuose</w:t>
      </w:r>
      <w:proofErr w:type="spellEnd"/>
      <w:r>
        <w:rPr>
          <w:rFonts w:cs="Tahoma"/>
          <w:bCs/>
          <w:sz w:val="24"/>
          <w:szCs w:val="24"/>
        </w:rPr>
        <w:t xml:space="preserve"> numatytų kultūros ir meno darbuotojų darbo užmokesčiui padidinti lėšų paskirstymo“ Panevėžio rajono savivaldybei skirta 232,0 tūkst. Lt. Jie kultūros įstaigoms paskirstomi atsižvelgiant į kultūros ir meno darbuotojų skaičių.</w:t>
      </w:r>
    </w:p>
    <w:p w:rsidR="0042012D" w:rsidRDefault="0042012D" w:rsidP="0042012D">
      <w:pPr>
        <w:ind w:firstLine="795"/>
        <w:jc w:val="both"/>
        <w:rPr>
          <w:rFonts w:cs="Tahoma"/>
          <w:bCs/>
          <w:sz w:val="24"/>
          <w:szCs w:val="24"/>
        </w:rPr>
      </w:pPr>
      <w:r w:rsidRPr="0042012D">
        <w:rPr>
          <w:rFonts w:cs="Tahoma"/>
          <w:bCs/>
          <w:sz w:val="24"/>
          <w:szCs w:val="24"/>
        </w:rPr>
        <w:t>Sprendimo projekte siūloma padidinti biudžeto</w:t>
      </w:r>
      <w:r w:rsidR="00310E21">
        <w:rPr>
          <w:rFonts w:cs="Tahoma"/>
          <w:bCs/>
          <w:sz w:val="24"/>
          <w:szCs w:val="24"/>
        </w:rPr>
        <w:t xml:space="preserve"> pajamas 320,1</w:t>
      </w:r>
      <w:r w:rsidRPr="0042012D">
        <w:rPr>
          <w:rFonts w:cs="Tahoma"/>
          <w:bCs/>
          <w:sz w:val="24"/>
          <w:szCs w:val="24"/>
        </w:rPr>
        <w:t xml:space="preserve"> tūkst. Lt, iš jų: 1</w:t>
      </w:r>
      <w:r w:rsidR="00310E21">
        <w:rPr>
          <w:rFonts w:cs="Tahoma"/>
          <w:bCs/>
          <w:sz w:val="24"/>
          <w:szCs w:val="24"/>
        </w:rPr>
        <w:t>35,3</w:t>
      </w:r>
      <w:r w:rsidRPr="0042012D">
        <w:rPr>
          <w:rFonts w:cs="Tahoma"/>
          <w:bCs/>
          <w:sz w:val="24"/>
          <w:szCs w:val="24"/>
        </w:rPr>
        <w:t xml:space="preserve"> tūkst. Lt nekilnojamojo turto mokesčio planą, 184,</w:t>
      </w:r>
      <w:r w:rsidR="00310E21">
        <w:rPr>
          <w:rFonts w:cs="Tahoma"/>
          <w:bCs/>
          <w:sz w:val="24"/>
          <w:szCs w:val="24"/>
        </w:rPr>
        <w:t>8</w:t>
      </w:r>
      <w:r w:rsidRPr="0042012D">
        <w:rPr>
          <w:rFonts w:cs="Tahoma"/>
          <w:bCs/>
          <w:sz w:val="24"/>
          <w:szCs w:val="24"/>
        </w:rPr>
        <w:t xml:space="preserve"> tūkst. Lt dividendus. Mi</w:t>
      </w:r>
      <w:r w:rsidR="006D7187">
        <w:rPr>
          <w:rFonts w:cs="Tahoma"/>
          <w:bCs/>
          <w:sz w:val="24"/>
          <w:szCs w:val="24"/>
        </w:rPr>
        <w:t>nėtų mokesčių planai</w:t>
      </w:r>
      <w:r w:rsidRPr="0042012D">
        <w:rPr>
          <w:rFonts w:cs="Tahoma"/>
          <w:bCs/>
          <w:sz w:val="24"/>
          <w:szCs w:val="24"/>
        </w:rPr>
        <w:t xml:space="preserve"> yra įvykdyti. Pagal gautus įstaigų prašymus paskirstoma </w:t>
      </w:r>
      <w:r w:rsidR="003A2707">
        <w:rPr>
          <w:rFonts w:cs="Tahoma"/>
          <w:bCs/>
          <w:sz w:val="24"/>
          <w:szCs w:val="24"/>
        </w:rPr>
        <w:t>320,1</w:t>
      </w:r>
      <w:bookmarkStart w:id="1" w:name="_GoBack"/>
      <w:bookmarkEnd w:id="1"/>
      <w:r w:rsidRPr="0042012D">
        <w:rPr>
          <w:rFonts w:cs="Tahoma"/>
          <w:bCs/>
          <w:sz w:val="24"/>
          <w:szCs w:val="24"/>
        </w:rPr>
        <w:t xml:space="preserve"> tūkst. Lt papildomų asignavimų.</w:t>
      </w:r>
    </w:p>
    <w:p w:rsidR="0044573B" w:rsidRPr="0042012D" w:rsidRDefault="0044573B" w:rsidP="0042012D">
      <w:pPr>
        <w:ind w:firstLine="795"/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Perskirstoma paskola projektams, vykdomiems kompensavimo būdu.</w:t>
      </w:r>
    </w:p>
    <w:p w:rsidR="0042012D" w:rsidRDefault="0042012D" w:rsidP="006D7187">
      <w:pPr>
        <w:ind w:firstLine="795"/>
        <w:jc w:val="both"/>
        <w:rPr>
          <w:rFonts w:cs="Tahoma"/>
          <w:bCs/>
          <w:sz w:val="24"/>
          <w:szCs w:val="24"/>
        </w:rPr>
      </w:pPr>
      <w:r w:rsidRPr="0042012D">
        <w:rPr>
          <w:rFonts w:cs="Tahoma"/>
          <w:bCs/>
          <w:sz w:val="24"/>
          <w:szCs w:val="24"/>
        </w:rPr>
        <w:t>Neskiriami prašomi papildomi asignavimai šioms įstaigoms:</w:t>
      </w:r>
      <w:r w:rsidR="006D7187">
        <w:rPr>
          <w:rFonts w:cs="Tahoma"/>
          <w:bCs/>
          <w:sz w:val="24"/>
          <w:szCs w:val="24"/>
        </w:rPr>
        <w:t xml:space="preserve"> </w:t>
      </w:r>
      <w:r w:rsidRPr="0042012D">
        <w:rPr>
          <w:rFonts w:cs="Tahoma"/>
          <w:bCs/>
          <w:sz w:val="24"/>
          <w:szCs w:val="24"/>
        </w:rPr>
        <w:t xml:space="preserve">27,8 tūkst. Lt </w:t>
      </w:r>
      <w:proofErr w:type="spellStart"/>
      <w:r w:rsidRPr="0042012D">
        <w:rPr>
          <w:rFonts w:cs="Tahoma"/>
          <w:bCs/>
          <w:sz w:val="24"/>
          <w:szCs w:val="24"/>
        </w:rPr>
        <w:t>Dembavos</w:t>
      </w:r>
      <w:proofErr w:type="spellEnd"/>
      <w:r w:rsidRPr="0042012D">
        <w:rPr>
          <w:rFonts w:cs="Tahoma"/>
          <w:bCs/>
          <w:sz w:val="24"/>
          <w:szCs w:val="24"/>
        </w:rPr>
        <w:t xml:space="preserve"> progimnazijai informacinėms komunikacinėms technologijoms įsigyti;</w:t>
      </w:r>
      <w:r w:rsidR="006D7187">
        <w:rPr>
          <w:rFonts w:cs="Tahoma"/>
          <w:bCs/>
          <w:sz w:val="24"/>
          <w:szCs w:val="24"/>
        </w:rPr>
        <w:t xml:space="preserve"> </w:t>
      </w:r>
      <w:r w:rsidR="00A44C40">
        <w:rPr>
          <w:rFonts w:cs="Tahoma"/>
          <w:bCs/>
          <w:sz w:val="24"/>
          <w:szCs w:val="24"/>
        </w:rPr>
        <w:t xml:space="preserve">176,3 tūkst. Lt </w:t>
      </w:r>
      <w:proofErr w:type="spellStart"/>
      <w:r w:rsidR="00A44C40">
        <w:rPr>
          <w:rFonts w:cs="Tahoma"/>
          <w:bCs/>
          <w:sz w:val="24"/>
          <w:szCs w:val="24"/>
        </w:rPr>
        <w:t>Žibartonių</w:t>
      </w:r>
      <w:proofErr w:type="spellEnd"/>
      <w:r w:rsidR="00A44C40">
        <w:rPr>
          <w:rFonts w:cs="Tahoma"/>
          <w:bCs/>
          <w:sz w:val="24"/>
          <w:szCs w:val="24"/>
        </w:rPr>
        <w:t xml:space="preserve"> pagrindinei mokyklai, iš jų: 166,3 tūkst. Lt teritorijai aptverti,</w:t>
      </w:r>
      <w:r w:rsidR="00A44C40" w:rsidRPr="00A44C40">
        <w:rPr>
          <w:rFonts w:cs="Tahoma"/>
          <w:bCs/>
          <w:sz w:val="24"/>
          <w:szCs w:val="24"/>
        </w:rPr>
        <w:t xml:space="preserve"> </w:t>
      </w:r>
      <w:r w:rsidR="00A44C40">
        <w:rPr>
          <w:rFonts w:cs="Tahoma"/>
          <w:bCs/>
          <w:sz w:val="24"/>
          <w:szCs w:val="24"/>
        </w:rPr>
        <w:t xml:space="preserve">10,0 tūkst. Lt profesinės rizikos vertinimui, kompiuteriams įsigyti, 10,0 tūkst. Lt Upytės seniūnijai artezinio gręžinio tamponavimui, </w:t>
      </w:r>
      <w:r w:rsidR="00F313DE">
        <w:rPr>
          <w:rFonts w:cs="Tahoma"/>
          <w:bCs/>
          <w:sz w:val="24"/>
          <w:szCs w:val="24"/>
        </w:rPr>
        <w:t xml:space="preserve">38,4 tūkst. Lt Naujamiesčio vaikų lopšeliui-darželiui teritorijos aptvėrimui; 42,6 tūkst. Lt </w:t>
      </w:r>
      <w:proofErr w:type="spellStart"/>
      <w:r w:rsidR="00F313DE">
        <w:rPr>
          <w:rFonts w:cs="Tahoma"/>
          <w:bCs/>
          <w:sz w:val="24"/>
          <w:szCs w:val="24"/>
        </w:rPr>
        <w:t>Pažagienių</w:t>
      </w:r>
      <w:proofErr w:type="spellEnd"/>
      <w:r w:rsidR="00F313DE">
        <w:rPr>
          <w:rFonts w:cs="Tahoma"/>
          <w:bCs/>
          <w:sz w:val="24"/>
          <w:szCs w:val="24"/>
        </w:rPr>
        <w:t xml:space="preserve"> mokyklai-darželiui, iš jų: 16,5 tūkst. Lt sporto aikštyno remontui, 26,1 tūkst. Lt teritorijos aptvėrimui</w:t>
      </w:r>
      <w:r w:rsidR="006D7187">
        <w:rPr>
          <w:rFonts w:cs="Tahoma"/>
          <w:bCs/>
          <w:sz w:val="24"/>
          <w:szCs w:val="24"/>
        </w:rPr>
        <w:t>.</w:t>
      </w:r>
    </w:p>
    <w:p w:rsidR="001F2227" w:rsidRDefault="001F2227" w:rsidP="001F2227">
      <w:pPr>
        <w:widowControl w:val="0"/>
        <w:ind w:left="795"/>
        <w:jc w:val="both"/>
        <w:rPr>
          <w:rFonts w:cs="Tahoma"/>
          <w:b/>
          <w:bCs/>
          <w:sz w:val="24"/>
          <w:szCs w:val="24"/>
        </w:rPr>
      </w:pPr>
      <w:r w:rsidRPr="001F2227">
        <w:rPr>
          <w:rFonts w:cs="Tahoma"/>
          <w:b/>
          <w:bCs/>
          <w:sz w:val="24"/>
          <w:szCs w:val="24"/>
        </w:rPr>
        <w:t>Kokių pozityvių rezultatų laukiama.</w:t>
      </w:r>
    </w:p>
    <w:p w:rsidR="001F2227" w:rsidRPr="001F2227" w:rsidRDefault="001F2227" w:rsidP="00443359">
      <w:pPr>
        <w:widowControl w:val="0"/>
        <w:ind w:firstLine="795"/>
        <w:jc w:val="both"/>
        <w:rPr>
          <w:rFonts w:cs="Tahoma"/>
          <w:bCs/>
          <w:sz w:val="24"/>
          <w:szCs w:val="24"/>
        </w:rPr>
      </w:pPr>
      <w:r w:rsidRPr="001F2227">
        <w:rPr>
          <w:rFonts w:cs="Tahoma"/>
          <w:bCs/>
          <w:sz w:val="24"/>
          <w:szCs w:val="24"/>
        </w:rPr>
        <w:t>Bus vykdomos savivaldybei priklausančios funkcijos</w:t>
      </w:r>
      <w:r w:rsidR="00A44C40">
        <w:rPr>
          <w:rFonts w:cs="Tahoma"/>
          <w:bCs/>
          <w:sz w:val="24"/>
          <w:szCs w:val="24"/>
        </w:rPr>
        <w:t xml:space="preserve">, </w:t>
      </w:r>
      <w:r w:rsidR="00443359">
        <w:rPr>
          <w:rFonts w:cs="Tahoma"/>
          <w:bCs/>
          <w:sz w:val="24"/>
          <w:szCs w:val="24"/>
        </w:rPr>
        <w:t xml:space="preserve">nuo 2014 m. liepos 1 d. </w:t>
      </w:r>
      <w:r w:rsidR="00A44C40">
        <w:rPr>
          <w:rFonts w:cs="Tahoma"/>
          <w:bCs/>
          <w:sz w:val="24"/>
          <w:szCs w:val="24"/>
        </w:rPr>
        <w:t>padidinti atlyginimai kultūros ir meno darbuotojams</w:t>
      </w:r>
      <w:r w:rsidRPr="001F2227">
        <w:rPr>
          <w:rFonts w:cs="Tahoma"/>
          <w:bCs/>
          <w:sz w:val="24"/>
          <w:szCs w:val="24"/>
        </w:rPr>
        <w:t>.</w:t>
      </w:r>
    </w:p>
    <w:p w:rsidR="0042012D" w:rsidRPr="0042012D" w:rsidRDefault="001F2227" w:rsidP="0042012D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</w:t>
      </w:r>
      <w:r w:rsidR="0042012D" w:rsidRPr="0042012D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42012D" w:rsidRPr="0042012D" w:rsidRDefault="0042012D" w:rsidP="006D7187">
      <w:pPr>
        <w:ind w:firstLine="720"/>
        <w:jc w:val="both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Neigiamų pasekmių nenumatoma.</w:t>
      </w:r>
    </w:p>
    <w:p w:rsidR="0042012D" w:rsidRPr="0042012D" w:rsidRDefault="001F2227" w:rsidP="0042012D">
      <w:pPr>
        <w:ind w:firstLine="525"/>
        <w:jc w:val="both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 </w:t>
      </w:r>
      <w:r w:rsidR="0042012D" w:rsidRPr="0042012D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42012D" w:rsidRPr="0042012D" w:rsidRDefault="0042012D" w:rsidP="006D7187">
      <w:pPr>
        <w:ind w:firstLine="720"/>
        <w:jc w:val="both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Jokie galiojantys teisės aktai nebus keičiami.</w:t>
      </w:r>
    </w:p>
    <w:p w:rsidR="0042012D" w:rsidRPr="0042012D" w:rsidRDefault="001F2227" w:rsidP="0042012D">
      <w:pPr>
        <w:ind w:firstLine="525"/>
        <w:jc w:val="both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    </w:t>
      </w:r>
      <w:r w:rsidR="0042012D" w:rsidRPr="0042012D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42012D" w:rsidRDefault="0042012D" w:rsidP="006D7187">
      <w:pPr>
        <w:ind w:firstLine="720"/>
        <w:jc w:val="both"/>
        <w:rPr>
          <w:rFonts w:cs="Tahoma"/>
          <w:sz w:val="24"/>
          <w:szCs w:val="24"/>
        </w:rPr>
      </w:pPr>
      <w:r w:rsidRPr="0042012D">
        <w:rPr>
          <w:rFonts w:cs="Tahoma"/>
          <w:sz w:val="24"/>
          <w:szCs w:val="24"/>
        </w:rPr>
        <w:t>Priėmus sprendimą bus patikslintos 2014 metų išlaidų sąmatos.</w:t>
      </w:r>
    </w:p>
    <w:p w:rsidR="00A44C40" w:rsidRPr="0042012D" w:rsidRDefault="00A44C40" w:rsidP="006D7187">
      <w:pPr>
        <w:ind w:firstLine="720"/>
        <w:jc w:val="both"/>
        <w:rPr>
          <w:rFonts w:cs="Tahoma"/>
          <w:sz w:val="24"/>
          <w:szCs w:val="24"/>
        </w:rPr>
      </w:pPr>
    </w:p>
    <w:p w:rsidR="0042012D" w:rsidRPr="0042012D" w:rsidRDefault="006D7187" w:rsidP="0042012D">
      <w:pPr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</w:t>
      </w:r>
      <w:r w:rsidR="0042012D" w:rsidRPr="0042012D">
        <w:rPr>
          <w:rFonts w:cs="Tahoma"/>
          <w:sz w:val="24"/>
          <w:szCs w:val="24"/>
        </w:rPr>
        <w:t>kyriaus vedėja</w:t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</w:r>
      <w:r w:rsidR="0042012D" w:rsidRPr="0042012D">
        <w:rPr>
          <w:rFonts w:cs="Tahoma"/>
          <w:sz w:val="24"/>
          <w:szCs w:val="24"/>
        </w:rPr>
        <w:tab/>
        <w:t xml:space="preserve">          Genė </w:t>
      </w:r>
      <w:proofErr w:type="spellStart"/>
      <w:r w:rsidR="0042012D" w:rsidRPr="0042012D">
        <w:rPr>
          <w:rFonts w:cs="Tahoma"/>
          <w:sz w:val="24"/>
          <w:szCs w:val="24"/>
        </w:rPr>
        <w:t>Šarkiūnienė</w:t>
      </w:r>
      <w:proofErr w:type="spellEnd"/>
    </w:p>
    <w:sectPr w:rsidR="0042012D" w:rsidRPr="0042012D" w:rsidSect="002815F8">
      <w:headerReference w:type="default" r:id="rId8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2B2" w:rsidRDefault="00F662B2">
      <w:r>
        <w:separator/>
      </w:r>
    </w:p>
  </w:endnote>
  <w:endnote w:type="continuationSeparator" w:id="0">
    <w:p w:rsidR="00F662B2" w:rsidRDefault="00F6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2B2" w:rsidRDefault="00F662B2">
      <w:r>
        <w:separator/>
      </w:r>
    </w:p>
  </w:footnote>
  <w:footnote w:type="continuationSeparator" w:id="0">
    <w:p w:rsidR="00F662B2" w:rsidRDefault="00F6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FD7" w:rsidRDefault="00DC2F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16161"/>
    <w:rsid w:val="00016718"/>
    <w:rsid w:val="00030488"/>
    <w:rsid w:val="0003067E"/>
    <w:rsid w:val="00032401"/>
    <w:rsid w:val="00035E66"/>
    <w:rsid w:val="000471E0"/>
    <w:rsid w:val="00060BAC"/>
    <w:rsid w:val="000837C4"/>
    <w:rsid w:val="00094893"/>
    <w:rsid w:val="000B09B9"/>
    <w:rsid w:val="000B0CC3"/>
    <w:rsid w:val="000B1A0C"/>
    <w:rsid w:val="000B4D32"/>
    <w:rsid w:val="000D2267"/>
    <w:rsid w:val="000D3A03"/>
    <w:rsid w:val="000D3A1C"/>
    <w:rsid w:val="000E7B88"/>
    <w:rsid w:val="001158CD"/>
    <w:rsid w:val="001170A0"/>
    <w:rsid w:val="001213A1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F09A5"/>
    <w:rsid w:val="001F2227"/>
    <w:rsid w:val="001F3941"/>
    <w:rsid w:val="001F46C1"/>
    <w:rsid w:val="00211CB1"/>
    <w:rsid w:val="00215403"/>
    <w:rsid w:val="002200CF"/>
    <w:rsid w:val="0025547A"/>
    <w:rsid w:val="0025795A"/>
    <w:rsid w:val="002815F8"/>
    <w:rsid w:val="0028654C"/>
    <w:rsid w:val="00291F80"/>
    <w:rsid w:val="002A18B4"/>
    <w:rsid w:val="002B1D78"/>
    <w:rsid w:val="002B297F"/>
    <w:rsid w:val="002C3CF8"/>
    <w:rsid w:val="002E3F56"/>
    <w:rsid w:val="002F5844"/>
    <w:rsid w:val="002F59EB"/>
    <w:rsid w:val="00304E67"/>
    <w:rsid w:val="0031055C"/>
    <w:rsid w:val="00310E21"/>
    <w:rsid w:val="003172C7"/>
    <w:rsid w:val="00347AD3"/>
    <w:rsid w:val="00366AF4"/>
    <w:rsid w:val="00381CA8"/>
    <w:rsid w:val="00385A50"/>
    <w:rsid w:val="00386226"/>
    <w:rsid w:val="0039669C"/>
    <w:rsid w:val="003A0C47"/>
    <w:rsid w:val="003A2707"/>
    <w:rsid w:val="003B4434"/>
    <w:rsid w:val="003B5FD2"/>
    <w:rsid w:val="003C70FA"/>
    <w:rsid w:val="003D255D"/>
    <w:rsid w:val="003D52BE"/>
    <w:rsid w:val="003E10B3"/>
    <w:rsid w:val="003E3ACC"/>
    <w:rsid w:val="003E40AB"/>
    <w:rsid w:val="003F606D"/>
    <w:rsid w:val="00401D29"/>
    <w:rsid w:val="00402758"/>
    <w:rsid w:val="00407B25"/>
    <w:rsid w:val="0041269F"/>
    <w:rsid w:val="0042012D"/>
    <w:rsid w:val="00424F5B"/>
    <w:rsid w:val="00441C97"/>
    <w:rsid w:val="00443359"/>
    <w:rsid w:val="0044428F"/>
    <w:rsid w:val="0044573B"/>
    <w:rsid w:val="004513D8"/>
    <w:rsid w:val="004534D6"/>
    <w:rsid w:val="00473D4D"/>
    <w:rsid w:val="004910C8"/>
    <w:rsid w:val="004A2983"/>
    <w:rsid w:val="004A4093"/>
    <w:rsid w:val="004B3BFC"/>
    <w:rsid w:val="004C31F9"/>
    <w:rsid w:val="004C6D8A"/>
    <w:rsid w:val="004F23DD"/>
    <w:rsid w:val="004F5A9A"/>
    <w:rsid w:val="00503465"/>
    <w:rsid w:val="00513699"/>
    <w:rsid w:val="00522749"/>
    <w:rsid w:val="00526B4D"/>
    <w:rsid w:val="00530485"/>
    <w:rsid w:val="00530B3B"/>
    <w:rsid w:val="00532BA6"/>
    <w:rsid w:val="00545B7F"/>
    <w:rsid w:val="005533AE"/>
    <w:rsid w:val="0056207A"/>
    <w:rsid w:val="005630FC"/>
    <w:rsid w:val="00573EB1"/>
    <w:rsid w:val="00581991"/>
    <w:rsid w:val="005828A3"/>
    <w:rsid w:val="00592C76"/>
    <w:rsid w:val="00593B12"/>
    <w:rsid w:val="00595B14"/>
    <w:rsid w:val="005A17F7"/>
    <w:rsid w:val="005B2404"/>
    <w:rsid w:val="005B501C"/>
    <w:rsid w:val="005B5244"/>
    <w:rsid w:val="005C50F9"/>
    <w:rsid w:val="005C7733"/>
    <w:rsid w:val="005F05AF"/>
    <w:rsid w:val="005F454A"/>
    <w:rsid w:val="0062202B"/>
    <w:rsid w:val="006326F1"/>
    <w:rsid w:val="00633A1B"/>
    <w:rsid w:val="006367E9"/>
    <w:rsid w:val="00636E2C"/>
    <w:rsid w:val="00642611"/>
    <w:rsid w:val="006A7C2F"/>
    <w:rsid w:val="006B0E44"/>
    <w:rsid w:val="006B30C9"/>
    <w:rsid w:val="006B33C2"/>
    <w:rsid w:val="006D3A53"/>
    <w:rsid w:val="006D7187"/>
    <w:rsid w:val="006E36CB"/>
    <w:rsid w:val="006F0449"/>
    <w:rsid w:val="006F1BB5"/>
    <w:rsid w:val="00712E08"/>
    <w:rsid w:val="00713AEB"/>
    <w:rsid w:val="00717830"/>
    <w:rsid w:val="00727967"/>
    <w:rsid w:val="00735638"/>
    <w:rsid w:val="0074297C"/>
    <w:rsid w:val="00746DD1"/>
    <w:rsid w:val="007533B6"/>
    <w:rsid w:val="0077320B"/>
    <w:rsid w:val="00780C95"/>
    <w:rsid w:val="00787B7D"/>
    <w:rsid w:val="007929E2"/>
    <w:rsid w:val="007940B4"/>
    <w:rsid w:val="007A112F"/>
    <w:rsid w:val="007C0B2B"/>
    <w:rsid w:val="007C2C3D"/>
    <w:rsid w:val="007D262E"/>
    <w:rsid w:val="007E1DAA"/>
    <w:rsid w:val="007F5901"/>
    <w:rsid w:val="007F76AC"/>
    <w:rsid w:val="0080443C"/>
    <w:rsid w:val="008208A3"/>
    <w:rsid w:val="00821D12"/>
    <w:rsid w:val="00822239"/>
    <w:rsid w:val="00831056"/>
    <w:rsid w:val="00854AF0"/>
    <w:rsid w:val="00855E8B"/>
    <w:rsid w:val="0087036C"/>
    <w:rsid w:val="008729D9"/>
    <w:rsid w:val="00872ADC"/>
    <w:rsid w:val="00876C7D"/>
    <w:rsid w:val="00885F0E"/>
    <w:rsid w:val="00892F75"/>
    <w:rsid w:val="008A169C"/>
    <w:rsid w:val="008A3AD1"/>
    <w:rsid w:val="008A5A08"/>
    <w:rsid w:val="008B7D04"/>
    <w:rsid w:val="008D0A3E"/>
    <w:rsid w:val="008F4389"/>
    <w:rsid w:val="008F5BD9"/>
    <w:rsid w:val="009014FB"/>
    <w:rsid w:val="0090709F"/>
    <w:rsid w:val="0092454A"/>
    <w:rsid w:val="0093059B"/>
    <w:rsid w:val="00935135"/>
    <w:rsid w:val="00936865"/>
    <w:rsid w:val="009458E2"/>
    <w:rsid w:val="0095786C"/>
    <w:rsid w:val="00961002"/>
    <w:rsid w:val="00962E25"/>
    <w:rsid w:val="00976E75"/>
    <w:rsid w:val="00991FAC"/>
    <w:rsid w:val="009A1547"/>
    <w:rsid w:val="009B6720"/>
    <w:rsid w:val="009C65D9"/>
    <w:rsid w:val="009E10AB"/>
    <w:rsid w:val="009E40D4"/>
    <w:rsid w:val="009F1D32"/>
    <w:rsid w:val="00A047B0"/>
    <w:rsid w:val="00A15CDF"/>
    <w:rsid w:val="00A255F4"/>
    <w:rsid w:val="00A32A06"/>
    <w:rsid w:val="00A35974"/>
    <w:rsid w:val="00A44C40"/>
    <w:rsid w:val="00A44E4D"/>
    <w:rsid w:val="00A5468A"/>
    <w:rsid w:val="00A55CD2"/>
    <w:rsid w:val="00A55D29"/>
    <w:rsid w:val="00A61A80"/>
    <w:rsid w:val="00A66B75"/>
    <w:rsid w:val="00A712CF"/>
    <w:rsid w:val="00A85CC3"/>
    <w:rsid w:val="00A87FF9"/>
    <w:rsid w:val="00A9156C"/>
    <w:rsid w:val="00A93801"/>
    <w:rsid w:val="00A96879"/>
    <w:rsid w:val="00AA661A"/>
    <w:rsid w:val="00AA7BB6"/>
    <w:rsid w:val="00AC78DE"/>
    <w:rsid w:val="00AD1201"/>
    <w:rsid w:val="00AD1DC1"/>
    <w:rsid w:val="00AD6066"/>
    <w:rsid w:val="00AE6EA7"/>
    <w:rsid w:val="00AF1961"/>
    <w:rsid w:val="00B0625C"/>
    <w:rsid w:val="00B16F5D"/>
    <w:rsid w:val="00B22ADB"/>
    <w:rsid w:val="00B31AA7"/>
    <w:rsid w:val="00B3401F"/>
    <w:rsid w:val="00B47622"/>
    <w:rsid w:val="00B50F2B"/>
    <w:rsid w:val="00B53D8D"/>
    <w:rsid w:val="00B57F7C"/>
    <w:rsid w:val="00B709A1"/>
    <w:rsid w:val="00B90054"/>
    <w:rsid w:val="00B95535"/>
    <w:rsid w:val="00B97D4A"/>
    <w:rsid w:val="00BB0F9B"/>
    <w:rsid w:val="00BD103D"/>
    <w:rsid w:val="00C01B69"/>
    <w:rsid w:val="00C031B5"/>
    <w:rsid w:val="00C06D37"/>
    <w:rsid w:val="00C1226B"/>
    <w:rsid w:val="00C12615"/>
    <w:rsid w:val="00C27DC5"/>
    <w:rsid w:val="00C308C2"/>
    <w:rsid w:val="00C54A0D"/>
    <w:rsid w:val="00C65685"/>
    <w:rsid w:val="00C85B07"/>
    <w:rsid w:val="00CA55CC"/>
    <w:rsid w:val="00CD216D"/>
    <w:rsid w:val="00CF5D96"/>
    <w:rsid w:val="00D01C0E"/>
    <w:rsid w:val="00D10BCA"/>
    <w:rsid w:val="00D111DA"/>
    <w:rsid w:val="00D32435"/>
    <w:rsid w:val="00D3584B"/>
    <w:rsid w:val="00D529B1"/>
    <w:rsid w:val="00D55671"/>
    <w:rsid w:val="00D66C13"/>
    <w:rsid w:val="00D76193"/>
    <w:rsid w:val="00D80DDC"/>
    <w:rsid w:val="00DA309F"/>
    <w:rsid w:val="00DA30CA"/>
    <w:rsid w:val="00DA61F8"/>
    <w:rsid w:val="00DB2B7B"/>
    <w:rsid w:val="00DB5FEA"/>
    <w:rsid w:val="00DC2FD7"/>
    <w:rsid w:val="00DE7986"/>
    <w:rsid w:val="00E1761E"/>
    <w:rsid w:val="00E22C6F"/>
    <w:rsid w:val="00E46E08"/>
    <w:rsid w:val="00E539AD"/>
    <w:rsid w:val="00E637CD"/>
    <w:rsid w:val="00E67570"/>
    <w:rsid w:val="00E90939"/>
    <w:rsid w:val="00E91E08"/>
    <w:rsid w:val="00E926C8"/>
    <w:rsid w:val="00EB4AB2"/>
    <w:rsid w:val="00EB6EF1"/>
    <w:rsid w:val="00EC284E"/>
    <w:rsid w:val="00EC287F"/>
    <w:rsid w:val="00EC73AC"/>
    <w:rsid w:val="00EC79B2"/>
    <w:rsid w:val="00EE2D30"/>
    <w:rsid w:val="00EF2971"/>
    <w:rsid w:val="00EF3CC0"/>
    <w:rsid w:val="00F12051"/>
    <w:rsid w:val="00F313DE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92F93"/>
    <w:rsid w:val="00FA2A93"/>
    <w:rsid w:val="00FD083F"/>
    <w:rsid w:val="00FD37DE"/>
    <w:rsid w:val="00FE21D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8746</Words>
  <Characters>4986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25</cp:revision>
  <cp:lastPrinted>2014-06-18T07:51:00Z</cp:lastPrinted>
  <dcterms:created xsi:type="dcterms:W3CDTF">2014-06-11T07:41:00Z</dcterms:created>
  <dcterms:modified xsi:type="dcterms:W3CDTF">2014-06-18T07:59:00Z</dcterms:modified>
</cp:coreProperties>
</file>