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761D6" w:rsidRPr="00431341" w:rsidRDefault="003761D6" w:rsidP="003761D6">
      <w:pPr>
        <w:jc w:val="center"/>
        <w:rPr>
          <w:b/>
          <w:sz w:val="24"/>
          <w:lang w:val="lt-LT"/>
        </w:rPr>
      </w:pPr>
      <w:r w:rsidRPr="00431341">
        <w:rPr>
          <w:b/>
          <w:sz w:val="24"/>
          <w:lang w:val="lt-LT"/>
        </w:rPr>
        <w:t xml:space="preserve">DĖL PANEVĖŽIO RAJONO SAVIVALDYBĖS </w:t>
      </w:r>
      <w:r w:rsidR="00DF590A" w:rsidRPr="00431341">
        <w:rPr>
          <w:b/>
          <w:sz w:val="24"/>
          <w:lang w:val="lt-LT"/>
        </w:rPr>
        <w:t>TARYBOS 2011 M. VASARIO 23 D. SPRENDIMO NR. T-30</w:t>
      </w:r>
      <w:r w:rsidR="00431341">
        <w:rPr>
          <w:b/>
          <w:sz w:val="24"/>
          <w:lang w:val="lt-LT"/>
        </w:rPr>
        <w:t xml:space="preserve"> „</w:t>
      </w:r>
      <w:r w:rsidR="00DF590A" w:rsidRPr="00431341">
        <w:rPr>
          <w:b/>
          <w:sz w:val="24"/>
          <w:lang w:val="lt-LT"/>
        </w:rPr>
        <w:t>DĖL KAI KURIŲ PANEVĖŽIO RAJONO SAVIVALDYBĖS GYVENAMŲJŲ VIETOVIŲ PAVADINIMŲ KEITIMO, PANAIKINIMO,           TERITORIJŲ RIBŲ NUSTATYMO</w:t>
      </w:r>
      <w:r w:rsidR="00431341">
        <w:rPr>
          <w:b/>
          <w:sz w:val="24"/>
          <w:lang w:val="lt-LT"/>
        </w:rPr>
        <w:t>“</w:t>
      </w:r>
      <w:r w:rsidR="00DF590A" w:rsidRPr="00431341">
        <w:rPr>
          <w:b/>
          <w:sz w:val="24"/>
          <w:lang w:val="lt-LT"/>
        </w:rPr>
        <w:t xml:space="preserve"> PAKEITIMO</w:t>
      </w:r>
    </w:p>
    <w:p w:rsidR="00973409" w:rsidRPr="00431341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Pr="00431341" w:rsidRDefault="004B6147">
      <w:pPr>
        <w:pStyle w:val="Tekstas"/>
        <w:ind w:left="0" w:firstLine="0"/>
        <w:jc w:val="center"/>
      </w:pPr>
      <w:r w:rsidRPr="00431341">
        <w:rPr>
          <w:rFonts w:ascii="Times New Roman" w:hAnsi="Times New Roman" w:cs="Times New Roman"/>
          <w:sz w:val="24"/>
        </w:rPr>
        <w:t>20</w:t>
      </w:r>
      <w:r w:rsidR="008A0793" w:rsidRPr="00431341">
        <w:rPr>
          <w:rFonts w:ascii="Times New Roman" w:hAnsi="Times New Roman" w:cs="Times New Roman"/>
          <w:sz w:val="24"/>
        </w:rPr>
        <w:t>2</w:t>
      </w:r>
      <w:r w:rsidR="007F35CE" w:rsidRPr="00431341">
        <w:rPr>
          <w:rFonts w:ascii="Times New Roman" w:hAnsi="Times New Roman" w:cs="Times New Roman"/>
          <w:sz w:val="24"/>
        </w:rPr>
        <w:t>3</w:t>
      </w:r>
      <w:r w:rsidRPr="00431341">
        <w:rPr>
          <w:rFonts w:ascii="Times New Roman" w:hAnsi="Times New Roman" w:cs="Times New Roman"/>
          <w:sz w:val="24"/>
        </w:rPr>
        <w:t xml:space="preserve"> m. </w:t>
      </w:r>
      <w:r w:rsidR="00DF590A" w:rsidRPr="00431341">
        <w:rPr>
          <w:rFonts w:ascii="Times New Roman" w:hAnsi="Times New Roman" w:cs="Times New Roman"/>
          <w:sz w:val="24"/>
        </w:rPr>
        <w:t>rugsėj</w:t>
      </w:r>
      <w:r w:rsidR="00861CD6" w:rsidRPr="00431341">
        <w:rPr>
          <w:rFonts w:ascii="Times New Roman" w:hAnsi="Times New Roman" w:cs="Times New Roman"/>
          <w:sz w:val="24"/>
        </w:rPr>
        <w:t>o</w:t>
      </w:r>
      <w:r w:rsidRPr="00431341">
        <w:rPr>
          <w:rFonts w:ascii="Times New Roman" w:hAnsi="Times New Roman" w:cs="Times New Roman"/>
          <w:sz w:val="24"/>
        </w:rPr>
        <w:t xml:space="preserve"> </w:t>
      </w:r>
      <w:r w:rsidR="00DF590A" w:rsidRPr="00431341">
        <w:rPr>
          <w:rFonts w:ascii="Times New Roman" w:hAnsi="Times New Roman" w:cs="Times New Roman"/>
          <w:sz w:val="24"/>
        </w:rPr>
        <w:t>28</w:t>
      </w:r>
      <w:r w:rsidR="00BB0BFF" w:rsidRPr="00431341">
        <w:rPr>
          <w:rFonts w:ascii="Times New Roman" w:hAnsi="Times New Roman" w:cs="Times New Roman"/>
          <w:sz w:val="24"/>
        </w:rPr>
        <w:t xml:space="preserve"> </w:t>
      </w:r>
      <w:r w:rsidRPr="00431341">
        <w:rPr>
          <w:rFonts w:ascii="Times New Roman" w:hAnsi="Times New Roman" w:cs="Times New Roman"/>
          <w:sz w:val="24"/>
        </w:rPr>
        <w:t>d. Nr. T</w:t>
      </w:r>
      <w:r w:rsidR="00861CD6" w:rsidRPr="00431341">
        <w:rPr>
          <w:rFonts w:ascii="Times New Roman" w:hAnsi="Times New Roman" w:cs="Times New Roman"/>
          <w:sz w:val="24"/>
        </w:rPr>
        <w:t>2</w:t>
      </w:r>
      <w:r w:rsidR="00AD5ADC" w:rsidRPr="00431341">
        <w:rPr>
          <w:rFonts w:ascii="Times New Roman" w:hAnsi="Times New Roman" w:cs="Times New Roman"/>
          <w:sz w:val="24"/>
        </w:rPr>
        <w:t>-</w:t>
      </w:r>
    </w:p>
    <w:p w:rsidR="00AD5ADC" w:rsidRPr="00431341" w:rsidRDefault="00AD5ADC">
      <w:pPr>
        <w:pStyle w:val="Heading2"/>
        <w:rPr>
          <w:szCs w:val="24"/>
        </w:rPr>
      </w:pPr>
      <w:r w:rsidRPr="00431341">
        <w:t>Panevėžys</w:t>
      </w:r>
    </w:p>
    <w:p w:rsidR="00AD5ADC" w:rsidRPr="00431341" w:rsidRDefault="00AD5ADC">
      <w:pPr>
        <w:ind w:left="567"/>
        <w:jc w:val="both"/>
        <w:rPr>
          <w:sz w:val="24"/>
          <w:szCs w:val="24"/>
          <w:lang w:val="lt-LT"/>
        </w:rPr>
      </w:pPr>
    </w:p>
    <w:p w:rsidR="00861CD6" w:rsidRPr="00431341" w:rsidRDefault="00861CD6" w:rsidP="00861CD6">
      <w:pPr>
        <w:ind w:firstLine="720"/>
        <w:jc w:val="both"/>
        <w:rPr>
          <w:sz w:val="24"/>
          <w:lang w:val="lt-LT"/>
        </w:rPr>
      </w:pPr>
      <w:r w:rsidRPr="00431341">
        <w:rPr>
          <w:sz w:val="24"/>
          <w:lang w:val="lt-LT"/>
        </w:rPr>
        <w:t>Vadovaudamasi Lietuvos Respublik</w:t>
      </w:r>
      <w:r w:rsidR="00F77793" w:rsidRPr="00431341">
        <w:rPr>
          <w:sz w:val="24"/>
          <w:lang w:val="lt-LT"/>
        </w:rPr>
        <w:t>os vietos savivaldos įstatymo 15 straipsnio 4</w:t>
      </w:r>
      <w:r w:rsidR="00443689" w:rsidRPr="00431341">
        <w:rPr>
          <w:sz w:val="24"/>
          <w:lang w:val="lt-LT"/>
        </w:rPr>
        <w:t xml:space="preserve"> dali</w:t>
      </w:r>
      <w:r w:rsidR="00F77793" w:rsidRPr="00431341">
        <w:rPr>
          <w:sz w:val="24"/>
          <w:lang w:val="lt-LT"/>
        </w:rPr>
        <w:t>mi</w:t>
      </w:r>
      <w:r w:rsidR="00055093" w:rsidRPr="00431341">
        <w:rPr>
          <w:sz w:val="24"/>
          <w:lang w:val="lt-LT"/>
        </w:rPr>
        <w:t xml:space="preserve">, </w:t>
      </w:r>
      <w:r w:rsidR="00DF590A" w:rsidRPr="00431341">
        <w:rPr>
          <w:sz w:val="24"/>
          <w:lang w:val="lt-LT"/>
        </w:rPr>
        <w:t xml:space="preserve">Administracinių vienetų ir gyvenamųjų vietovių teritorijų ribų ir pavadinimų tvarkymo taisyklėmis, patvirtintomis </w:t>
      </w:r>
      <w:r w:rsidR="00873E52" w:rsidRPr="00431341">
        <w:rPr>
          <w:sz w:val="24"/>
          <w:lang w:val="lt-LT"/>
        </w:rPr>
        <w:t>Lietuvos Respublikos Vyriausybės</w:t>
      </w:r>
      <w:r w:rsidR="00F77793" w:rsidRPr="00431341">
        <w:rPr>
          <w:sz w:val="24"/>
          <w:lang w:val="lt-LT"/>
        </w:rPr>
        <w:t xml:space="preserve"> 1996 m. birželio 3 d. nutarimu</w:t>
      </w:r>
      <w:r w:rsidR="00055093" w:rsidRPr="00431341">
        <w:rPr>
          <w:sz w:val="24"/>
          <w:lang w:val="lt-LT"/>
        </w:rPr>
        <w:t xml:space="preserve"> </w:t>
      </w:r>
      <w:r w:rsidR="00873E52" w:rsidRPr="00431341">
        <w:rPr>
          <w:sz w:val="24"/>
          <w:lang w:val="lt-LT"/>
        </w:rPr>
        <w:t>Nr. 651</w:t>
      </w:r>
      <w:r w:rsidR="00DF590A" w:rsidRPr="00431341">
        <w:rPr>
          <w:sz w:val="24"/>
          <w:lang w:val="lt-LT"/>
        </w:rPr>
        <w:t xml:space="preserve"> </w:t>
      </w:r>
      <w:r w:rsidR="00431341">
        <w:rPr>
          <w:sz w:val="24"/>
          <w:lang w:val="lt-LT"/>
        </w:rPr>
        <w:t>„</w:t>
      </w:r>
      <w:r w:rsidR="00873E52" w:rsidRPr="00431341">
        <w:rPr>
          <w:sz w:val="24"/>
          <w:lang w:val="lt-LT"/>
        </w:rPr>
        <w:t>Dėl Administracinių vienetų ir gyvenamųjų vietovių teritorijų ribų ir pavadinimų tvarkymo taisyklių patvirtinimo</w:t>
      </w:r>
      <w:r w:rsidR="00431341">
        <w:rPr>
          <w:sz w:val="24"/>
          <w:lang w:val="lt-LT"/>
        </w:rPr>
        <w:t>“</w:t>
      </w:r>
      <w:r w:rsidRPr="00431341">
        <w:rPr>
          <w:sz w:val="24"/>
          <w:szCs w:val="24"/>
          <w:lang w:val="lt-LT"/>
        </w:rPr>
        <w:t>,</w:t>
      </w:r>
      <w:r w:rsidRPr="00431341">
        <w:rPr>
          <w:sz w:val="24"/>
          <w:szCs w:val="24"/>
          <w:shd w:val="clear" w:color="auto" w:fill="FFFFFF"/>
          <w:lang w:val="lt-LT"/>
        </w:rPr>
        <w:t xml:space="preserve"> </w:t>
      </w:r>
      <w:r w:rsidRPr="00431341">
        <w:rPr>
          <w:sz w:val="24"/>
          <w:lang w:val="lt-LT"/>
        </w:rPr>
        <w:t>Savivaldybės taryba n u s p r e n d ž i a:</w:t>
      </w:r>
    </w:p>
    <w:p w:rsidR="00055093" w:rsidRPr="00431341" w:rsidRDefault="00861CD6" w:rsidP="00861CD6">
      <w:pPr>
        <w:jc w:val="both"/>
        <w:rPr>
          <w:color w:val="000000"/>
          <w:sz w:val="24"/>
          <w:szCs w:val="24"/>
          <w:lang w:val="lt-LT"/>
        </w:rPr>
      </w:pPr>
      <w:r w:rsidRPr="00431341">
        <w:rPr>
          <w:sz w:val="24"/>
          <w:lang w:val="lt-LT"/>
        </w:rPr>
        <w:t xml:space="preserve">         </w:t>
      </w:r>
      <w:r w:rsidRPr="00431341">
        <w:rPr>
          <w:sz w:val="24"/>
          <w:lang w:val="lt-LT"/>
        </w:rPr>
        <w:tab/>
        <w:t xml:space="preserve">1. </w:t>
      </w:r>
      <w:r w:rsidR="00873E52" w:rsidRPr="00431341">
        <w:rPr>
          <w:sz w:val="24"/>
          <w:lang w:val="lt-LT"/>
        </w:rPr>
        <w:t>Keis</w:t>
      </w:r>
      <w:r w:rsidRPr="00431341">
        <w:rPr>
          <w:sz w:val="24"/>
          <w:lang w:val="lt-LT"/>
        </w:rPr>
        <w:t xml:space="preserve">ti </w:t>
      </w:r>
      <w:r w:rsidR="000E285B" w:rsidRPr="00431341">
        <w:rPr>
          <w:sz w:val="24"/>
          <w:lang w:val="lt-LT"/>
        </w:rPr>
        <w:t>kai kurių Panevėžio rajono gyvenamųjų vietovių teritorijų ribų, patvirtin</w:t>
      </w:r>
      <w:r w:rsidR="00BE6706" w:rsidRPr="00431341">
        <w:rPr>
          <w:sz w:val="24"/>
          <w:lang w:val="lt-LT"/>
        </w:rPr>
        <w:t>t</w:t>
      </w:r>
      <w:r w:rsidR="000E285B" w:rsidRPr="00431341">
        <w:rPr>
          <w:sz w:val="24"/>
          <w:lang w:val="lt-LT"/>
        </w:rPr>
        <w:t xml:space="preserve">ų </w:t>
      </w:r>
      <w:r w:rsidRPr="00431341">
        <w:rPr>
          <w:sz w:val="24"/>
          <w:szCs w:val="24"/>
          <w:lang w:val="lt-LT"/>
        </w:rPr>
        <w:t xml:space="preserve">Panevėžio </w:t>
      </w:r>
      <w:r w:rsidR="003761D6" w:rsidRPr="00431341">
        <w:rPr>
          <w:sz w:val="24"/>
          <w:szCs w:val="24"/>
          <w:lang w:val="lt-LT"/>
        </w:rPr>
        <w:t>rajono savivaldybės</w:t>
      </w:r>
      <w:r w:rsidR="00873E52" w:rsidRPr="00431341">
        <w:rPr>
          <w:sz w:val="24"/>
          <w:szCs w:val="24"/>
          <w:lang w:val="lt-LT"/>
        </w:rPr>
        <w:t xml:space="preserve"> tarybos 2011 m</w:t>
      </w:r>
      <w:r w:rsidR="00443689" w:rsidRPr="00431341">
        <w:rPr>
          <w:color w:val="000000"/>
          <w:sz w:val="24"/>
          <w:szCs w:val="24"/>
          <w:lang w:val="lt-LT"/>
        </w:rPr>
        <w:t>.</w:t>
      </w:r>
      <w:r w:rsidR="000E285B" w:rsidRPr="00431341">
        <w:rPr>
          <w:color w:val="000000"/>
          <w:sz w:val="24"/>
          <w:szCs w:val="24"/>
          <w:lang w:val="lt-LT"/>
        </w:rPr>
        <w:t xml:space="preserve"> vasario 23 d. sprendimu</w:t>
      </w:r>
      <w:r w:rsidR="00873E52" w:rsidRPr="00431341">
        <w:rPr>
          <w:color w:val="000000"/>
          <w:sz w:val="24"/>
          <w:szCs w:val="24"/>
          <w:lang w:val="lt-LT"/>
        </w:rPr>
        <w:t xml:space="preserve"> Nr. T-30 </w:t>
      </w:r>
      <w:r w:rsidR="00431341">
        <w:rPr>
          <w:color w:val="000000"/>
          <w:sz w:val="24"/>
          <w:szCs w:val="24"/>
          <w:lang w:val="lt-LT"/>
        </w:rPr>
        <w:t>„</w:t>
      </w:r>
      <w:r w:rsidR="00873E52" w:rsidRPr="00431341">
        <w:rPr>
          <w:color w:val="000000"/>
          <w:sz w:val="24"/>
          <w:szCs w:val="24"/>
          <w:lang w:val="lt-LT"/>
        </w:rPr>
        <w:t>Dėl kai kurių Panevėžio rajono savivaldybės gyvenamųjų vietovių pavadinimų keitimo, panaikinimo, teritorijų ribų nustatymo</w:t>
      </w:r>
      <w:r w:rsidR="00431341">
        <w:rPr>
          <w:color w:val="000000"/>
          <w:sz w:val="24"/>
          <w:szCs w:val="24"/>
          <w:lang w:val="lt-LT"/>
        </w:rPr>
        <w:t>“</w:t>
      </w:r>
      <w:r w:rsidR="000E285B" w:rsidRPr="00431341">
        <w:rPr>
          <w:color w:val="000000"/>
          <w:sz w:val="24"/>
          <w:szCs w:val="24"/>
          <w:lang w:val="lt-LT"/>
        </w:rPr>
        <w:t>, erdvinius duomenis.</w:t>
      </w:r>
    </w:p>
    <w:p w:rsidR="00861CD6" w:rsidRPr="00431341" w:rsidRDefault="00055093" w:rsidP="00861CD6">
      <w:pPr>
        <w:jc w:val="both"/>
        <w:rPr>
          <w:sz w:val="24"/>
          <w:szCs w:val="24"/>
          <w:lang w:val="lt-LT"/>
        </w:rPr>
      </w:pPr>
      <w:r w:rsidRPr="00431341">
        <w:rPr>
          <w:color w:val="000000"/>
          <w:sz w:val="24"/>
          <w:szCs w:val="24"/>
          <w:lang w:val="lt-LT"/>
        </w:rPr>
        <w:tab/>
        <w:t>2. Pavesti Panevėžio rajono savivaldybės administracijos Architektūros skyriui organizuoti gyvenamųjų vietovių teritorijų ribų planų parengimo ir derinimo procedūras teisės aktų nustatyta tvarka.</w:t>
      </w:r>
      <w:r w:rsidR="00861CD6" w:rsidRPr="00431341">
        <w:rPr>
          <w:color w:val="000000"/>
          <w:sz w:val="24"/>
          <w:szCs w:val="24"/>
          <w:lang w:val="lt-LT"/>
        </w:rPr>
        <w:t xml:space="preserve"> </w:t>
      </w:r>
    </w:p>
    <w:p w:rsidR="00861CD6" w:rsidRPr="00431341" w:rsidRDefault="00055093" w:rsidP="00861CD6">
      <w:pPr>
        <w:ind w:firstLine="720"/>
        <w:jc w:val="both"/>
        <w:rPr>
          <w:sz w:val="24"/>
          <w:lang w:val="lt-LT"/>
        </w:rPr>
      </w:pPr>
      <w:r w:rsidRPr="00431341">
        <w:rPr>
          <w:sz w:val="24"/>
          <w:lang w:val="lt-LT"/>
        </w:rPr>
        <w:t>3</w:t>
      </w:r>
      <w:r w:rsidR="00861CD6" w:rsidRPr="00431341">
        <w:rPr>
          <w:sz w:val="24"/>
          <w:lang w:val="lt-LT"/>
        </w:rPr>
        <w:t xml:space="preserve">. </w:t>
      </w:r>
      <w:r w:rsidR="00443689" w:rsidRPr="00431341">
        <w:rPr>
          <w:sz w:val="24"/>
          <w:lang w:val="lt-LT"/>
        </w:rPr>
        <w:t xml:space="preserve"> </w:t>
      </w:r>
      <w:r w:rsidR="00861CD6" w:rsidRPr="00431341">
        <w:rPr>
          <w:sz w:val="24"/>
          <w:lang w:val="lt-LT"/>
        </w:rPr>
        <w:t xml:space="preserve">Paskelbti šį sprendimą </w:t>
      </w:r>
      <w:r w:rsidR="00861CD6" w:rsidRPr="00431341">
        <w:rPr>
          <w:sz w:val="24"/>
          <w:szCs w:val="24"/>
          <w:lang w:val="lt-LT"/>
        </w:rPr>
        <w:t>savivaldybės interneto svetainėje.</w:t>
      </w:r>
    </w:p>
    <w:p w:rsidR="00443689" w:rsidRPr="00431341" w:rsidRDefault="00443689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973409" w:rsidRPr="00431341" w:rsidRDefault="004B6147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31341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Pr="00431341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Pr="00431341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Pr="00431341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Pr="00431341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Pr="00431341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Pr="00431341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Pr="00431341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Pr="00431341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Pr="00431341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AD5ADC" w:rsidRPr="00431341" w:rsidRDefault="00AD5ADC">
      <w:pPr>
        <w:rPr>
          <w:sz w:val="12"/>
          <w:szCs w:val="12"/>
          <w:lang w:val="lt-LT"/>
        </w:rPr>
      </w:pPr>
    </w:p>
    <w:p w:rsidR="00AD5ADC" w:rsidRPr="00431341" w:rsidRDefault="00AD5ADC">
      <w:pPr>
        <w:rPr>
          <w:sz w:val="12"/>
          <w:szCs w:val="12"/>
          <w:lang w:val="lt-LT"/>
        </w:rPr>
      </w:pPr>
    </w:p>
    <w:p w:rsidR="00AD5ADC" w:rsidRPr="00431341" w:rsidRDefault="00AD5ADC">
      <w:pPr>
        <w:rPr>
          <w:sz w:val="12"/>
          <w:szCs w:val="12"/>
          <w:lang w:val="lt-LT"/>
        </w:rPr>
      </w:pPr>
    </w:p>
    <w:p w:rsidR="00AD5ADC" w:rsidRPr="00431341" w:rsidRDefault="00AD5ADC">
      <w:pPr>
        <w:rPr>
          <w:sz w:val="12"/>
          <w:szCs w:val="12"/>
          <w:lang w:val="lt-LT"/>
        </w:rPr>
      </w:pPr>
    </w:p>
    <w:p w:rsidR="008E085A" w:rsidRPr="00431341" w:rsidRDefault="008E085A">
      <w:pPr>
        <w:rPr>
          <w:sz w:val="12"/>
          <w:szCs w:val="12"/>
          <w:lang w:val="lt-LT"/>
        </w:rPr>
      </w:pPr>
    </w:p>
    <w:p w:rsidR="008E085A" w:rsidRPr="00431341" w:rsidRDefault="008E085A">
      <w:pPr>
        <w:rPr>
          <w:sz w:val="12"/>
          <w:szCs w:val="12"/>
          <w:lang w:val="lt-LT"/>
        </w:rPr>
      </w:pPr>
    </w:p>
    <w:p w:rsidR="000714AB" w:rsidRPr="00431341" w:rsidRDefault="000714AB">
      <w:pPr>
        <w:rPr>
          <w:sz w:val="12"/>
          <w:szCs w:val="12"/>
          <w:lang w:val="lt-LT"/>
        </w:rPr>
      </w:pPr>
    </w:p>
    <w:p w:rsidR="000714AB" w:rsidRPr="00431341" w:rsidRDefault="000714AB">
      <w:pPr>
        <w:rPr>
          <w:sz w:val="12"/>
          <w:szCs w:val="12"/>
          <w:lang w:val="lt-LT"/>
        </w:rPr>
      </w:pPr>
    </w:p>
    <w:p w:rsidR="000714AB" w:rsidRPr="00431341" w:rsidRDefault="000714AB">
      <w:pPr>
        <w:rPr>
          <w:sz w:val="12"/>
          <w:szCs w:val="12"/>
          <w:lang w:val="lt-LT"/>
        </w:rPr>
      </w:pPr>
    </w:p>
    <w:p w:rsidR="00970375" w:rsidRPr="00431341" w:rsidRDefault="00970375">
      <w:pPr>
        <w:rPr>
          <w:sz w:val="12"/>
          <w:szCs w:val="12"/>
          <w:lang w:val="lt-LT"/>
        </w:rPr>
      </w:pPr>
    </w:p>
    <w:p w:rsidR="00970375" w:rsidRPr="00431341" w:rsidRDefault="00970375">
      <w:pPr>
        <w:rPr>
          <w:sz w:val="12"/>
          <w:szCs w:val="12"/>
          <w:lang w:val="lt-LT"/>
        </w:rPr>
      </w:pPr>
    </w:p>
    <w:p w:rsidR="00970375" w:rsidRPr="00431341" w:rsidRDefault="00970375">
      <w:pPr>
        <w:rPr>
          <w:sz w:val="12"/>
          <w:szCs w:val="12"/>
          <w:lang w:val="lt-LT"/>
        </w:rPr>
      </w:pPr>
    </w:p>
    <w:p w:rsidR="00970375" w:rsidRPr="00431341" w:rsidRDefault="00970375">
      <w:pPr>
        <w:rPr>
          <w:sz w:val="12"/>
          <w:szCs w:val="12"/>
          <w:lang w:val="lt-LT"/>
        </w:rPr>
      </w:pPr>
    </w:p>
    <w:p w:rsidR="00970375" w:rsidRPr="00431341" w:rsidRDefault="00970375">
      <w:pPr>
        <w:rPr>
          <w:sz w:val="12"/>
          <w:szCs w:val="12"/>
          <w:lang w:val="lt-LT"/>
        </w:rPr>
      </w:pPr>
    </w:p>
    <w:p w:rsidR="000714AB" w:rsidRPr="00431341" w:rsidRDefault="000714AB">
      <w:pPr>
        <w:rPr>
          <w:sz w:val="12"/>
          <w:szCs w:val="12"/>
          <w:lang w:val="lt-LT"/>
        </w:rPr>
      </w:pPr>
    </w:p>
    <w:p w:rsidR="000714AB" w:rsidRPr="00431341" w:rsidRDefault="000714AB">
      <w:pPr>
        <w:rPr>
          <w:sz w:val="12"/>
          <w:szCs w:val="12"/>
          <w:lang w:val="lt-LT"/>
        </w:rPr>
      </w:pPr>
    </w:p>
    <w:p w:rsidR="008E085A" w:rsidRPr="00431341" w:rsidRDefault="008E085A">
      <w:pPr>
        <w:rPr>
          <w:sz w:val="12"/>
          <w:szCs w:val="12"/>
          <w:lang w:val="lt-LT"/>
        </w:rPr>
      </w:pPr>
    </w:p>
    <w:p w:rsidR="00E35485" w:rsidRPr="00431341" w:rsidRDefault="00E35485">
      <w:pPr>
        <w:rPr>
          <w:sz w:val="12"/>
          <w:szCs w:val="12"/>
          <w:lang w:val="lt-LT"/>
        </w:rPr>
      </w:pPr>
    </w:p>
    <w:p w:rsidR="008E085A" w:rsidRPr="00431341" w:rsidRDefault="008E085A">
      <w:pPr>
        <w:rPr>
          <w:sz w:val="12"/>
          <w:szCs w:val="12"/>
          <w:lang w:val="lt-LT"/>
        </w:rPr>
      </w:pPr>
    </w:p>
    <w:p w:rsidR="00AD5ADC" w:rsidRPr="00431341" w:rsidRDefault="00AD5ADC">
      <w:pPr>
        <w:rPr>
          <w:sz w:val="12"/>
          <w:szCs w:val="12"/>
          <w:lang w:val="lt-LT"/>
        </w:rPr>
      </w:pPr>
    </w:p>
    <w:p w:rsidR="00AD5ADC" w:rsidRPr="00431341" w:rsidRDefault="00861CD6">
      <w:pPr>
        <w:rPr>
          <w:sz w:val="24"/>
          <w:szCs w:val="24"/>
          <w:lang w:val="lt-LT"/>
        </w:rPr>
      </w:pPr>
      <w:r w:rsidRPr="00431341">
        <w:rPr>
          <w:sz w:val="24"/>
          <w:szCs w:val="24"/>
          <w:lang w:val="lt-LT"/>
        </w:rPr>
        <w:t>Svaja Tre</w:t>
      </w:r>
      <w:r w:rsidR="00AD5ADC" w:rsidRPr="00431341">
        <w:rPr>
          <w:sz w:val="24"/>
          <w:szCs w:val="24"/>
          <w:lang w:val="lt-LT"/>
        </w:rPr>
        <w:t>č</w:t>
      </w:r>
      <w:r w:rsidRPr="00431341">
        <w:rPr>
          <w:sz w:val="24"/>
          <w:szCs w:val="24"/>
          <w:lang w:val="lt-LT"/>
        </w:rPr>
        <w:t>iok</w:t>
      </w:r>
      <w:r w:rsidR="00AD5ADC" w:rsidRPr="00431341">
        <w:rPr>
          <w:sz w:val="24"/>
          <w:szCs w:val="24"/>
          <w:lang w:val="lt-LT"/>
        </w:rPr>
        <w:t>ienė</w:t>
      </w:r>
    </w:p>
    <w:p w:rsidR="00AD5ADC" w:rsidRPr="00431341" w:rsidRDefault="00AD5ADC">
      <w:pPr>
        <w:rPr>
          <w:lang w:val="lt-LT"/>
        </w:rPr>
        <w:sectPr w:rsidR="00AD5ADC" w:rsidRPr="00431341">
          <w:headerReference w:type="first" r:id="rId8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 w:rsidRPr="00431341">
        <w:rPr>
          <w:sz w:val="24"/>
          <w:szCs w:val="24"/>
          <w:lang w:val="lt-LT"/>
        </w:rPr>
        <w:t>20</w:t>
      </w:r>
      <w:r w:rsidR="00643313" w:rsidRPr="00431341">
        <w:rPr>
          <w:sz w:val="24"/>
          <w:szCs w:val="24"/>
          <w:lang w:val="lt-LT"/>
        </w:rPr>
        <w:t>2</w:t>
      </w:r>
      <w:r w:rsidR="00A254D1" w:rsidRPr="00431341">
        <w:rPr>
          <w:sz w:val="24"/>
          <w:szCs w:val="24"/>
          <w:lang w:val="lt-LT"/>
        </w:rPr>
        <w:t>3</w:t>
      </w:r>
      <w:r w:rsidRPr="00431341">
        <w:rPr>
          <w:sz w:val="24"/>
          <w:szCs w:val="24"/>
          <w:lang w:val="lt-LT"/>
        </w:rPr>
        <w:t>-</w:t>
      </w:r>
      <w:r w:rsidR="00AF10AD" w:rsidRPr="00431341">
        <w:rPr>
          <w:sz w:val="24"/>
          <w:szCs w:val="24"/>
          <w:lang w:val="lt-LT"/>
        </w:rPr>
        <w:t>0</w:t>
      </w:r>
      <w:r w:rsidR="00BE6706" w:rsidRPr="00431341">
        <w:rPr>
          <w:sz w:val="24"/>
          <w:szCs w:val="24"/>
          <w:lang w:val="lt-LT"/>
        </w:rPr>
        <w:t>9</w:t>
      </w:r>
      <w:r w:rsidRPr="00431341">
        <w:rPr>
          <w:sz w:val="24"/>
          <w:szCs w:val="24"/>
          <w:lang w:val="lt-LT"/>
        </w:rPr>
        <w:t>-</w:t>
      </w:r>
      <w:r w:rsidR="00BE6706" w:rsidRPr="00431341">
        <w:rPr>
          <w:sz w:val="24"/>
          <w:szCs w:val="24"/>
          <w:lang w:val="lt-LT"/>
        </w:rPr>
        <w:t>1</w:t>
      </w:r>
      <w:r w:rsidR="003761D6" w:rsidRPr="00431341">
        <w:rPr>
          <w:sz w:val="24"/>
          <w:szCs w:val="24"/>
          <w:lang w:val="lt-LT"/>
        </w:rPr>
        <w:t>3</w:t>
      </w:r>
    </w:p>
    <w:p w:rsidR="00AD5ADC" w:rsidRPr="00431341" w:rsidRDefault="00AD5ADC">
      <w:pPr>
        <w:rPr>
          <w:sz w:val="24"/>
          <w:szCs w:val="24"/>
          <w:lang w:val="lt-LT"/>
        </w:rPr>
      </w:pPr>
    </w:p>
    <w:p w:rsidR="00E35485" w:rsidRPr="00431341" w:rsidRDefault="00E35485">
      <w:pPr>
        <w:rPr>
          <w:sz w:val="24"/>
          <w:szCs w:val="24"/>
          <w:lang w:val="lt-LT"/>
        </w:rPr>
      </w:pPr>
    </w:p>
    <w:p w:rsidR="00AD5ADC" w:rsidRPr="00431341" w:rsidRDefault="00AD5ADC">
      <w:pPr>
        <w:rPr>
          <w:sz w:val="24"/>
          <w:szCs w:val="24"/>
          <w:lang w:val="lt-LT"/>
        </w:rPr>
      </w:pPr>
      <w:r w:rsidRPr="00431341">
        <w:rPr>
          <w:sz w:val="24"/>
          <w:lang w:val="lt-LT"/>
        </w:rPr>
        <w:t>Panevėžio rajono savivaldybės tarybai</w:t>
      </w:r>
    </w:p>
    <w:p w:rsidR="00AD5ADC" w:rsidRPr="00431341" w:rsidRDefault="00AD5ADC">
      <w:pPr>
        <w:rPr>
          <w:sz w:val="24"/>
          <w:szCs w:val="24"/>
          <w:lang w:val="lt-LT"/>
        </w:rPr>
      </w:pPr>
    </w:p>
    <w:p w:rsidR="00AD5ADC" w:rsidRPr="00431341" w:rsidRDefault="00443689" w:rsidP="00431341">
      <w:pPr>
        <w:jc w:val="center"/>
        <w:rPr>
          <w:b/>
          <w:szCs w:val="24"/>
          <w:lang w:val="lt-LT"/>
        </w:rPr>
      </w:pPr>
      <w:r w:rsidRPr="00431341">
        <w:rPr>
          <w:b/>
          <w:lang w:val="lt-LT"/>
        </w:rPr>
        <w:t xml:space="preserve">       </w:t>
      </w:r>
      <w:r w:rsidR="000C60C6" w:rsidRPr="00431341">
        <w:rPr>
          <w:b/>
          <w:sz w:val="24"/>
          <w:szCs w:val="24"/>
          <w:lang w:val="lt-LT"/>
        </w:rPr>
        <w:t>SAVIVALDYBĖS TARYBOS</w:t>
      </w:r>
      <w:r w:rsidR="000C60C6" w:rsidRPr="00431341">
        <w:rPr>
          <w:sz w:val="24"/>
          <w:szCs w:val="24"/>
          <w:lang w:val="lt-LT"/>
        </w:rPr>
        <w:t xml:space="preserve"> </w:t>
      </w:r>
      <w:r w:rsidR="00BB0BFF" w:rsidRPr="00431341">
        <w:rPr>
          <w:b/>
          <w:sz w:val="24"/>
          <w:szCs w:val="24"/>
          <w:lang w:val="lt-LT"/>
        </w:rPr>
        <w:t>SPRENDIMO</w:t>
      </w:r>
      <w:r w:rsidR="00AD5ADC" w:rsidRPr="00431341">
        <w:rPr>
          <w:b/>
          <w:sz w:val="24"/>
          <w:szCs w:val="24"/>
          <w:lang w:val="lt-LT"/>
        </w:rPr>
        <w:t xml:space="preserve"> </w:t>
      </w:r>
      <w:r w:rsidR="00431341">
        <w:rPr>
          <w:b/>
          <w:sz w:val="24"/>
          <w:szCs w:val="24"/>
          <w:lang w:val="lt-LT"/>
        </w:rPr>
        <w:t>„</w:t>
      </w:r>
      <w:r w:rsidR="00BE6706" w:rsidRPr="00431341">
        <w:rPr>
          <w:b/>
          <w:sz w:val="24"/>
          <w:lang w:val="lt-LT"/>
        </w:rPr>
        <w:t xml:space="preserve">DĖL PANEVĖŽIO RAJONO SAVIVALDYBĖS TARYBOS 2011 M. VASARIO 23 D. SPRENDIMO NR. T-30 </w:t>
      </w:r>
      <w:r w:rsidR="00BE6706" w:rsidRPr="00431341">
        <w:rPr>
          <w:b/>
          <w:sz w:val="24"/>
          <w:szCs w:val="24"/>
          <w:lang w:val="lt-LT"/>
        </w:rPr>
        <w:t>,,</w:t>
      </w:r>
      <w:r w:rsidR="00BE6706" w:rsidRPr="00431341">
        <w:rPr>
          <w:b/>
          <w:sz w:val="24"/>
          <w:lang w:val="lt-LT"/>
        </w:rPr>
        <w:t>DĖL KAI KURIŲ PANEVĖŽIO RAJONO SAVIVALDYBĖS GYVENAMŲJŲ VIETOVIŲ PAVADINIMŲ KEITIMO, PANAIKINIMO, TERITORIJŲ RIBŲ NUSTATYMO</w:t>
      </w:r>
      <w:r w:rsidR="00431341">
        <w:rPr>
          <w:b/>
          <w:sz w:val="24"/>
          <w:lang w:val="lt-LT"/>
        </w:rPr>
        <w:t>“</w:t>
      </w:r>
      <w:r w:rsidR="00BE6706" w:rsidRPr="00431341">
        <w:rPr>
          <w:b/>
          <w:sz w:val="24"/>
          <w:lang w:val="lt-LT"/>
        </w:rPr>
        <w:t xml:space="preserve"> PAKEITIMO</w:t>
      </w:r>
      <w:r w:rsidR="00431341">
        <w:rPr>
          <w:b/>
          <w:sz w:val="24"/>
          <w:lang w:val="lt-LT"/>
        </w:rPr>
        <w:t xml:space="preserve">“ </w:t>
      </w:r>
      <w:r w:rsidR="00174203" w:rsidRPr="00431341">
        <w:rPr>
          <w:b/>
          <w:sz w:val="24"/>
          <w:szCs w:val="24"/>
          <w:lang w:val="lt-LT"/>
        </w:rPr>
        <w:t>AIŠKINAMASIS RAŠTAS</w:t>
      </w:r>
      <w:r w:rsidR="00174203" w:rsidRPr="00431341">
        <w:rPr>
          <w:b/>
          <w:szCs w:val="24"/>
          <w:lang w:val="lt-LT"/>
        </w:rPr>
        <w:t xml:space="preserve"> </w:t>
      </w:r>
    </w:p>
    <w:p w:rsidR="000C60C6" w:rsidRPr="00431341" w:rsidRDefault="000C60C6" w:rsidP="000C60C6">
      <w:pPr>
        <w:rPr>
          <w:sz w:val="24"/>
          <w:szCs w:val="24"/>
          <w:lang w:val="lt-LT"/>
        </w:rPr>
      </w:pPr>
    </w:p>
    <w:p w:rsidR="00AD5ADC" w:rsidRPr="00431341" w:rsidRDefault="00AD5ADC">
      <w:pPr>
        <w:jc w:val="center"/>
        <w:rPr>
          <w:sz w:val="24"/>
          <w:lang w:val="lt-LT"/>
        </w:rPr>
      </w:pPr>
      <w:r w:rsidRPr="00431341">
        <w:rPr>
          <w:sz w:val="24"/>
          <w:lang w:val="lt-LT"/>
        </w:rPr>
        <w:t>20</w:t>
      </w:r>
      <w:r w:rsidR="00643313" w:rsidRPr="00431341">
        <w:rPr>
          <w:sz w:val="24"/>
          <w:lang w:val="lt-LT"/>
        </w:rPr>
        <w:t>2</w:t>
      </w:r>
      <w:r w:rsidR="00E96F88" w:rsidRPr="00431341">
        <w:rPr>
          <w:sz w:val="24"/>
          <w:lang w:val="lt-LT"/>
        </w:rPr>
        <w:t>3</w:t>
      </w:r>
      <w:r w:rsidRPr="00431341">
        <w:rPr>
          <w:sz w:val="24"/>
          <w:lang w:val="lt-LT"/>
        </w:rPr>
        <w:t xml:space="preserve"> m. </w:t>
      </w:r>
      <w:r w:rsidR="003761D6" w:rsidRPr="00431341">
        <w:rPr>
          <w:sz w:val="24"/>
          <w:lang w:val="lt-LT"/>
        </w:rPr>
        <w:t>rugpjūčio</w:t>
      </w:r>
      <w:r w:rsidR="00294498" w:rsidRPr="00431341">
        <w:rPr>
          <w:sz w:val="24"/>
          <w:lang w:val="lt-LT"/>
        </w:rPr>
        <w:t xml:space="preserve"> </w:t>
      </w:r>
      <w:r w:rsidR="00BE6706" w:rsidRPr="00431341">
        <w:rPr>
          <w:sz w:val="24"/>
          <w:lang w:val="lt-LT"/>
        </w:rPr>
        <w:t>1</w:t>
      </w:r>
      <w:r w:rsidR="003761D6" w:rsidRPr="00431341">
        <w:rPr>
          <w:sz w:val="24"/>
          <w:lang w:val="lt-LT"/>
        </w:rPr>
        <w:t>3</w:t>
      </w:r>
      <w:r w:rsidRPr="00431341">
        <w:rPr>
          <w:sz w:val="24"/>
          <w:lang w:val="lt-LT"/>
        </w:rPr>
        <w:t xml:space="preserve"> d.</w:t>
      </w:r>
    </w:p>
    <w:p w:rsidR="00AD5ADC" w:rsidRPr="00431341" w:rsidRDefault="00AD5ADC">
      <w:pPr>
        <w:jc w:val="center"/>
        <w:rPr>
          <w:lang w:val="lt-LT"/>
        </w:rPr>
      </w:pPr>
      <w:r w:rsidRPr="00431341">
        <w:rPr>
          <w:sz w:val="24"/>
          <w:lang w:val="lt-LT"/>
        </w:rPr>
        <w:t>Panevėžys</w:t>
      </w:r>
    </w:p>
    <w:p w:rsidR="00AD5ADC" w:rsidRPr="00431341" w:rsidRDefault="00AD5ADC">
      <w:pPr>
        <w:jc w:val="center"/>
        <w:rPr>
          <w:sz w:val="24"/>
          <w:szCs w:val="24"/>
          <w:lang w:val="lt-LT"/>
        </w:rPr>
      </w:pPr>
    </w:p>
    <w:p w:rsidR="00174203" w:rsidRPr="00431341" w:rsidRDefault="00174203" w:rsidP="00174203">
      <w:pPr>
        <w:pStyle w:val="ListParagraph"/>
        <w:numPr>
          <w:ilvl w:val="0"/>
          <w:numId w:val="7"/>
        </w:numPr>
        <w:jc w:val="both"/>
        <w:rPr>
          <w:b/>
          <w:sz w:val="24"/>
          <w:lang w:val="lt-LT"/>
        </w:rPr>
      </w:pPr>
      <w:r w:rsidRPr="00431341">
        <w:rPr>
          <w:b/>
          <w:sz w:val="24"/>
          <w:lang w:val="lt-LT"/>
        </w:rPr>
        <w:t>Sprendimo projekto tikslai ir uždaviniai</w:t>
      </w:r>
    </w:p>
    <w:p w:rsidR="00443689" w:rsidRPr="00431341" w:rsidRDefault="00443689" w:rsidP="00443689">
      <w:pPr>
        <w:pStyle w:val="NoSpacing"/>
        <w:jc w:val="both"/>
        <w:rPr>
          <w:sz w:val="24"/>
          <w:szCs w:val="24"/>
        </w:rPr>
      </w:pPr>
      <w:r w:rsidRPr="00431341">
        <w:rPr>
          <w:sz w:val="24"/>
          <w:szCs w:val="24"/>
          <w:lang w:eastAsia="lt-LT"/>
        </w:rPr>
        <w:t xml:space="preserve">            Šiuo Savivaldybės tarybos sprendimu siūloma </w:t>
      </w:r>
      <w:r w:rsidR="00BE6706" w:rsidRPr="00431341">
        <w:rPr>
          <w:sz w:val="24"/>
          <w:szCs w:val="24"/>
          <w:lang w:eastAsia="lt-LT"/>
        </w:rPr>
        <w:t>keis</w:t>
      </w:r>
      <w:r w:rsidRPr="00431341">
        <w:rPr>
          <w:sz w:val="24"/>
          <w:szCs w:val="24"/>
          <w:lang w:eastAsia="lt-LT"/>
        </w:rPr>
        <w:t>ti</w:t>
      </w:r>
      <w:r w:rsidR="00BE6706" w:rsidRPr="00431341">
        <w:rPr>
          <w:sz w:val="24"/>
          <w:szCs w:val="24"/>
          <w:lang w:eastAsia="lt-LT"/>
        </w:rPr>
        <w:t xml:space="preserve"> (tikslinti)</w:t>
      </w:r>
      <w:r w:rsidRPr="00431341">
        <w:rPr>
          <w:sz w:val="24"/>
          <w:szCs w:val="24"/>
          <w:lang w:eastAsia="lt-LT"/>
        </w:rPr>
        <w:t xml:space="preserve"> </w:t>
      </w:r>
      <w:r w:rsidR="00BE6706" w:rsidRPr="00431341">
        <w:rPr>
          <w:sz w:val="24"/>
        </w:rPr>
        <w:t xml:space="preserve">kai kurių Panevėžio rajono gyvenamųjų vietovių teritorijų ribų planų, patvirtintų </w:t>
      </w:r>
      <w:r w:rsidR="00BE6706" w:rsidRPr="00431341">
        <w:rPr>
          <w:sz w:val="24"/>
          <w:szCs w:val="24"/>
        </w:rPr>
        <w:t>Panevėžio rajono savivaldybės tarybos 2011 m</w:t>
      </w:r>
      <w:r w:rsidR="00BE6706" w:rsidRPr="00431341">
        <w:rPr>
          <w:color w:val="000000"/>
          <w:sz w:val="24"/>
          <w:szCs w:val="24"/>
        </w:rPr>
        <w:t xml:space="preserve">. vasario 23 d. sprendimu Nr. T-30 </w:t>
      </w:r>
      <w:r w:rsidR="00431341">
        <w:rPr>
          <w:sz w:val="24"/>
          <w:szCs w:val="24"/>
        </w:rPr>
        <w:t>„</w:t>
      </w:r>
      <w:r w:rsidR="00BE6706" w:rsidRPr="00431341">
        <w:rPr>
          <w:color w:val="000000"/>
          <w:sz w:val="24"/>
          <w:szCs w:val="24"/>
        </w:rPr>
        <w:t>Dėl kai kurių Panevėžio rajono savivaldybės gyvenamųjų vietovių pavadinimų keitimo, panaikinimo, teritorijų ribų nustatymo</w:t>
      </w:r>
      <w:r w:rsidR="00431341">
        <w:rPr>
          <w:color w:val="000000"/>
          <w:sz w:val="24"/>
          <w:szCs w:val="24"/>
        </w:rPr>
        <w:t>“</w:t>
      </w:r>
      <w:r w:rsidR="00BE6706" w:rsidRPr="00431341">
        <w:rPr>
          <w:color w:val="000000"/>
          <w:sz w:val="24"/>
          <w:szCs w:val="24"/>
        </w:rPr>
        <w:t>, erdvinius duomenis. Erdviniai duomenys nuo 2011 metų keitėsi dėl atliktų kadastrinių matavimų vietoje buvusių preliminarių matavimų, sklypų padalijimo, sujungimo</w:t>
      </w:r>
      <w:r w:rsidR="00055093" w:rsidRPr="00431341">
        <w:rPr>
          <w:color w:val="000000"/>
          <w:sz w:val="24"/>
          <w:szCs w:val="24"/>
        </w:rPr>
        <w:t xml:space="preserve">, pasikeitusio hidrografinių </w:t>
      </w:r>
      <w:r w:rsidR="00886348" w:rsidRPr="00431341">
        <w:rPr>
          <w:color w:val="000000"/>
          <w:sz w:val="24"/>
          <w:szCs w:val="24"/>
        </w:rPr>
        <w:t xml:space="preserve">objektų </w:t>
      </w:r>
      <w:r w:rsidR="00055093" w:rsidRPr="00431341">
        <w:rPr>
          <w:color w:val="000000"/>
          <w:sz w:val="24"/>
          <w:szCs w:val="24"/>
        </w:rPr>
        <w:t>bei</w:t>
      </w:r>
      <w:r w:rsidR="00431341">
        <w:rPr>
          <w:color w:val="000000"/>
          <w:sz w:val="24"/>
          <w:szCs w:val="24"/>
        </w:rPr>
        <w:t>ir</w:t>
      </w:r>
      <w:r w:rsidR="00055093" w:rsidRPr="00431341">
        <w:rPr>
          <w:color w:val="000000"/>
          <w:sz w:val="24"/>
          <w:szCs w:val="24"/>
        </w:rPr>
        <w:t xml:space="preserve"> krašto kelių </w:t>
      </w:r>
      <w:r w:rsidR="00886348" w:rsidRPr="00431341">
        <w:rPr>
          <w:color w:val="000000"/>
          <w:sz w:val="24"/>
          <w:szCs w:val="24"/>
        </w:rPr>
        <w:t>ribų reglamentavimo</w:t>
      </w:r>
      <w:r w:rsidR="00BE6706" w:rsidRPr="00431341">
        <w:rPr>
          <w:color w:val="000000"/>
          <w:sz w:val="24"/>
          <w:szCs w:val="24"/>
        </w:rPr>
        <w:t>.</w:t>
      </w:r>
      <w:r w:rsidR="00886348" w:rsidRPr="00431341">
        <w:rPr>
          <w:color w:val="000000"/>
          <w:sz w:val="24"/>
          <w:szCs w:val="24"/>
        </w:rPr>
        <w:t xml:space="preserve"> Tik 2023 m. suderintos Panevėžio rajono ir Panevėžio miesto savivaldybių teritorijų </w:t>
      </w:r>
      <w:r w:rsidR="00886348" w:rsidRPr="00431341">
        <w:rPr>
          <w:sz w:val="24"/>
          <w:szCs w:val="24"/>
        </w:rPr>
        <w:t>ribos.</w:t>
      </w:r>
      <w:r w:rsidR="009B7866" w:rsidRPr="00431341">
        <w:rPr>
          <w:sz w:val="24"/>
          <w:szCs w:val="24"/>
        </w:rPr>
        <w:t xml:space="preserve"> </w:t>
      </w:r>
    </w:p>
    <w:p w:rsidR="00977851" w:rsidRPr="00431341" w:rsidRDefault="00886348" w:rsidP="00886348">
      <w:pPr>
        <w:pStyle w:val="NoSpacing"/>
        <w:ind w:firstLine="534"/>
        <w:rPr>
          <w:b/>
          <w:sz w:val="24"/>
          <w:szCs w:val="24"/>
        </w:rPr>
      </w:pPr>
      <w:r w:rsidRPr="00431341">
        <w:rPr>
          <w:b/>
          <w:sz w:val="24"/>
          <w:szCs w:val="24"/>
        </w:rPr>
        <w:t xml:space="preserve">   </w:t>
      </w:r>
      <w:r w:rsidR="00977851" w:rsidRPr="00431341">
        <w:rPr>
          <w:b/>
          <w:sz w:val="24"/>
          <w:szCs w:val="24"/>
        </w:rPr>
        <w:t xml:space="preserve">2. Siūlomos teisinio reguliavimo nuostatos </w:t>
      </w:r>
      <w:r w:rsidR="001466D3" w:rsidRPr="00431341">
        <w:rPr>
          <w:b/>
          <w:sz w:val="24"/>
          <w:szCs w:val="24"/>
        </w:rPr>
        <w:t>ir laukiami rezultatai</w:t>
      </w:r>
    </w:p>
    <w:p w:rsidR="00BC1ED0" w:rsidRPr="00431341" w:rsidRDefault="009B7866" w:rsidP="00BC1ED0">
      <w:pPr>
        <w:ind w:firstLine="534"/>
        <w:jc w:val="both"/>
        <w:rPr>
          <w:lang w:val="lt-LT"/>
        </w:rPr>
      </w:pPr>
      <w:r w:rsidRPr="00431341">
        <w:rPr>
          <w:sz w:val="24"/>
          <w:szCs w:val="24"/>
          <w:lang w:val="lt-LT" w:eastAsia="lt-LT"/>
        </w:rPr>
        <w:t xml:space="preserve">   </w:t>
      </w:r>
      <w:r w:rsidR="00BA72F5" w:rsidRPr="00431341">
        <w:rPr>
          <w:sz w:val="24"/>
          <w:szCs w:val="24"/>
          <w:lang w:val="lt-LT" w:eastAsia="lt-LT"/>
        </w:rPr>
        <w:t>Teisės aktų nustatyta tvarka</w:t>
      </w:r>
      <w:r w:rsidRPr="00431341">
        <w:rPr>
          <w:sz w:val="24"/>
          <w:szCs w:val="24"/>
          <w:lang w:val="lt-LT" w:eastAsia="lt-LT"/>
        </w:rPr>
        <w:t xml:space="preserve"> </w:t>
      </w:r>
      <w:r w:rsidRPr="00431341">
        <w:rPr>
          <w:sz w:val="24"/>
          <w:lang w:val="lt-LT"/>
        </w:rPr>
        <w:t>Panevėžio rajono gyvenamųjų vietovių teritorijų ribas</w:t>
      </w:r>
      <w:r w:rsidR="00BA72F5" w:rsidRPr="00431341">
        <w:rPr>
          <w:sz w:val="24"/>
          <w:szCs w:val="24"/>
          <w:lang w:val="lt-LT" w:eastAsia="lt-LT"/>
        </w:rPr>
        <w:t xml:space="preserve"> </w:t>
      </w:r>
      <w:r w:rsidR="00BE6706" w:rsidRPr="00431341">
        <w:rPr>
          <w:sz w:val="24"/>
          <w:szCs w:val="24"/>
          <w:lang w:val="lt-LT" w:eastAsia="lt-LT"/>
        </w:rPr>
        <w:t>t</w:t>
      </w:r>
      <w:r w:rsidRPr="00431341">
        <w:rPr>
          <w:sz w:val="24"/>
          <w:szCs w:val="24"/>
          <w:lang w:val="lt-LT" w:eastAsia="lt-LT"/>
        </w:rPr>
        <w:t xml:space="preserve">virtina Lietuvos Respublikos Vyriausybė. </w:t>
      </w:r>
    </w:p>
    <w:p w:rsidR="00977851" w:rsidRPr="00431341" w:rsidRDefault="001466D3" w:rsidP="00977851">
      <w:pPr>
        <w:ind w:firstLine="720"/>
        <w:jc w:val="both"/>
        <w:rPr>
          <w:b/>
          <w:sz w:val="24"/>
          <w:lang w:val="lt-LT"/>
        </w:rPr>
      </w:pPr>
      <w:r w:rsidRPr="00431341">
        <w:rPr>
          <w:b/>
          <w:sz w:val="24"/>
          <w:lang w:val="lt-LT"/>
        </w:rPr>
        <w:t>3</w:t>
      </w:r>
      <w:r w:rsidR="00977851" w:rsidRPr="00431341">
        <w:rPr>
          <w:b/>
          <w:sz w:val="24"/>
          <w:lang w:val="lt-LT"/>
        </w:rPr>
        <w:t xml:space="preserve">. Lėšų poreikis ir šaltiniai  </w:t>
      </w:r>
    </w:p>
    <w:p w:rsidR="00977851" w:rsidRPr="00431341" w:rsidRDefault="009B7866" w:rsidP="00977851">
      <w:pPr>
        <w:ind w:firstLine="720"/>
        <w:jc w:val="both"/>
        <w:rPr>
          <w:sz w:val="24"/>
          <w:shd w:val="clear" w:color="auto" w:fill="FFFFFF"/>
          <w:lang w:val="lt-LT"/>
        </w:rPr>
      </w:pPr>
      <w:r w:rsidRPr="00431341">
        <w:rPr>
          <w:sz w:val="24"/>
          <w:shd w:val="clear" w:color="auto" w:fill="FFFFFF"/>
          <w:lang w:val="lt-LT"/>
        </w:rPr>
        <w:t>Savivaldybės biudžeto lėšos (paslaugos atlikimas numatytas 2023 m</w:t>
      </w:r>
      <w:r w:rsidR="00977851" w:rsidRPr="00431341">
        <w:rPr>
          <w:sz w:val="24"/>
          <w:shd w:val="clear" w:color="auto" w:fill="FFFFFF"/>
          <w:lang w:val="lt-LT"/>
        </w:rPr>
        <w:t>.</w:t>
      </w:r>
      <w:r w:rsidRPr="00431341">
        <w:rPr>
          <w:sz w:val="24"/>
          <w:shd w:val="clear" w:color="auto" w:fill="FFFFFF"/>
          <w:lang w:val="lt-LT"/>
        </w:rPr>
        <w:t xml:space="preserve"> Viešųjų pirkimų plane).</w:t>
      </w:r>
    </w:p>
    <w:p w:rsidR="00627672" w:rsidRPr="00431341" w:rsidRDefault="001466D3" w:rsidP="00627672">
      <w:pPr>
        <w:ind w:firstLine="720"/>
        <w:jc w:val="both"/>
        <w:rPr>
          <w:b/>
          <w:sz w:val="24"/>
          <w:lang w:val="lt-LT"/>
        </w:rPr>
      </w:pPr>
      <w:r w:rsidRPr="00431341">
        <w:rPr>
          <w:b/>
          <w:sz w:val="24"/>
          <w:lang w:val="lt-LT"/>
        </w:rPr>
        <w:t>4</w:t>
      </w:r>
      <w:r w:rsidR="00627672" w:rsidRPr="00431341">
        <w:rPr>
          <w:b/>
          <w:sz w:val="24"/>
          <w:lang w:val="lt-LT"/>
        </w:rPr>
        <w:t>. Kiti sprendimui priimti reikalingi pagrindimai, skaičiavimai ar paaiškinimai</w:t>
      </w:r>
    </w:p>
    <w:p w:rsidR="00BA72F5" w:rsidRPr="00431341" w:rsidRDefault="00886348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431341">
        <w:rPr>
          <w:sz w:val="24"/>
          <w:lang w:val="lt-LT"/>
        </w:rPr>
        <w:t xml:space="preserve">Visa pagrindinė informacija dėl </w:t>
      </w:r>
      <w:r w:rsidRPr="00431341">
        <w:rPr>
          <w:color w:val="000000"/>
          <w:sz w:val="24"/>
          <w:szCs w:val="24"/>
          <w:lang w:val="lt-LT"/>
        </w:rPr>
        <w:t>Panevėžio rajono savivaldybės gyvenamųjų vietovių pavadinimų keitimo, panaikinimo, teritorijų ribų nustatymo</w:t>
      </w:r>
      <w:r w:rsidR="005F7E6D" w:rsidRPr="00431341">
        <w:rPr>
          <w:color w:val="000000"/>
          <w:sz w:val="24"/>
          <w:szCs w:val="24"/>
          <w:lang w:val="lt-LT"/>
        </w:rPr>
        <w:t xml:space="preserve"> kartu su gyventojų apklausomis</w:t>
      </w:r>
      <w:r w:rsidRPr="00431341">
        <w:rPr>
          <w:color w:val="000000"/>
          <w:sz w:val="24"/>
          <w:szCs w:val="24"/>
          <w:lang w:val="lt-LT"/>
        </w:rPr>
        <w:t xml:space="preserve"> liks galioti, o pakeisti (patikslinti) erdviniai duomenys ir aiškinamieji raštai bus tvirtinami Savivaldybės tarybos sprendimu.</w:t>
      </w:r>
    </w:p>
    <w:p w:rsidR="00886348" w:rsidRPr="00431341" w:rsidRDefault="00886348">
      <w:pPr>
        <w:ind w:firstLine="720"/>
        <w:jc w:val="both"/>
        <w:rPr>
          <w:color w:val="000000"/>
          <w:sz w:val="24"/>
          <w:szCs w:val="24"/>
          <w:lang w:val="lt-LT"/>
        </w:rPr>
      </w:pPr>
    </w:p>
    <w:p w:rsidR="00886348" w:rsidRPr="00431341" w:rsidRDefault="00886348">
      <w:pPr>
        <w:ind w:firstLine="720"/>
        <w:jc w:val="both"/>
        <w:rPr>
          <w:sz w:val="24"/>
          <w:lang w:val="lt-LT"/>
        </w:rPr>
      </w:pPr>
    </w:p>
    <w:p w:rsidR="00AD5ADC" w:rsidRPr="00431341" w:rsidRDefault="00AD5ADC">
      <w:pPr>
        <w:jc w:val="both"/>
        <w:rPr>
          <w:sz w:val="24"/>
          <w:lang w:val="lt-LT"/>
        </w:rPr>
        <w:sectPr w:rsidR="00AD5ADC" w:rsidRPr="00431341" w:rsidSect="00EA2FE8">
          <w:headerReference w:type="even" r:id="rId9"/>
          <w:headerReference w:type="default" r:id="rId10"/>
          <w:headerReference w:type="first" r:id="rId11"/>
          <w:pgSz w:w="11906" w:h="16820"/>
          <w:pgMar w:top="1701" w:right="567" w:bottom="1134" w:left="1701" w:header="720" w:footer="567" w:gutter="0"/>
          <w:cols w:space="1296"/>
          <w:titlePg/>
          <w:docGrid w:linePitch="360"/>
        </w:sectPr>
      </w:pPr>
      <w:r w:rsidRPr="00431341">
        <w:rPr>
          <w:sz w:val="24"/>
          <w:lang w:val="lt-LT"/>
        </w:rPr>
        <w:t xml:space="preserve">Vyr. </w:t>
      </w:r>
      <w:r w:rsidR="00EA2FE8" w:rsidRPr="00431341">
        <w:rPr>
          <w:sz w:val="24"/>
          <w:lang w:val="lt-LT"/>
        </w:rPr>
        <w:t>specialistė</w:t>
      </w:r>
      <w:r w:rsidR="00EA2FE8" w:rsidRPr="00431341">
        <w:rPr>
          <w:sz w:val="24"/>
          <w:lang w:val="lt-LT"/>
        </w:rPr>
        <w:tab/>
      </w:r>
      <w:r w:rsidR="00EA2FE8" w:rsidRPr="00431341">
        <w:rPr>
          <w:sz w:val="24"/>
          <w:lang w:val="lt-LT"/>
        </w:rPr>
        <w:tab/>
      </w:r>
      <w:r w:rsidR="00EA2FE8" w:rsidRPr="00431341">
        <w:rPr>
          <w:sz w:val="24"/>
          <w:lang w:val="lt-LT"/>
        </w:rPr>
        <w:tab/>
      </w:r>
      <w:r w:rsidR="00EA2FE8" w:rsidRPr="00431341">
        <w:rPr>
          <w:sz w:val="24"/>
          <w:lang w:val="lt-LT"/>
        </w:rPr>
        <w:tab/>
      </w:r>
      <w:r w:rsidR="00EA2FE8" w:rsidRPr="00431341">
        <w:rPr>
          <w:sz w:val="24"/>
          <w:lang w:val="lt-LT"/>
        </w:rPr>
        <w:tab/>
      </w:r>
      <w:r w:rsidR="00EA2FE8" w:rsidRPr="00431341">
        <w:rPr>
          <w:sz w:val="24"/>
          <w:lang w:val="lt-LT"/>
        </w:rPr>
        <w:tab/>
      </w:r>
      <w:r w:rsidR="00EA2FE8" w:rsidRPr="00431341">
        <w:rPr>
          <w:sz w:val="24"/>
          <w:lang w:val="lt-LT"/>
        </w:rPr>
        <w:tab/>
        <w:t xml:space="preserve">             </w:t>
      </w:r>
      <w:r w:rsidR="00443689" w:rsidRPr="00431341">
        <w:rPr>
          <w:sz w:val="24"/>
          <w:lang w:val="lt-LT"/>
        </w:rPr>
        <w:t xml:space="preserve"> </w:t>
      </w:r>
      <w:r w:rsidR="009E267B" w:rsidRPr="00431341">
        <w:rPr>
          <w:sz w:val="24"/>
          <w:lang w:val="lt-LT"/>
        </w:rPr>
        <w:t xml:space="preserve">   </w:t>
      </w:r>
      <w:r w:rsidR="00431341">
        <w:rPr>
          <w:sz w:val="24"/>
          <w:lang w:val="lt-LT"/>
        </w:rPr>
        <w:t xml:space="preserve">      </w:t>
      </w:r>
      <w:bookmarkStart w:id="0" w:name="_GoBack"/>
      <w:bookmarkEnd w:id="0"/>
      <w:r w:rsidR="00443689" w:rsidRPr="00431341">
        <w:rPr>
          <w:sz w:val="24"/>
          <w:szCs w:val="24"/>
          <w:lang w:val="lt-LT"/>
        </w:rPr>
        <w:t>Svaja Trečiok</w:t>
      </w:r>
      <w:r w:rsidRPr="00431341">
        <w:rPr>
          <w:sz w:val="24"/>
          <w:szCs w:val="24"/>
          <w:lang w:val="lt-LT"/>
        </w:rPr>
        <w:t>ienė</w:t>
      </w:r>
    </w:p>
    <w:p w:rsidR="00AD5ADC" w:rsidRPr="00431341" w:rsidRDefault="00AD5ADC">
      <w:pPr>
        <w:ind w:firstLine="720"/>
        <w:jc w:val="both"/>
        <w:rPr>
          <w:sz w:val="24"/>
          <w:lang w:val="lt-LT"/>
        </w:rPr>
      </w:pPr>
    </w:p>
    <w:sectPr w:rsidR="00AD5ADC" w:rsidRPr="00431341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BBD" w:rsidRDefault="00D62BBD">
      <w:r>
        <w:separator/>
      </w:r>
    </w:p>
  </w:endnote>
  <w:endnote w:type="continuationSeparator" w:id="0">
    <w:p w:rsidR="00D62BBD" w:rsidRDefault="00D6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BBD" w:rsidRDefault="00D62BBD">
      <w:r>
        <w:separator/>
      </w:r>
    </w:p>
  </w:footnote>
  <w:footnote w:type="continuationSeparator" w:id="0">
    <w:p w:rsidR="00D62BBD" w:rsidRDefault="00D62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ADC" w:rsidRDefault="00896320">
    <w:pPr>
      <w:pStyle w:val="Header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Header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Header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Header"/>
      <w:jc w:val="center"/>
    </w:pPr>
  </w:p>
  <w:p w:rsidR="00AD5ADC" w:rsidRDefault="00AD5ADC">
    <w:pPr>
      <w:pStyle w:val="Header"/>
      <w:jc w:val="center"/>
    </w:pPr>
  </w:p>
  <w:p w:rsidR="00AD5ADC" w:rsidRDefault="00AD5ADC">
    <w:pPr>
      <w:pStyle w:val="Header"/>
      <w:jc w:val="center"/>
    </w:pPr>
  </w:p>
  <w:p w:rsidR="00AD5ADC" w:rsidRDefault="00AD5ADC">
    <w:pPr>
      <w:pStyle w:val="Header"/>
      <w:jc w:val="center"/>
    </w:pPr>
  </w:p>
  <w:p w:rsidR="00AD5ADC" w:rsidRDefault="002C4E66" w:rsidP="002A17D0">
    <w:pPr>
      <w:pStyle w:val="Header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Header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Header"/>
      <w:jc w:val="center"/>
      <w:rPr>
        <w:b/>
        <w:caps/>
      </w:rPr>
    </w:pPr>
  </w:p>
  <w:p w:rsidR="00AD5ADC" w:rsidRDefault="00AD5ADC">
    <w:pPr>
      <w:pStyle w:val="Header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ADC" w:rsidRDefault="00AD5AD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ADC" w:rsidRDefault="00AD5A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ADC" w:rsidRDefault="00AD5ADC">
    <w:pPr>
      <w:pStyle w:val="Header"/>
      <w:jc w:val="center"/>
    </w:pPr>
  </w:p>
  <w:p w:rsidR="00AD5ADC" w:rsidRPr="00BB0BFF" w:rsidRDefault="00AD5ADC">
    <w:pPr>
      <w:pStyle w:val="Heading1"/>
      <w:jc w:val="center"/>
      <w:rPr>
        <w:b/>
        <w:szCs w:val="24"/>
      </w:rPr>
    </w:pPr>
    <w:r w:rsidRPr="00BB0BFF">
      <w:rPr>
        <w:b/>
        <w:szCs w:val="24"/>
      </w:rPr>
      <w:t>PANEVĖŽIO RAJONO SAVIVALDYBĖS ADMINISTRACIJOS</w:t>
    </w:r>
  </w:p>
  <w:p w:rsidR="00AD5ADC" w:rsidRPr="00BB0BFF" w:rsidRDefault="00AD5ADC">
    <w:pPr>
      <w:pStyle w:val="Header"/>
      <w:jc w:val="center"/>
      <w:rPr>
        <w:sz w:val="24"/>
        <w:szCs w:val="24"/>
      </w:rPr>
    </w:pPr>
    <w:r w:rsidRPr="00BB0BFF">
      <w:rPr>
        <w:b/>
        <w:sz w:val="24"/>
        <w:szCs w:val="24"/>
      </w:rPr>
      <w:t>ARCHITEKTŪROS SKYRIUS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D16BC"/>
    <w:multiLevelType w:val="hybridMultilevel"/>
    <w:tmpl w:val="833AC2AC"/>
    <w:lvl w:ilvl="0" w:tplc="FED26AE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5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BD74BC"/>
    <w:multiLevelType w:val="hybridMultilevel"/>
    <w:tmpl w:val="333E1D52"/>
    <w:lvl w:ilvl="0" w:tplc="5A40A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08"/>
    <w:rsid w:val="0000630E"/>
    <w:rsid w:val="00011211"/>
    <w:rsid w:val="00014FA9"/>
    <w:rsid w:val="00026A5E"/>
    <w:rsid w:val="00027AE8"/>
    <w:rsid w:val="00055093"/>
    <w:rsid w:val="00060810"/>
    <w:rsid w:val="00061128"/>
    <w:rsid w:val="000714AB"/>
    <w:rsid w:val="0007269F"/>
    <w:rsid w:val="00075C9C"/>
    <w:rsid w:val="00083BF8"/>
    <w:rsid w:val="000A3D47"/>
    <w:rsid w:val="000C1EFE"/>
    <w:rsid w:val="000C60C6"/>
    <w:rsid w:val="000D029C"/>
    <w:rsid w:val="000D5E27"/>
    <w:rsid w:val="000E03FA"/>
    <w:rsid w:val="000E0CEE"/>
    <w:rsid w:val="000E17FC"/>
    <w:rsid w:val="000E285B"/>
    <w:rsid w:val="000E5F7A"/>
    <w:rsid w:val="000F1247"/>
    <w:rsid w:val="000F1DE1"/>
    <w:rsid w:val="000F4308"/>
    <w:rsid w:val="00135E2E"/>
    <w:rsid w:val="00144654"/>
    <w:rsid w:val="001466D3"/>
    <w:rsid w:val="001534FC"/>
    <w:rsid w:val="00162EBD"/>
    <w:rsid w:val="00174203"/>
    <w:rsid w:val="0019307F"/>
    <w:rsid w:val="00197112"/>
    <w:rsid w:val="001A629C"/>
    <w:rsid w:val="001B68D9"/>
    <w:rsid w:val="001B6DCC"/>
    <w:rsid w:val="001C737D"/>
    <w:rsid w:val="001C73BA"/>
    <w:rsid w:val="001D13B5"/>
    <w:rsid w:val="001D3800"/>
    <w:rsid w:val="001D415E"/>
    <w:rsid w:val="001D60A2"/>
    <w:rsid w:val="001E6327"/>
    <w:rsid w:val="002103FD"/>
    <w:rsid w:val="00216062"/>
    <w:rsid w:val="0023046C"/>
    <w:rsid w:val="00257531"/>
    <w:rsid w:val="00280A05"/>
    <w:rsid w:val="00291ED4"/>
    <w:rsid w:val="00294498"/>
    <w:rsid w:val="00295EC7"/>
    <w:rsid w:val="002968B6"/>
    <w:rsid w:val="002A17D0"/>
    <w:rsid w:val="002C4E66"/>
    <w:rsid w:val="002C6366"/>
    <w:rsid w:val="002D561F"/>
    <w:rsid w:val="00310EDC"/>
    <w:rsid w:val="003127E8"/>
    <w:rsid w:val="00316C46"/>
    <w:rsid w:val="0031756A"/>
    <w:rsid w:val="00332716"/>
    <w:rsid w:val="00344B10"/>
    <w:rsid w:val="00350164"/>
    <w:rsid w:val="003761D6"/>
    <w:rsid w:val="003872EF"/>
    <w:rsid w:val="003B70D8"/>
    <w:rsid w:val="003C63E8"/>
    <w:rsid w:val="003D5A6F"/>
    <w:rsid w:val="003F157A"/>
    <w:rsid w:val="00400785"/>
    <w:rsid w:val="004123C0"/>
    <w:rsid w:val="00427203"/>
    <w:rsid w:val="00431341"/>
    <w:rsid w:val="00432772"/>
    <w:rsid w:val="00433024"/>
    <w:rsid w:val="00443689"/>
    <w:rsid w:val="0045249F"/>
    <w:rsid w:val="00471323"/>
    <w:rsid w:val="004740F7"/>
    <w:rsid w:val="0047641A"/>
    <w:rsid w:val="0048336B"/>
    <w:rsid w:val="0049031F"/>
    <w:rsid w:val="0049193C"/>
    <w:rsid w:val="004B1003"/>
    <w:rsid w:val="004B6147"/>
    <w:rsid w:val="004B6A2D"/>
    <w:rsid w:val="004D0687"/>
    <w:rsid w:val="004D0C24"/>
    <w:rsid w:val="004D4320"/>
    <w:rsid w:val="004D6F1F"/>
    <w:rsid w:val="004E3E31"/>
    <w:rsid w:val="004F2D31"/>
    <w:rsid w:val="00531BED"/>
    <w:rsid w:val="00541A72"/>
    <w:rsid w:val="00552792"/>
    <w:rsid w:val="00555279"/>
    <w:rsid w:val="0056294C"/>
    <w:rsid w:val="00562B4A"/>
    <w:rsid w:val="00563799"/>
    <w:rsid w:val="00572A18"/>
    <w:rsid w:val="005831BC"/>
    <w:rsid w:val="00584576"/>
    <w:rsid w:val="005A43FD"/>
    <w:rsid w:val="005A542C"/>
    <w:rsid w:val="005D1C7C"/>
    <w:rsid w:val="005E2FD4"/>
    <w:rsid w:val="005F3755"/>
    <w:rsid w:val="005F7E6D"/>
    <w:rsid w:val="00600F89"/>
    <w:rsid w:val="00602CF2"/>
    <w:rsid w:val="00605FB1"/>
    <w:rsid w:val="00606634"/>
    <w:rsid w:val="006108E9"/>
    <w:rsid w:val="00613F4C"/>
    <w:rsid w:val="00627672"/>
    <w:rsid w:val="0064099F"/>
    <w:rsid w:val="00642F1D"/>
    <w:rsid w:val="00643313"/>
    <w:rsid w:val="00647770"/>
    <w:rsid w:val="00647B34"/>
    <w:rsid w:val="00647BB8"/>
    <w:rsid w:val="00665C16"/>
    <w:rsid w:val="00695B82"/>
    <w:rsid w:val="006A0D1C"/>
    <w:rsid w:val="006A3D41"/>
    <w:rsid w:val="006D5032"/>
    <w:rsid w:val="006E1476"/>
    <w:rsid w:val="006E7488"/>
    <w:rsid w:val="006F5B84"/>
    <w:rsid w:val="00701ADD"/>
    <w:rsid w:val="0070333C"/>
    <w:rsid w:val="00703F85"/>
    <w:rsid w:val="00705D04"/>
    <w:rsid w:val="00715DA0"/>
    <w:rsid w:val="00723D09"/>
    <w:rsid w:val="00724CFA"/>
    <w:rsid w:val="0073228C"/>
    <w:rsid w:val="00741089"/>
    <w:rsid w:val="00744764"/>
    <w:rsid w:val="00756CE9"/>
    <w:rsid w:val="0076710D"/>
    <w:rsid w:val="007926E1"/>
    <w:rsid w:val="007B1E74"/>
    <w:rsid w:val="007D002E"/>
    <w:rsid w:val="007E0F4C"/>
    <w:rsid w:val="007E5575"/>
    <w:rsid w:val="007F35CE"/>
    <w:rsid w:val="007F57DF"/>
    <w:rsid w:val="007F6837"/>
    <w:rsid w:val="007F6EBB"/>
    <w:rsid w:val="00802724"/>
    <w:rsid w:val="00826789"/>
    <w:rsid w:val="00840EE9"/>
    <w:rsid w:val="00844419"/>
    <w:rsid w:val="00853666"/>
    <w:rsid w:val="00856A1A"/>
    <w:rsid w:val="00861CD6"/>
    <w:rsid w:val="00861F40"/>
    <w:rsid w:val="00862019"/>
    <w:rsid w:val="008651BA"/>
    <w:rsid w:val="00873E52"/>
    <w:rsid w:val="00886348"/>
    <w:rsid w:val="00890C31"/>
    <w:rsid w:val="008941A6"/>
    <w:rsid w:val="00896320"/>
    <w:rsid w:val="008A0793"/>
    <w:rsid w:val="008A6FB2"/>
    <w:rsid w:val="008D5B23"/>
    <w:rsid w:val="008E085A"/>
    <w:rsid w:val="008E454C"/>
    <w:rsid w:val="008E65C5"/>
    <w:rsid w:val="009348C2"/>
    <w:rsid w:val="0093573D"/>
    <w:rsid w:val="009601B5"/>
    <w:rsid w:val="009620F8"/>
    <w:rsid w:val="009640FB"/>
    <w:rsid w:val="00970375"/>
    <w:rsid w:val="00973268"/>
    <w:rsid w:val="00973409"/>
    <w:rsid w:val="0097740D"/>
    <w:rsid w:val="00977851"/>
    <w:rsid w:val="00983F9E"/>
    <w:rsid w:val="00994680"/>
    <w:rsid w:val="009B1EB1"/>
    <w:rsid w:val="009B3A36"/>
    <w:rsid w:val="009B7866"/>
    <w:rsid w:val="009C7F70"/>
    <w:rsid w:val="009E10EF"/>
    <w:rsid w:val="009E267B"/>
    <w:rsid w:val="009F188D"/>
    <w:rsid w:val="009F3916"/>
    <w:rsid w:val="009F4491"/>
    <w:rsid w:val="00A22C18"/>
    <w:rsid w:val="00A254D1"/>
    <w:rsid w:val="00A33D75"/>
    <w:rsid w:val="00A43A6C"/>
    <w:rsid w:val="00A453D8"/>
    <w:rsid w:val="00A51E88"/>
    <w:rsid w:val="00A53E04"/>
    <w:rsid w:val="00A65E46"/>
    <w:rsid w:val="00A722ED"/>
    <w:rsid w:val="00A757EA"/>
    <w:rsid w:val="00A75D51"/>
    <w:rsid w:val="00AC1732"/>
    <w:rsid w:val="00AC186E"/>
    <w:rsid w:val="00AC4906"/>
    <w:rsid w:val="00AD2618"/>
    <w:rsid w:val="00AD5ADC"/>
    <w:rsid w:val="00AE5E66"/>
    <w:rsid w:val="00AF10AD"/>
    <w:rsid w:val="00AF64CD"/>
    <w:rsid w:val="00B31CDD"/>
    <w:rsid w:val="00B52E5B"/>
    <w:rsid w:val="00B55CAF"/>
    <w:rsid w:val="00B66298"/>
    <w:rsid w:val="00B721E1"/>
    <w:rsid w:val="00B765A8"/>
    <w:rsid w:val="00B94A48"/>
    <w:rsid w:val="00BA41BB"/>
    <w:rsid w:val="00BA72F5"/>
    <w:rsid w:val="00BB0BFF"/>
    <w:rsid w:val="00BB1A48"/>
    <w:rsid w:val="00BB3B42"/>
    <w:rsid w:val="00BC1ED0"/>
    <w:rsid w:val="00BC770A"/>
    <w:rsid w:val="00BE6706"/>
    <w:rsid w:val="00C146C4"/>
    <w:rsid w:val="00C25B99"/>
    <w:rsid w:val="00C34B9A"/>
    <w:rsid w:val="00C515ED"/>
    <w:rsid w:val="00C627C2"/>
    <w:rsid w:val="00C7444B"/>
    <w:rsid w:val="00C950B1"/>
    <w:rsid w:val="00CA3F8D"/>
    <w:rsid w:val="00CA4383"/>
    <w:rsid w:val="00CF544A"/>
    <w:rsid w:val="00CF7516"/>
    <w:rsid w:val="00D002F9"/>
    <w:rsid w:val="00D070B2"/>
    <w:rsid w:val="00D076A8"/>
    <w:rsid w:val="00D2293F"/>
    <w:rsid w:val="00D27023"/>
    <w:rsid w:val="00D44CE3"/>
    <w:rsid w:val="00D46609"/>
    <w:rsid w:val="00D53960"/>
    <w:rsid w:val="00D61175"/>
    <w:rsid w:val="00D62BBD"/>
    <w:rsid w:val="00D7072D"/>
    <w:rsid w:val="00DB2B30"/>
    <w:rsid w:val="00DC28D1"/>
    <w:rsid w:val="00DC4B79"/>
    <w:rsid w:val="00DD34D7"/>
    <w:rsid w:val="00DE6A4E"/>
    <w:rsid w:val="00DF3A85"/>
    <w:rsid w:val="00DF590A"/>
    <w:rsid w:val="00E057D3"/>
    <w:rsid w:val="00E06385"/>
    <w:rsid w:val="00E144EB"/>
    <w:rsid w:val="00E25B6C"/>
    <w:rsid w:val="00E3068F"/>
    <w:rsid w:val="00E35485"/>
    <w:rsid w:val="00E36146"/>
    <w:rsid w:val="00E4326B"/>
    <w:rsid w:val="00E4440B"/>
    <w:rsid w:val="00E64244"/>
    <w:rsid w:val="00E87F36"/>
    <w:rsid w:val="00E96F88"/>
    <w:rsid w:val="00E97844"/>
    <w:rsid w:val="00EA2FE8"/>
    <w:rsid w:val="00EA5B23"/>
    <w:rsid w:val="00EA6A56"/>
    <w:rsid w:val="00EB23A9"/>
    <w:rsid w:val="00EC501B"/>
    <w:rsid w:val="00ED1309"/>
    <w:rsid w:val="00ED1604"/>
    <w:rsid w:val="00EF11D4"/>
    <w:rsid w:val="00F22B92"/>
    <w:rsid w:val="00F3050D"/>
    <w:rsid w:val="00F51DE5"/>
    <w:rsid w:val="00F67151"/>
    <w:rsid w:val="00F77793"/>
    <w:rsid w:val="00F914AC"/>
    <w:rsid w:val="00F96CC3"/>
    <w:rsid w:val="00FB0DB7"/>
    <w:rsid w:val="00FC26DE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5D91381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val="en-AU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ageNumber">
    <w:name w:val="page number"/>
    <w:basedOn w:val="Numatytasispastraiposriftas3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jc w:val="center"/>
    </w:pPr>
    <w:rPr>
      <w:sz w:val="24"/>
      <w:lang w:val="lt-LT"/>
    </w:rPr>
  </w:style>
  <w:style w:type="paragraph" w:styleId="BodyText">
    <w:name w:val="Body Text"/>
    <w:basedOn w:val="Normal"/>
    <w:pPr>
      <w:jc w:val="center"/>
    </w:pPr>
    <w:rPr>
      <w:b/>
      <w:sz w:val="28"/>
      <w:lang w:val="lt-LT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Normal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BodyTextIndent">
    <w:name w:val="Body Text Indent"/>
    <w:basedOn w:val="Normal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Normal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5E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0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7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793"/>
    <w:rPr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793"/>
    <w:rPr>
      <w:b/>
      <w:bCs/>
      <w:lang w:val="en-AU" w:eastAsia="zh-CN"/>
    </w:rPr>
  </w:style>
  <w:style w:type="paragraph" w:styleId="Revision">
    <w:name w:val="Revision"/>
    <w:hidden/>
    <w:uiPriority w:val="99"/>
    <w:semiHidden/>
    <w:rsid w:val="008A0793"/>
    <w:rPr>
      <w:lang w:val="en-AU" w:eastAsia="zh-CN"/>
    </w:rPr>
  </w:style>
  <w:style w:type="paragraph" w:styleId="NoSpacing">
    <w:name w:val="No Spacing"/>
    <w:uiPriority w:val="1"/>
    <w:qFormat/>
    <w:rsid w:val="0044368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CACC4-9F91-46D6-87A4-3A8B298A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User</cp:lastModifiedBy>
  <cp:revision>2</cp:revision>
  <cp:lastPrinted>2023-09-13T10:31:00Z</cp:lastPrinted>
  <dcterms:created xsi:type="dcterms:W3CDTF">2023-09-14T12:55:00Z</dcterms:created>
  <dcterms:modified xsi:type="dcterms:W3CDTF">2023-09-14T12:55:00Z</dcterms:modified>
</cp:coreProperties>
</file>