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A583A" w:rsidRDefault="002A583A">
      <w:pPr>
        <w:pStyle w:val="BodyTextIndent"/>
        <w:ind w:left="0"/>
        <w:jc w:val="center"/>
      </w:pPr>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462685325" r:id="rId8"/>
        </w:object>
      </w:r>
      <w:r>
        <w:tab/>
      </w:r>
      <w:r>
        <w:tab/>
      </w:r>
      <w:r>
        <w:tab/>
        <w:t>Projektas</w:t>
      </w:r>
    </w:p>
    <w:p w:rsidR="002A583A" w:rsidRDefault="002A583A">
      <w:pPr>
        <w:pStyle w:val="Header"/>
        <w:jc w:val="center"/>
      </w:pPr>
    </w:p>
    <w:p w:rsidR="002A583A" w:rsidRDefault="002A583A">
      <w:pPr>
        <w:pStyle w:val="Header"/>
        <w:jc w:val="center"/>
        <w:rPr>
          <w:b/>
          <w:caps/>
          <w:sz w:val="28"/>
        </w:rPr>
      </w:pPr>
      <w:r>
        <w:rPr>
          <w:b/>
          <w:caps/>
          <w:sz w:val="28"/>
        </w:rPr>
        <w:t>panevėžio rajono savivaldybės taryba</w:t>
      </w:r>
    </w:p>
    <w:p w:rsidR="002A583A" w:rsidRDefault="002A583A">
      <w:pPr>
        <w:pStyle w:val="Header"/>
        <w:jc w:val="center"/>
        <w:rPr>
          <w:b/>
          <w:caps/>
          <w:sz w:val="28"/>
        </w:rPr>
      </w:pPr>
    </w:p>
    <w:p w:rsidR="002A583A" w:rsidRDefault="002A583A">
      <w:pPr>
        <w:pStyle w:val="Header"/>
        <w:jc w:val="center"/>
        <w:rPr>
          <w:b/>
          <w:bCs/>
          <w:caps/>
          <w:sz w:val="24"/>
          <w:szCs w:val="24"/>
        </w:rPr>
      </w:pPr>
      <w:r>
        <w:rPr>
          <w:b/>
          <w:caps/>
          <w:sz w:val="28"/>
          <w:szCs w:val="28"/>
        </w:rPr>
        <w:t>sprendimas</w:t>
      </w:r>
    </w:p>
    <w:p w:rsidR="002A583A" w:rsidRDefault="002A583A">
      <w:pPr>
        <w:jc w:val="center"/>
        <w:rPr>
          <w:sz w:val="24"/>
          <w:szCs w:val="24"/>
        </w:rPr>
      </w:pPr>
      <w:r>
        <w:rPr>
          <w:b/>
          <w:bCs/>
          <w:caps/>
          <w:sz w:val="24"/>
          <w:szCs w:val="24"/>
        </w:rPr>
        <w:t xml:space="preserve">Dėl </w:t>
      </w:r>
      <w:r w:rsidR="00F87312">
        <w:rPr>
          <w:b/>
          <w:bCs/>
          <w:caps/>
          <w:sz w:val="24"/>
          <w:szCs w:val="24"/>
        </w:rPr>
        <w:t>UAB „Lenauda“ 2014–2018 metų investicijų plano derinimo</w:t>
      </w:r>
    </w:p>
    <w:p w:rsidR="002A583A" w:rsidRDefault="002A583A">
      <w:pPr>
        <w:rPr>
          <w:sz w:val="24"/>
          <w:szCs w:val="24"/>
        </w:rPr>
      </w:pPr>
    </w:p>
    <w:p w:rsidR="002A583A" w:rsidRDefault="002A583A">
      <w:pPr>
        <w:jc w:val="center"/>
        <w:rPr>
          <w:sz w:val="24"/>
          <w:szCs w:val="24"/>
        </w:rPr>
      </w:pPr>
    </w:p>
    <w:p w:rsidR="002A583A" w:rsidRDefault="002A583A">
      <w:pPr>
        <w:jc w:val="center"/>
        <w:rPr>
          <w:sz w:val="24"/>
          <w:szCs w:val="24"/>
        </w:rPr>
      </w:pPr>
      <w:r>
        <w:rPr>
          <w:sz w:val="24"/>
          <w:szCs w:val="24"/>
        </w:rPr>
        <w:t xml:space="preserve">2014 m. </w:t>
      </w:r>
      <w:r w:rsidR="00364F79">
        <w:rPr>
          <w:sz w:val="24"/>
          <w:szCs w:val="24"/>
        </w:rPr>
        <w:t>birželio</w:t>
      </w:r>
      <w:r>
        <w:rPr>
          <w:sz w:val="24"/>
          <w:szCs w:val="24"/>
        </w:rPr>
        <w:t xml:space="preserve"> </w:t>
      </w:r>
      <w:r w:rsidR="00364F79">
        <w:rPr>
          <w:sz w:val="24"/>
          <w:szCs w:val="24"/>
        </w:rPr>
        <w:t>19</w:t>
      </w:r>
      <w:r>
        <w:rPr>
          <w:sz w:val="24"/>
          <w:szCs w:val="24"/>
        </w:rPr>
        <w:t xml:space="preserve"> d. Nr. T-</w:t>
      </w:r>
    </w:p>
    <w:p w:rsidR="002A583A" w:rsidRDefault="002A583A">
      <w:pPr>
        <w:jc w:val="center"/>
        <w:rPr>
          <w:sz w:val="24"/>
          <w:szCs w:val="24"/>
        </w:rPr>
      </w:pPr>
      <w:r>
        <w:rPr>
          <w:sz w:val="24"/>
          <w:szCs w:val="24"/>
        </w:rPr>
        <w:t>Panevėžys</w:t>
      </w:r>
    </w:p>
    <w:p w:rsidR="002A583A" w:rsidRDefault="002A583A">
      <w:pPr>
        <w:jc w:val="center"/>
        <w:rPr>
          <w:sz w:val="24"/>
          <w:szCs w:val="24"/>
        </w:rPr>
      </w:pPr>
    </w:p>
    <w:p w:rsidR="002A583A" w:rsidRDefault="002A583A">
      <w:pPr>
        <w:jc w:val="both"/>
        <w:rPr>
          <w:sz w:val="24"/>
          <w:szCs w:val="24"/>
        </w:rPr>
      </w:pPr>
      <w:r>
        <w:rPr>
          <w:sz w:val="24"/>
          <w:szCs w:val="24"/>
        </w:rPr>
        <w:t xml:space="preserve"> </w:t>
      </w:r>
    </w:p>
    <w:p w:rsidR="002A583A" w:rsidRDefault="002A583A">
      <w:pPr>
        <w:ind w:firstLine="567"/>
        <w:jc w:val="both"/>
        <w:rPr>
          <w:sz w:val="24"/>
          <w:szCs w:val="24"/>
        </w:rPr>
      </w:pPr>
      <w:r>
        <w:rPr>
          <w:sz w:val="24"/>
          <w:szCs w:val="24"/>
        </w:rPr>
        <w:t xml:space="preserve">Vadovaudamasi </w:t>
      </w:r>
      <w:r w:rsidR="00040794">
        <w:rPr>
          <w:sz w:val="24"/>
        </w:rPr>
        <w:t xml:space="preserve">Panevėžio rajono </w:t>
      </w:r>
      <w:proofErr w:type="gramStart"/>
      <w:r w:rsidR="00040794">
        <w:rPr>
          <w:sz w:val="24"/>
        </w:rPr>
        <w:t>savivaldybės tarybos</w:t>
      </w:r>
      <w:proofErr w:type="gramEnd"/>
      <w:r w:rsidR="00040794">
        <w:rPr>
          <w:sz w:val="24"/>
        </w:rPr>
        <w:t xml:space="preserve"> 2011 m. lapkričio 10 d. sprendimu Nr. T-245 </w:t>
      </w:r>
      <w:r w:rsidR="00364F79">
        <w:rPr>
          <w:sz w:val="24"/>
        </w:rPr>
        <w:t>„Dėl Šilumos ūkio investicinių planų derinimo tvarkos aprašo patvirtinimo“</w:t>
      </w:r>
      <w:r>
        <w:rPr>
          <w:sz w:val="24"/>
          <w:szCs w:val="24"/>
        </w:rPr>
        <w:t xml:space="preserve">, </w:t>
      </w:r>
      <w:r w:rsidR="00A531BC">
        <w:rPr>
          <w:sz w:val="24"/>
        </w:rPr>
        <w:t>Panevėžio rajono savivaldybės</w:t>
      </w:r>
      <w:r>
        <w:rPr>
          <w:sz w:val="24"/>
          <w:szCs w:val="24"/>
        </w:rPr>
        <w:t xml:space="preserve"> taryba n u s p r e n d ž i a:</w:t>
      </w:r>
    </w:p>
    <w:p w:rsidR="002A583A" w:rsidRDefault="00F87312">
      <w:pPr>
        <w:ind w:firstLine="567"/>
        <w:jc w:val="both"/>
        <w:rPr>
          <w:sz w:val="24"/>
          <w:szCs w:val="24"/>
        </w:rPr>
      </w:pPr>
      <w:r>
        <w:rPr>
          <w:sz w:val="24"/>
          <w:szCs w:val="24"/>
        </w:rPr>
        <w:t>Suderinti UAB „Lenauda“ 2014–2018 metų investicijų planą (pridedama)</w:t>
      </w:r>
      <w:r w:rsidR="002A583A">
        <w:rPr>
          <w:sz w:val="24"/>
          <w:szCs w:val="24"/>
        </w:rPr>
        <w:t>.</w:t>
      </w:r>
    </w:p>
    <w:p w:rsidR="002A583A" w:rsidRDefault="002A583A">
      <w:pPr>
        <w:jc w:val="both"/>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2A583A" w:rsidRDefault="002A583A">
      <w:pPr>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F87312" w:rsidRDefault="00F87312">
      <w:pPr>
        <w:ind w:left="3888" w:firstLine="1296"/>
        <w:jc w:val="both"/>
        <w:rPr>
          <w:sz w:val="24"/>
          <w:szCs w:val="24"/>
        </w:rPr>
      </w:pPr>
    </w:p>
    <w:p w:rsidR="00364F79" w:rsidRDefault="00364F79">
      <w:pPr>
        <w:ind w:left="3888" w:firstLine="1296"/>
        <w:jc w:val="both"/>
        <w:rPr>
          <w:sz w:val="24"/>
          <w:szCs w:val="24"/>
        </w:rPr>
      </w:pPr>
    </w:p>
    <w:p w:rsidR="002A583A" w:rsidRDefault="002A583A">
      <w:pPr>
        <w:ind w:left="3888" w:firstLine="1296"/>
        <w:jc w:val="both"/>
        <w:rPr>
          <w:sz w:val="24"/>
          <w:szCs w:val="24"/>
        </w:rPr>
      </w:pPr>
      <w:r>
        <w:rPr>
          <w:sz w:val="24"/>
          <w:szCs w:val="24"/>
        </w:rPr>
        <w:lastRenderedPageBreak/>
        <w:t>PATVIRTINTA</w:t>
      </w:r>
    </w:p>
    <w:p w:rsidR="002A583A" w:rsidRDefault="002A583A">
      <w:pPr>
        <w:ind w:left="3888" w:firstLine="1296"/>
        <w:jc w:val="both"/>
        <w:rPr>
          <w:sz w:val="24"/>
          <w:szCs w:val="24"/>
        </w:rPr>
      </w:pPr>
      <w:r>
        <w:rPr>
          <w:sz w:val="24"/>
          <w:szCs w:val="24"/>
        </w:rPr>
        <w:t xml:space="preserve">Panevėžio rajono </w:t>
      </w:r>
      <w:proofErr w:type="gramStart"/>
      <w:r>
        <w:rPr>
          <w:sz w:val="24"/>
          <w:szCs w:val="24"/>
        </w:rPr>
        <w:t>savivaldybės tarybos</w:t>
      </w:r>
      <w:proofErr w:type="gramEnd"/>
    </w:p>
    <w:p w:rsidR="002A583A" w:rsidRDefault="002A583A">
      <w:pPr>
        <w:ind w:left="3888" w:firstLine="1296"/>
        <w:jc w:val="both"/>
        <w:rPr>
          <w:sz w:val="24"/>
          <w:szCs w:val="24"/>
        </w:rPr>
      </w:pPr>
      <w:r>
        <w:rPr>
          <w:sz w:val="24"/>
          <w:szCs w:val="24"/>
        </w:rPr>
        <w:t xml:space="preserve">2014 m. </w:t>
      </w:r>
      <w:r w:rsidR="00364F79">
        <w:rPr>
          <w:sz w:val="24"/>
          <w:szCs w:val="24"/>
        </w:rPr>
        <w:t>birželio</w:t>
      </w:r>
      <w:r>
        <w:rPr>
          <w:sz w:val="24"/>
          <w:szCs w:val="24"/>
        </w:rPr>
        <w:t xml:space="preserve"> </w:t>
      </w:r>
      <w:r w:rsidR="00364F79">
        <w:rPr>
          <w:sz w:val="24"/>
          <w:szCs w:val="24"/>
        </w:rPr>
        <w:t>19</w:t>
      </w:r>
      <w:r>
        <w:rPr>
          <w:sz w:val="24"/>
          <w:szCs w:val="24"/>
        </w:rPr>
        <w:t xml:space="preserve"> d. sprendimu Nr. T-</w:t>
      </w:r>
      <w:proofErr w:type="gramStart"/>
      <w:r>
        <w:rPr>
          <w:sz w:val="24"/>
          <w:szCs w:val="24"/>
        </w:rPr>
        <w:t xml:space="preserve">                                                             </w:t>
      </w:r>
      <w:proofErr w:type="gramEnd"/>
    </w:p>
    <w:p w:rsidR="00364F79" w:rsidRDefault="002A583A">
      <w:pPr>
        <w:jc w:val="both"/>
        <w:rPr>
          <w:sz w:val="24"/>
          <w:szCs w:val="24"/>
        </w:rPr>
      </w:pPr>
      <w:r>
        <w:rPr>
          <w:sz w:val="24"/>
          <w:szCs w:val="24"/>
        </w:rPr>
        <w:t xml:space="preserve">                                                               </w:t>
      </w:r>
    </w:p>
    <w:p w:rsidR="002A583A" w:rsidRDefault="002A583A">
      <w:pPr>
        <w:jc w:val="both"/>
        <w:rPr>
          <w:b/>
          <w:sz w:val="24"/>
          <w:szCs w:val="24"/>
        </w:rPr>
      </w:pPr>
      <w:r>
        <w:rPr>
          <w:sz w:val="24"/>
          <w:szCs w:val="24"/>
        </w:rPr>
        <w:t xml:space="preserve">                          </w:t>
      </w:r>
    </w:p>
    <w:p w:rsidR="002A583A" w:rsidRPr="00364F79" w:rsidRDefault="00364F79" w:rsidP="00364F79">
      <w:pPr>
        <w:jc w:val="center"/>
        <w:rPr>
          <w:b/>
          <w:caps/>
          <w:sz w:val="24"/>
          <w:szCs w:val="24"/>
        </w:rPr>
      </w:pPr>
      <w:r w:rsidRPr="00364F79">
        <w:rPr>
          <w:b/>
          <w:caps/>
          <w:sz w:val="24"/>
          <w:szCs w:val="24"/>
        </w:rPr>
        <w:t>UAB „Lenauda“ 2014–2018 metų investicijų plan</w:t>
      </w:r>
      <w:r>
        <w:rPr>
          <w:b/>
          <w:caps/>
          <w:sz w:val="24"/>
          <w:szCs w:val="24"/>
        </w:rPr>
        <w:t>as</w:t>
      </w:r>
    </w:p>
    <w:p w:rsidR="00364F79" w:rsidRDefault="00364F79">
      <w:pPr>
        <w:rPr>
          <w:sz w:val="24"/>
          <w:szCs w:val="24"/>
        </w:rPr>
      </w:pPr>
    </w:p>
    <w:p w:rsidR="00364F79" w:rsidRDefault="00364F7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09"/>
        <w:gridCol w:w="1095"/>
        <w:gridCol w:w="1369"/>
        <w:gridCol w:w="2464"/>
      </w:tblGrid>
      <w:tr w:rsidR="00364F79" w:rsidRPr="002A583A" w:rsidTr="002A583A">
        <w:tc>
          <w:tcPr>
            <w:tcW w:w="817"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Eil.</w:t>
            </w:r>
          </w:p>
          <w:p w:rsidR="00364F79" w:rsidRPr="002A583A" w:rsidRDefault="00364F79" w:rsidP="002A583A">
            <w:pPr>
              <w:pStyle w:val="Header"/>
              <w:tabs>
                <w:tab w:val="clear" w:pos="4153"/>
                <w:tab w:val="clear" w:pos="8306"/>
              </w:tabs>
              <w:jc w:val="center"/>
              <w:rPr>
                <w:sz w:val="24"/>
                <w:szCs w:val="24"/>
              </w:rPr>
            </w:pPr>
            <w:r w:rsidRPr="002A583A">
              <w:rPr>
                <w:sz w:val="24"/>
                <w:szCs w:val="24"/>
              </w:rPr>
              <w:t>Nr.</w:t>
            </w:r>
          </w:p>
        </w:tc>
        <w:tc>
          <w:tcPr>
            <w:tcW w:w="4109"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Planuojamas įrenginys, darbai</w:t>
            </w:r>
          </w:p>
        </w:tc>
        <w:tc>
          <w:tcPr>
            <w:tcW w:w="1095"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Mato vnt.</w:t>
            </w:r>
          </w:p>
        </w:tc>
        <w:tc>
          <w:tcPr>
            <w:tcW w:w="1369"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Kiekis</w:t>
            </w:r>
          </w:p>
        </w:tc>
        <w:tc>
          <w:tcPr>
            <w:tcW w:w="2464"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Planuojama suma, Lt</w:t>
            </w:r>
          </w:p>
        </w:tc>
      </w:tr>
      <w:tr w:rsidR="00364F79" w:rsidRPr="002A583A" w:rsidTr="002A583A">
        <w:tc>
          <w:tcPr>
            <w:tcW w:w="817"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1.</w:t>
            </w:r>
          </w:p>
        </w:tc>
        <w:tc>
          <w:tcPr>
            <w:tcW w:w="4109" w:type="dxa"/>
          </w:tcPr>
          <w:p w:rsidR="00364F79" w:rsidRPr="002A583A" w:rsidRDefault="00364F79" w:rsidP="002A583A">
            <w:pPr>
              <w:pStyle w:val="Header"/>
              <w:tabs>
                <w:tab w:val="clear" w:pos="4153"/>
                <w:tab w:val="clear" w:pos="8306"/>
              </w:tabs>
              <w:jc w:val="both"/>
              <w:rPr>
                <w:sz w:val="24"/>
                <w:szCs w:val="24"/>
              </w:rPr>
            </w:pPr>
            <w:r w:rsidRPr="002A583A">
              <w:rPr>
                <w:sz w:val="24"/>
                <w:szCs w:val="24"/>
              </w:rPr>
              <w:t>Katilai ir degikliai</w:t>
            </w:r>
          </w:p>
        </w:tc>
        <w:tc>
          <w:tcPr>
            <w:tcW w:w="1095" w:type="dxa"/>
          </w:tcPr>
          <w:p w:rsidR="00364F79" w:rsidRPr="002A583A" w:rsidRDefault="00DB4C33" w:rsidP="002A583A">
            <w:pPr>
              <w:pStyle w:val="Header"/>
              <w:tabs>
                <w:tab w:val="clear" w:pos="4153"/>
                <w:tab w:val="clear" w:pos="8306"/>
              </w:tabs>
              <w:jc w:val="center"/>
              <w:rPr>
                <w:sz w:val="24"/>
                <w:szCs w:val="24"/>
              </w:rPr>
            </w:pPr>
            <w:r w:rsidRPr="002A583A">
              <w:rPr>
                <w:sz w:val="24"/>
                <w:szCs w:val="24"/>
              </w:rPr>
              <w:t>kompl.</w:t>
            </w:r>
          </w:p>
        </w:tc>
        <w:tc>
          <w:tcPr>
            <w:tcW w:w="1369" w:type="dxa"/>
          </w:tcPr>
          <w:p w:rsidR="00364F79" w:rsidRPr="002A583A" w:rsidRDefault="00DB4C33" w:rsidP="002A583A">
            <w:pPr>
              <w:pStyle w:val="Header"/>
              <w:tabs>
                <w:tab w:val="clear" w:pos="4153"/>
                <w:tab w:val="clear" w:pos="8306"/>
              </w:tabs>
              <w:jc w:val="center"/>
              <w:rPr>
                <w:sz w:val="24"/>
                <w:szCs w:val="24"/>
              </w:rPr>
            </w:pPr>
            <w:r w:rsidRPr="002A583A">
              <w:rPr>
                <w:sz w:val="24"/>
                <w:szCs w:val="24"/>
              </w:rPr>
              <w:t>2</w:t>
            </w:r>
          </w:p>
        </w:tc>
        <w:tc>
          <w:tcPr>
            <w:tcW w:w="2464" w:type="dxa"/>
          </w:tcPr>
          <w:p w:rsidR="00364F79" w:rsidRPr="002A583A" w:rsidRDefault="00DB4C33" w:rsidP="002A583A">
            <w:pPr>
              <w:pStyle w:val="Header"/>
              <w:tabs>
                <w:tab w:val="clear" w:pos="4153"/>
                <w:tab w:val="clear" w:pos="8306"/>
              </w:tabs>
              <w:jc w:val="center"/>
              <w:rPr>
                <w:sz w:val="24"/>
                <w:szCs w:val="24"/>
              </w:rPr>
            </w:pPr>
            <w:r w:rsidRPr="002A583A">
              <w:rPr>
                <w:sz w:val="24"/>
                <w:szCs w:val="24"/>
              </w:rPr>
              <w:t>35 000</w:t>
            </w:r>
          </w:p>
        </w:tc>
      </w:tr>
      <w:tr w:rsidR="00364F79" w:rsidRPr="002A583A" w:rsidTr="002A583A">
        <w:tc>
          <w:tcPr>
            <w:tcW w:w="817" w:type="dxa"/>
          </w:tcPr>
          <w:p w:rsidR="00364F79" w:rsidRPr="002A583A" w:rsidRDefault="00364F79" w:rsidP="002A583A">
            <w:pPr>
              <w:pStyle w:val="Header"/>
              <w:tabs>
                <w:tab w:val="clear" w:pos="4153"/>
                <w:tab w:val="clear" w:pos="8306"/>
              </w:tabs>
              <w:jc w:val="center"/>
              <w:rPr>
                <w:sz w:val="24"/>
                <w:szCs w:val="24"/>
              </w:rPr>
            </w:pPr>
            <w:r w:rsidRPr="002A583A">
              <w:rPr>
                <w:sz w:val="24"/>
                <w:szCs w:val="24"/>
              </w:rPr>
              <w:t>2.</w:t>
            </w:r>
          </w:p>
        </w:tc>
        <w:tc>
          <w:tcPr>
            <w:tcW w:w="4109" w:type="dxa"/>
          </w:tcPr>
          <w:p w:rsidR="00364F79" w:rsidRPr="002A583A" w:rsidRDefault="00DB4C33" w:rsidP="002A583A">
            <w:pPr>
              <w:pStyle w:val="Header"/>
              <w:tabs>
                <w:tab w:val="clear" w:pos="4153"/>
                <w:tab w:val="clear" w:pos="8306"/>
              </w:tabs>
              <w:jc w:val="both"/>
              <w:rPr>
                <w:sz w:val="24"/>
                <w:szCs w:val="24"/>
              </w:rPr>
            </w:pPr>
            <w:r w:rsidRPr="002A583A">
              <w:rPr>
                <w:sz w:val="24"/>
                <w:szCs w:val="24"/>
              </w:rPr>
              <w:t>Tinklo siurblys</w:t>
            </w:r>
          </w:p>
        </w:tc>
        <w:tc>
          <w:tcPr>
            <w:tcW w:w="1095" w:type="dxa"/>
          </w:tcPr>
          <w:p w:rsidR="00364F79" w:rsidRPr="002A583A" w:rsidRDefault="00DB4C33" w:rsidP="002A583A">
            <w:pPr>
              <w:pStyle w:val="Header"/>
              <w:tabs>
                <w:tab w:val="clear" w:pos="4153"/>
                <w:tab w:val="clear" w:pos="8306"/>
              </w:tabs>
              <w:jc w:val="center"/>
              <w:rPr>
                <w:sz w:val="24"/>
                <w:szCs w:val="24"/>
              </w:rPr>
            </w:pPr>
            <w:r w:rsidRPr="002A583A">
              <w:rPr>
                <w:sz w:val="24"/>
                <w:szCs w:val="24"/>
              </w:rPr>
              <w:t>vnt.</w:t>
            </w:r>
          </w:p>
        </w:tc>
        <w:tc>
          <w:tcPr>
            <w:tcW w:w="1369" w:type="dxa"/>
          </w:tcPr>
          <w:p w:rsidR="00364F79" w:rsidRPr="002A583A" w:rsidRDefault="00DB4C33" w:rsidP="002A583A">
            <w:pPr>
              <w:pStyle w:val="Header"/>
              <w:tabs>
                <w:tab w:val="clear" w:pos="4153"/>
                <w:tab w:val="clear" w:pos="8306"/>
              </w:tabs>
              <w:jc w:val="center"/>
              <w:rPr>
                <w:sz w:val="24"/>
                <w:szCs w:val="24"/>
              </w:rPr>
            </w:pPr>
            <w:r w:rsidRPr="002A583A">
              <w:rPr>
                <w:sz w:val="24"/>
                <w:szCs w:val="24"/>
              </w:rPr>
              <w:t>1</w:t>
            </w:r>
          </w:p>
        </w:tc>
        <w:tc>
          <w:tcPr>
            <w:tcW w:w="2464" w:type="dxa"/>
          </w:tcPr>
          <w:p w:rsidR="00364F79" w:rsidRPr="002A583A" w:rsidRDefault="00DB4C33" w:rsidP="002A583A">
            <w:pPr>
              <w:pStyle w:val="Header"/>
              <w:tabs>
                <w:tab w:val="clear" w:pos="4153"/>
                <w:tab w:val="clear" w:pos="8306"/>
              </w:tabs>
              <w:jc w:val="center"/>
              <w:rPr>
                <w:sz w:val="24"/>
                <w:szCs w:val="24"/>
              </w:rPr>
            </w:pPr>
            <w:r w:rsidRPr="002A583A">
              <w:rPr>
                <w:sz w:val="24"/>
                <w:szCs w:val="24"/>
              </w:rPr>
              <w:t>4 000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3.</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Valdikliai</w:t>
            </w:r>
          </w:p>
        </w:tc>
        <w:tc>
          <w:tcPr>
            <w:tcW w:w="1095" w:type="dxa"/>
          </w:tcPr>
          <w:p w:rsidR="00DB4C33" w:rsidRDefault="00DB4C33" w:rsidP="002A583A">
            <w:pPr>
              <w:jc w:val="center"/>
            </w:pPr>
            <w:r w:rsidRPr="002A583A">
              <w:rPr>
                <w:sz w:val="24"/>
                <w:szCs w:val="24"/>
              </w:rPr>
              <w:t>vnt.</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2</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2 000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4.</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Dūmtakiai</w:t>
            </w:r>
          </w:p>
        </w:tc>
        <w:tc>
          <w:tcPr>
            <w:tcW w:w="1095"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kompl.</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2</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 xml:space="preserve">15 000 </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5.</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Vandens minkštinimo įranga</w:t>
            </w:r>
          </w:p>
        </w:tc>
        <w:tc>
          <w:tcPr>
            <w:tcW w:w="1095"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kompl.</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1</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10 000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6.</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Šilumos skaitikliai</w:t>
            </w:r>
          </w:p>
        </w:tc>
        <w:tc>
          <w:tcPr>
            <w:tcW w:w="1095" w:type="dxa"/>
          </w:tcPr>
          <w:p w:rsidR="00DB4C33" w:rsidRDefault="00DB4C33" w:rsidP="002A583A">
            <w:pPr>
              <w:jc w:val="center"/>
            </w:pPr>
            <w:r w:rsidRPr="002A583A">
              <w:rPr>
                <w:sz w:val="24"/>
                <w:szCs w:val="24"/>
              </w:rPr>
              <w:t>vnt.</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3</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9 000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7.</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Šilumokaitis</w:t>
            </w:r>
          </w:p>
        </w:tc>
        <w:tc>
          <w:tcPr>
            <w:tcW w:w="1095" w:type="dxa"/>
          </w:tcPr>
          <w:p w:rsidR="00DB4C33" w:rsidRDefault="00DB4C33" w:rsidP="002A583A">
            <w:pPr>
              <w:jc w:val="center"/>
            </w:pPr>
            <w:r w:rsidRPr="002A583A">
              <w:rPr>
                <w:sz w:val="24"/>
                <w:szCs w:val="24"/>
              </w:rPr>
              <w:t>vnt.</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1</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2 800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8.</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 xml:space="preserve">Pavaros </w:t>
            </w:r>
          </w:p>
        </w:tc>
        <w:tc>
          <w:tcPr>
            <w:tcW w:w="1095" w:type="dxa"/>
          </w:tcPr>
          <w:p w:rsidR="00DB4C33" w:rsidRDefault="00DB4C33" w:rsidP="002A583A">
            <w:pPr>
              <w:jc w:val="center"/>
            </w:pPr>
            <w:r w:rsidRPr="002A583A">
              <w:rPr>
                <w:sz w:val="24"/>
                <w:szCs w:val="24"/>
              </w:rPr>
              <w:t>vnt.</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2</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1 800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9.</w:t>
            </w:r>
          </w:p>
        </w:tc>
        <w:tc>
          <w:tcPr>
            <w:tcW w:w="4109" w:type="dxa"/>
          </w:tcPr>
          <w:p w:rsidR="00DB4C33" w:rsidRPr="002A583A" w:rsidRDefault="00DB4C33" w:rsidP="002A583A">
            <w:pPr>
              <w:pStyle w:val="Header"/>
              <w:tabs>
                <w:tab w:val="clear" w:pos="4153"/>
                <w:tab w:val="clear" w:pos="8306"/>
              </w:tabs>
              <w:jc w:val="both"/>
              <w:rPr>
                <w:sz w:val="24"/>
                <w:szCs w:val="24"/>
              </w:rPr>
            </w:pPr>
            <w:r w:rsidRPr="002A583A">
              <w:rPr>
                <w:sz w:val="24"/>
                <w:szCs w:val="24"/>
              </w:rPr>
              <w:t>Šiluminės trasos remontas</w:t>
            </w:r>
          </w:p>
        </w:tc>
        <w:tc>
          <w:tcPr>
            <w:tcW w:w="1095"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kompl.</w:t>
            </w:r>
          </w:p>
        </w:tc>
        <w:tc>
          <w:tcPr>
            <w:tcW w:w="1369"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1</w:t>
            </w:r>
          </w:p>
        </w:tc>
        <w:tc>
          <w:tcPr>
            <w:tcW w:w="2464" w:type="dxa"/>
          </w:tcPr>
          <w:p w:rsidR="00DB4C33" w:rsidRPr="002A583A" w:rsidRDefault="00DB4C33" w:rsidP="002A583A">
            <w:pPr>
              <w:pStyle w:val="Header"/>
              <w:tabs>
                <w:tab w:val="clear" w:pos="4153"/>
                <w:tab w:val="clear" w:pos="8306"/>
              </w:tabs>
              <w:jc w:val="center"/>
              <w:rPr>
                <w:sz w:val="24"/>
                <w:szCs w:val="24"/>
              </w:rPr>
            </w:pPr>
            <w:r w:rsidRPr="002A583A">
              <w:rPr>
                <w:sz w:val="24"/>
                <w:szCs w:val="24"/>
              </w:rPr>
              <w:t>12 000</w:t>
            </w:r>
          </w:p>
        </w:tc>
      </w:tr>
      <w:tr w:rsidR="00DB4C33" w:rsidRPr="002A583A" w:rsidTr="002A583A">
        <w:tc>
          <w:tcPr>
            <w:tcW w:w="817" w:type="dxa"/>
          </w:tcPr>
          <w:p w:rsidR="00DB4C33" w:rsidRPr="002A583A" w:rsidRDefault="00DB4C33" w:rsidP="002A583A">
            <w:pPr>
              <w:pStyle w:val="Header"/>
              <w:tabs>
                <w:tab w:val="clear" w:pos="4153"/>
                <w:tab w:val="clear" w:pos="8306"/>
              </w:tabs>
              <w:jc w:val="center"/>
              <w:rPr>
                <w:sz w:val="24"/>
                <w:szCs w:val="24"/>
              </w:rPr>
            </w:pPr>
          </w:p>
        </w:tc>
        <w:tc>
          <w:tcPr>
            <w:tcW w:w="6573" w:type="dxa"/>
            <w:gridSpan w:val="3"/>
          </w:tcPr>
          <w:p w:rsidR="00DB4C33" w:rsidRPr="00710870" w:rsidRDefault="00DB4C33" w:rsidP="002A583A">
            <w:pPr>
              <w:pStyle w:val="Header"/>
              <w:tabs>
                <w:tab w:val="clear" w:pos="4153"/>
                <w:tab w:val="clear" w:pos="8306"/>
              </w:tabs>
              <w:jc w:val="right"/>
              <w:rPr>
                <w:sz w:val="24"/>
                <w:szCs w:val="24"/>
              </w:rPr>
            </w:pPr>
            <w:r w:rsidRPr="00710870">
              <w:rPr>
                <w:sz w:val="24"/>
                <w:szCs w:val="24"/>
              </w:rPr>
              <w:t>Iš viso</w:t>
            </w:r>
          </w:p>
        </w:tc>
        <w:tc>
          <w:tcPr>
            <w:tcW w:w="2464" w:type="dxa"/>
          </w:tcPr>
          <w:p w:rsidR="00DB4C33" w:rsidRPr="00710870" w:rsidRDefault="00A531BC" w:rsidP="002A583A">
            <w:pPr>
              <w:pStyle w:val="Header"/>
              <w:tabs>
                <w:tab w:val="clear" w:pos="4153"/>
                <w:tab w:val="clear" w:pos="8306"/>
              </w:tabs>
              <w:jc w:val="center"/>
              <w:rPr>
                <w:sz w:val="24"/>
                <w:szCs w:val="24"/>
              </w:rPr>
            </w:pPr>
            <w:r w:rsidRPr="00710870">
              <w:rPr>
                <w:sz w:val="24"/>
                <w:szCs w:val="24"/>
              </w:rPr>
              <w:t>91 600</w:t>
            </w:r>
          </w:p>
        </w:tc>
      </w:tr>
    </w:tbl>
    <w:p w:rsidR="002A583A" w:rsidRDefault="00A531BC" w:rsidP="00710870">
      <w:pPr>
        <w:pStyle w:val="Header"/>
        <w:tabs>
          <w:tab w:val="clear" w:pos="4153"/>
          <w:tab w:val="clear" w:pos="8306"/>
        </w:tabs>
        <w:jc w:val="center"/>
      </w:pPr>
      <w:r>
        <w:t>____________________</w:t>
      </w:r>
    </w:p>
    <w:p w:rsidR="002A583A" w:rsidRDefault="002A583A">
      <w:pPr>
        <w:pStyle w:val="Header"/>
        <w:tabs>
          <w:tab w:val="clear" w:pos="4153"/>
          <w:tab w:val="clear" w:pos="8306"/>
        </w:tabs>
        <w:jc w:val="both"/>
        <w:rPr>
          <w:sz w:val="24"/>
          <w:szCs w:val="24"/>
        </w:rPr>
      </w:pPr>
    </w:p>
    <w:p w:rsidR="002A583A" w:rsidRDefault="002A583A">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A531BC" w:rsidRDefault="00A531BC">
      <w:pPr>
        <w:pStyle w:val="Header"/>
        <w:tabs>
          <w:tab w:val="clear" w:pos="4153"/>
          <w:tab w:val="clear" w:pos="8306"/>
        </w:tabs>
        <w:jc w:val="both"/>
        <w:rPr>
          <w:sz w:val="24"/>
          <w:szCs w:val="24"/>
        </w:rPr>
      </w:pPr>
    </w:p>
    <w:p w:rsidR="002A583A" w:rsidRDefault="002A583A">
      <w:pPr>
        <w:pStyle w:val="Header"/>
        <w:tabs>
          <w:tab w:val="clear" w:pos="4153"/>
          <w:tab w:val="clear" w:pos="8306"/>
        </w:tabs>
        <w:jc w:val="both"/>
        <w:rPr>
          <w:sz w:val="24"/>
          <w:szCs w:val="24"/>
        </w:rPr>
      </w:pPr>
    </w:p>
    <w:p w:rsidR="00710870" w:rsidRDefault="00710870">
      <w:pPr>
        <w:pStyle w:val="Header"/>
        <w:tabs>
          <w:tab w:val="clear" w:pos="4153"/>
          <w:tab w:val="clear" w:pos="8306"/>
        </w:tabs>
        <w:jc w:val="both"/>
        <w:rPr>
          <w:sz w:val="24"/>
          <w:szCs w:val="24"/>
        </w:rPr>
      </w:pPr>
    </w:p>
    <w:p w:rsidR="00710870" w:rsidRDefault="00710870">
      <w:pPr>
        <w:pStyle w:val="Header"/>
        <w:tabs>
          <w:tab w:val="clear" w:pos="4153"/>
          <w:tab w:val="clear" w:pos="8306"/>
        </w:tabs>
        <w:jc w:val="both"/>
        <w:rPr>
          <w:sz w:val="24"/>
          <w:szCs w:val="24"/>
        </w:rPr>
      </w:pPr>
    </w:p>
    <w:p w:rsidR="002A583A" w:rsidRDefault="002A583A">
      <w:pPr>
        <w:jc w:val="center"/>
        <w:rPr>
          <w:b/>
          <w:sz w:val="24"/>
          <w:szCs w:val="24"/>
        </w:rPr>
      </w:pPr>
      <w:r>
        <w:rPr>
          <w:b/>
          <w:sz w:val="24"/>
          <w:szCs w:val="24"/>
        </w:rPr>
        <w:lastRenderedPageBreak/>
        <w:t>PANEVĖŽIO RAJONO SAVIVALDYBĖS ADMINISTRACIJOS</w:t>
      </w:r>
    </w:p>
    <w:p w:rsidR="00A531BC" w:rsidRDefault="00A531BC" w:rsidP="00A531BC">
      <w:pPr>
        <w:jc w:val="center"/>
        <w:rPr>
          <w:b/>
          <w:sz w:val="24"/>
        </w:rPr>
      </w:pPr>
      <w:r>
        <w:rPr>
          <w:b/>
          <w:sz w:val="24"/>
        </w:rPr>
        <w:t>VIETINIO ŪKIO SKYRIUS</w:t>
      </w:r>
    </w:p>
    <w:p w:rsidR="002A583A" w:rsidRDefault="002A583A">
      <w:pPr>
        <w:jc w:val="both"/>
        <w:rPr>
          <w:sz w:val="24"/>
          <w:szCs w:val="24"/>
        </w:rPr>
      </w:pPr>
    </w:p>
    <w:p w:rsidR="00A531BC" w:rsidRDefault="00A531BC">
      <w:pPr>
        <w:jc w:val="both"/>
        <w:rPr>
          <w:sz w:val="24"/>
          <w:szCs w:val="24"/>
        </w:rPr>
      </w:pPr>
    </w:p>
    <w:p w:rsidR="002A583A" w:rsidRDefault="002A583A">
      <w:pPr>
        <w:jc w:val="both"/>
        <w:rPr>
          <w:sz w:val="24"/>
          <w:szCs w:val="24"/>
        </w:rPr>
      </w:pPr>
      <w:r>
        <w:rPr>
          <w:sz w:val="24"/>
          <w:szCs w:val="24"/>
        </w:rPr>
        <w:t xml:space="preserve">Panevėžio rajono </w:t>
      </w:r>
      <w:proofErr w:type="gramStart"/>
      <w:r>
        <w:rPr>
          <w:sz w:val="24"/>
          <w:szCs w:val="24"/>
        </w:rPr>
        <w:t>savivaldybės tarybai</w:t>
      </w:r>
      <w:proofErr w:type="gramEnd"/>
    </w:p>
    <w:p w:rsidR="002A583A" w:rsidRDefault="002A583A">
      <w:pPr>
        <w:jc w:val="both"/>
        <w:rPr>
          <w:sz w:val="24"/>
          <w:szCs w:val="24"/>
        </w:rPr>
      </w:pPr>
    </w:p>
    <w:p w:rsidR="00A531BC" w:rsidRDefault="00A531BC">
      <w:pPr>
        <w:jc w:val="both"/>
        <w:rPr>
          <w:sz w:val="24"/>
          <w:szCs w:val="24"/>
        </w:rPr>
      </w:pPr>
    </w:p>
    <w:p w:rsidR="009614AA" w:rsidRDefault="002A583A">
      <w:pPr>
        <w:jc w:val="center"/>
        <w:rPr>
          <w:b/>
          <w:bCs/>
          <w:caps/>
          <w:sz w:val="24"/>
          <w:szCs w:val="24"/>
        </w:rPr>
      </w:pPr>
      <w:r>
        <w:rPr>
          <w:b/>
          <w:sz w:val="24"/>
          <w:szCs w:val="24"/>
        </w:rPr>
        <w:t>AIŠKINAMASIS RAŠTAS DĖL SPRENDIMO „</w:t>
      </w:r>
      <w:r w:rsidR="009614AA">
        <w:rPr>
          <w:b/>
          <w:sz w:val="24"/>
          <w:szCs w:val="24"/>
        </w:rPr>
        <w:t xml:space="preserve">DĖL </w:t>
      </w:r>
      <w:r w:rsidR="00A531BC">
        <w:rPr>
          <w:b/>
          <w:bCs/>
          <w:caps/>
          <w:sz w:val="24"/>
          <w:szCs w:val="24"/>
        </w:rPr>
        <w:t xml:space="preserve">UAB „Lenauda“ </w:t>
      </w:r>
    </w:p>
    <w:p w:rsidR="002A583A" w:rsidRDefault="00A531BC">
      <w:pPr>
        <w:jc w:val="center"/>
        <w:rPr>
          <w:sz w:val="24"/>
          <w:szCs w:val="24"/>
        </w:rPr>
      </w:pPr>
      <w:r>
        <w:rPr>
          <w:b/>
          <w:bCs/>
          <w:caps/>
          <w:sz w:val="24"/>
          <w:szCs w:val="24"/>
        </w:rPr>
        <w:t>2014 2018 metų investicijų plano derinimo</w:t>
      </w:r>
      <w:r w:rsidR="002A583A">
        <w:rPr>
          <w:b/>
          <w:bCs/>
          <w:caps/>
          <w:sz w:val="24"/>
          <w:szCs w:val="24"/>
        </w:rPr>
        <w:t>“ PROJEKTO</w:t>
      </w:r>
    </w:p>
    <w:p w:rsidR="002A583A" w:rsidRDefault="002A583A">
      <w:pPr>
        <w:jc w:val="center"/>
        <w:rPr>
          <w:sz w:val="24"/>
          <w:szCs w:val="24"/>
        </w:rPr>
      </w:pPr>
    </w:p>
    <w:p w:rsidR="002A583A" w:rsidRDefault="002A583A">
      <w:pPr>
        <w:pStyle w:val="Betarp1"/>
        <w:jc w:val="center"/>
        <w:rPr>
          <w:sz w:val="24"/>
          <w:szCs w:val="24"/>
        </w:rPr>
      </w:pPr>
      <w:r>
        <w:rPr>
          <w:sz w:val="24"/>
          <w:szCs w:val="24"/>
        </w:rPr>
        <w:t xml:space="preserve">2014 m. </w:t>
      </w:r>
      <w:r w:rsidR="00A531BC">
        <w:rPr>
          <w:sz w:val="24"/>
          <w:szCs w:val="24"/>
        </w:rPr>
        <w:t>gegužės 27</w:t>
      </w:r>
      <w:r>
        <w:rPr>
          <w:sz w:val="24"/>
          <w:szCs w:val="24"/>
        </w:rPr>
        <w:t xml:space="preserve"> d.</w:t>
      </w:r>
    </w:p>
    <w:p w:rsidR="002A583A" w:rsidRDefault="002A583A">
      <w:pPr>
        <w:pStyle w:val="Betarp1"/>
        <w:jc w:val="center"/>
        <w:rPr>
          <w:sz w:val="24"/>
          <w:szCs w:val="24"/>
        </w:rPr>
      </w:pPr>
      <w:r>
        <w:rPr>
          <w:sz w:val="24"/>
          <w:szCs w:val="24"/>
        </w:rPr>
        <w:t>Panevėžys</w:t>
      </w:r>
    </w:p>
    <w:p w:rsidR="002A583A" w:rsidRDefault="002A583A">
      <w:pPr>
        <w:jc w:val="center"/>
        <w:rPr>
          <w:sz w:val="24"/>
          <w:szCs w:val="24"/>
        </w:rPr>
      </w:pPr>
    </w:p>
    <w:p w:rsidR="002A583A" w:rsidRDefault="002A583A" w:rsidP="00E31298">
      <w:pPr>
        <w:tabs>
          <w:tab w:val="left" w:pos="975"/>
          <w:tab w:val="left" w:pos="1095"/>
        </w:tabs>
        <w:ind w:firstLine="851"/>
        <w:jc w:val="both"/>
        <w:rPr>
          <w:b/>
          <w:color w:val="000000"/>
          <w:sz w:val="24"/>
          <w:szCs w:val="24"/>
        </w:rPr>
      </w:pPr>
      <w:r>
        <w:rPr>
          <w:b/>
          <w:color w:val="000000"/>
          <w:sz w:val="24"/>
          <w:szCs w:val="24"/>
        </w:rPr>
        <w:t>Projekto rengimą paskatinusios priežastys.</w:t>
      </w:r>
    </w:p>
    <w:p w:rsidR="002A583A" w:rsidRDefault="00A531BC" w:rsidP="00E31298">
      <w:pPr>
        <w:tabs>
          <w:tab w:val="left" w:pos="975"/>
          <w:tab w:val="left" w:pos="1095"/>
        </w:tabs>
        <w:ind w:firstLine="851"/>
        <w:jc w:val="both"/>
        <w:rPr>
          <w:sz w:val="24"/>
          <w:szCs w:val="24"/>
        </w:rPr>
      </w:pPr>
      <w:r w:rsidRPr="00A531BC">
        <w:rPr>
          <w:color w:val="000000"/>
          <w:sz w:val="24"/>
          <w:szCs w:val="24"/>
        </w:rPr>
        <w:t xml:space="preserve">Panevėžio rajono savivaldybės Jotainių kaime šilumą tiekianti </w:t>
      </w:r>
      <w:r w:rsidRPr="00A531BC">
        <w:rPr>
          <w:sz w:val="24"/>
          <w:szCs w:val="24"/>
        </w:rPr>
        <w:t>UAB „</w:t>
      </w:r>
      <w:r>
        <w:rPr>
          <w:sz w:val="24"/>
          <w:szCs w:val="24"/>
        </w:rPr>
        <w:t>Lenauda“ 2014 m. gegužės 23 d. raštu Nr. 98 kreipėsi į Panevėžio rajono savivaldybę prašydama suderinti jos planuojamas investicijas 2014–2018 metais.</w:t>
      </w:r>
    </w:p>
    <w:p w:rsidR="002A583A" w:rsidRDefault="002A583A" w:rsidP="00E31298">
      <w:pPr>
        <w:tabs>
          <w:tab w:val="left" w:pos="975"/>
          <w:tab w:val="left" w:pos="1095"/>
        </w:tabs>
        <w:ind w:firstLine="851"/>
        <w:jc w:val="both"/>
        <w:rPr>
          <w:sz w:val="24"/>
          <w:szCs w:val="24"/>
        </w:rPr>
      </w:pPr>
    </w:p>
    <w:p w:rsidR="002A583A" w:rsidRDefault="002A583A" w:rsidP="00E31298">
      <w:pPr>
        <w:ind w:firstLine="851"/>
        <w:jc w:val="both"/>
        <w:rPr>
          <w:sz w:val="24"/>
          <w:szCs w:val="24"/>
        </w:rPr>
      </w:pPr>
      <w:r>
        <w:rPr>
          <w:b/>
          <w:sz w:val="24"/>
          <w:szCs w:val="24"/>
        </w:rPr>
        <w:t>Sprendimo projekto esmė ir tikslai</w:t>
      </w:r>
    </w:p>
    <w:p w:rsidR="002A583A" w:rsidRDefault="00132C82" w:rsidP="00E31298">
      <w:pPr>
        <w:ind w:firstLine="851"/>
        <w:jc w:val="both"/>
        <w:rPr>
          <w:sz w:val="24"/>
          <w:szCs w:val="24"/>
        </w:rPr>
      </w:pPr>
      <w:r w:rsidRPr="00132C82">
        <w:rPr>
          <w:sz w:val="24"/>
          <w:szCs w:val="24"/>
        </w:rPr>
        <w:t>Lietuvos Respublikos šilumos ūkio įstatymo 35 straipsnyje nustatyta, kad šilumos ūkio investiciniai planai derinami su Savivaldybės taryba jos nustatyta tvarka. Nesuderintos su Savivaldybės taryba investicijos nepripažįstamos pagrįstomis ir nevertinamos nustatant šilumos tiekėjų įmonių šilumos kainas. Sprendimo projekto tikslas –</w:t>
      </w:r>
      <w:r>
        <w:rPr>
          <w:sz w:val="24"/>
          <w:szCs w:val="24"/>
        </w:rPr>
        <w:t xml:space="preserve"> suderinti </w:t>
      </w:r>
      <w:r w:rsidR="00E31298">
        <w:rPr>
          <w:sz w:val="24"/>
          <w:szCs w:val="24"/>
        </w:rPr>
        <w:t xml:space="preserve">Panevėžio rajono savivaldybės Jotainių kaimo šilumos ūkiui skirtas </w:t>
      </w:r>
      <w:r>
        <w:rPr>
          <w:sz w:val="24"/>
          <w:szCs w:val="24"/>
        </w:rPr>
        <w:t xml:space="preserve">UAB „Lenauda“ planuojamas investicijas </w:t>
      </w:r>
      <w:r w:rsidR="009614AA">
        <w:rPr>
          <w:sz w:val="24"/>
          <w:szCs w:val="24"/>
        </w:rPr>
        <w:br/>
      </w:r>
      <w:r>
        <w:rPr>
          <w:sz w:val="24"/>
          <w:szCs w:val="24"/>
        </w:rPr>
        <w:t>2014–2018 m.</w:t>
      </w:r>
    </w:p>
    <w:p w:rsidR="00132C82" w:rsidRPr="00132C82" w:rsidRDefault="00132C82" w:rsidP="00E31298">
      <w:pPr>
        <w:ind w:firstLine="851"/>
        <w:jc w:val="both"/>
        <w:rPr>
          <w:sz w:val="24"/>
          <w:szCs w:val="24"/>
        </w:rPr>
      </w:pPr>
    </w:p>
    <w:p w:rsidR="002A583A" w:rsidRDefault="002A583A" w:rsidP="00E31298">
      <w:pPr>
        <w:ind w:firstLine="851"/>
        <w:jc w:val="both"/>
        <w:rPr>
          <w:color w:val="000000"/>
          <w:sz w:val="24"/>
          <w:szCs w:val="24"/>
        </w:rPr>
      </w:pPr>
      <w:r>
        <w:rPr>
          <w:b/>
          <w:sz w:val="24"/>
          <w:szCs w:val="24"/>
        </w:rPr>
        <w:t>Kokių pozityvių rezultatų laukiama</w:t>
      </w:r>
    </w:p>
    <w:p w:rsidR="00E31298" w:rsidRDefault="00E05229" w:rsidP="00E31298">
      <w:pPr>
        <w:ind w:firstLine="851"/>
        <w:jc w:val="both"/>
        <w:rPr>
          <w:color w:val="000000"/>
          <w:sz w:val="24"/>
          <w:szCs w:val="24"/>
        </w:rPr>
      </w:pPr>
      <w:r>
        <w:rPr>
          <w:color w:val="000000"/>
          <w:sz w:val="24"/>
          <w:szCs w:val="24"/>
        </w:rPr>
        <w:t xml:space="preserve">Jotainių socialinės globos namų katilinė įrengta 2000 metais. Katilinė dirba ištisus metus, nes šiluminės energijos poreikis yra tiek šildymo sezono metu, tiek vasarą </w:t>
      </w:r>
      <w:r w:rsidR="00D5217E">
        <w:rPr>
          <w:color w:val="000000"/>
          <w:sz w:val="24"/>
          <w:szCs w:val="24"/>
        </w:rPr>
        <w:t xml:space="preserve">tiekiant karštą vandenį vartotojams. Šiuo metu katilinės įranga yra techniškai tvarkinga ir tinkama eksploatuoti, tačiau, siekiant išvengti galimų jos darbo sutrikimų ar net avarinių situacijų susidarymo, artimiausiu metu būtina planuoti fiziškai ir morališkai nusidėvėjusios pagrindinės įrangos atnaujinimą. </w:t>
      </w:r>
      <w:r w:rsidR="002A583A">
        <w:rPr>
          <w:color w:val="000000"/>
          <w:sz w:val="24"/>
          <w:szCs w:val="24"/>
        </w:rPr>
        <w:t>Į</w:t>
      </w:r>
      <w:r w:rsidR="00E31298">
        <w:rPr>
          <w:color w:val="000000"/>
          <w:sz w:val="24"/>
          <w:szCs w:val="24"/>
        </w:rPr>
        <w:t xml:space="preserve">gyvendinus investicijų planą, </w:t>
      </w:r>
      <w:r w:rsidR="00D5217E">
        <w:rPr>
          <w:sz w:val="24"/>
          <w:szCs w:val="24"/>
        </w:rPr>
        <w:t xml:space="preserve">UAB „Lenauda“ </w:t>
      </w:r>
      <w:r w:rsidR="00E31298">
        <w:rPr>
          <w:color w:val="000000"/>
          <w:sz w:val="24"/>
          <w:szCs w:val="24"/>
        </w:rPr>
        <w:t>užtikrin</w:t>
      </w:r>
      <w:r w:rsidR="00D5217E">
        <w:rPr>
          <w:color w:val="000000"/>
          <w:sz w:val="24"/>
          <w:szCs w:val="24"/>
        </w:rPr>
        <w:t>s</w:t>
      </w:r>
      <w:r w:rsidR="00E31298">
        <w:rPr>
          <w:color w:val="000000"/>
          <w:sz w:val="24"/>
          <w:szCs w:val="24"/>
        </w:rPr>
        <w:t xml:space="preserve"> didesn</w:t>
      </w:r>
      <w:r>
        <w:rPr>
          <w:color w:val="000000"/>
          <w:sz w:val="24"/>
          <w:szCs w:val="24"/>
        </w:rPr>
        <w:t>į</w:t>
      </w:r>
      <w:r w:rsidR="00E31298">
        <w:rPr>
          <w:color w:val="000000"/>
          <w:sz w:val="24"/>
          <w:szCs w:val="24"/>
        </w:rPr>
        <w:t xml:space="preserve"> šilumos gamybos efektyvumą, </w:t>
      </w:r>
      <w:r w:rsidR="00D5217E">
        <w:rPr>
          <w:color w:val="000000"/>
          <w:sz w:val="24"/>
          <w:szCs w:val="24"/>
        </w:rPr>
        <w:t>gaus</w:t>
      </w:r>
      <w:r w:rsidR="00E31298">
        <w:rPr>
          <w:color w:val="000000"/>
          <w:sz w:val="24"/>
          <w:szCs w:val="24"/>
        </w:rPr>
        <w:t xml:space="preserve"> tiksl</w:t>
      </w:r>
      <w:r w:rsidR="00D5217E">
        <w:rPr>
          <w:color w:val="000000"/>
          <w:sz w:val="24"/>
          <w:szCs w:val="24"/>
        </w:rPr>
        <w:t>esnius patiektos šilumos apskaitos duomenis,</w:t>
      </w:r>
      <w:r w:rsidR="00E31298">
        <w:rPr>
          <w:color w:val="000000"/>
          <w:sz w:val="24"/>
          <w:szCs w:val="24"/>
        </w:rPr>
        <w:t xml:space="preserve"> optimizuos ir automatizuos katilinėje esančius įrenginius.</w:t>
      </w:r>
    </w:p>
    <w:p w:rsidR="002A583A" w:rsidRDefault="002A583A" w:rsidP="00E31298">
      <w:pPr>
        <w:ind w:firstLine="851"/>
        <w:jc w:val="both"/>
        <w:rPr>
          <w:b/>
          <w:sz w:val="24"/>
          <w:szCs w:val="24"/>
        </w:rPr>
      </w:pPr>
    </w:p>
    <w:p w:rsidR="002A583A" w:rsidRDefault="002A583A" w:rsidP="00E31298">
      <w:pPr>
        <w:ind w:firstLine="851"/>
        <w:jc w:val="both"/>
        <w:rPr>
          <w:sz w:val="24"/>
          <w:szCs w:val="24"/>
        </w:rPr>
      </w:pPr>
      <w:r>
        <w:rPr>
          <w:b/>
          <w:sz w:val="24"/>
          <w:szCs w:val="24"/>
        </w:rPr>
        <w:t>Galimos neigiamos pasekmės priėmus projektą, kokių priemonių reikia imtis, kad tokių pasekmių būtų išvengta</w:t>
      </w:r>
    </w:p>
    <w:p w:rsidR="002A583A" w:rsidRDefault="002A583A" w:rsidP="00E31298">
      <w:pPr>
        <w:ind w:firstLine="851"/>
        <w:jc w:val="both"/>
        <w:rPr>
          <w:sz w:val="24"/>
          <w:szCs w:val="24"/>
        </w:rPr>
      </w:pPr>
      <w:r>
        <w:rPr>
          <w:sz w:val="24"/>
          <w:szCs w:val="24"/>
        </w:rPr>
        <w:t>Nėra.</w:t>
      </w:r>
    </w:p>
    <w:p w:rsidR="00E31298" w:rsidRDefault="00E31298" w:rsidP="00E31298">
      <w:pPr>
        <w:ind w:firstLine="851"/>
        <w:jc w:val="both"/>
        <w:rPr>
          <w:sz w:val="24"/>
          <w:szCs w:val="24"/>
        </w:rPr>
      </w:pPr>
    </w:p>
    <w:p w:rsidR="002A583A" w:rsidRDefault="002A583A" w:rsidP="00E31298">
      <w:pPr>
        <w:ind w:firstLine="851"/>
        <w:jc w:val="both"/>
        <w:rPr>
          <w:sz w:val="24"/>
          <w:szCs w:val="24"/>
        </w:rPr>
      </w:pPr>
      <w:r>
        <w:rPr>
          <w:b/>
          <w:sz w:val="24"/>
          <w:szCs w:val="24"/>
        </w:rPr>
        <w:t>Kokius galiojančius teisės aktus būtina pakeisti ar panaikinti, priėmus teikiamą projektą</w:t>
      </w:r>
    </w:p>
    <w:p w:rsidR="002A583A" w:rsidRDefault="00E31298" w:rsidP="00E31298">
      <w:pPr>
        <w:ind w:firstLine="851"/>
        <w:jc w:val="both"/>
        <w:rPr>
          <w:sz w:val="24"/>
          <w:szCs w:val="24"/>
        </w:rPr>
      </w:pPr>
      <w:r>
        <w:rPr>
          <w:sz w:val="24"/>
          <w:szCs w:val="24"/>
        </w:rPr>
        <w:t>Nereikia</w:t>
      </w:r>
      <w:r w:rsidR="002A583A">
        <w:rPr>
          <w:color w:val="000000"/>
          <w:sz w:val="24"/>
          <w:szCs w:val="24"/>
          <w:shd w:val="clear" w:color="auto" w:fill="FFFFFF"/>
        </w:rPr>
        <w:t>.</w:t>
      </w:r>
    </w:p>
    <w:p w:rsidR="002A583A" w:rsidRDefault="002A583A" w:rsidP="00E31298">
      <w:pPr>
        <w:ind w:firstLine="851"/>
        <w:jc w:val="both"/>
        <w:rPr>
          <w:sz w:val="24"/>
          <w:szCs w:val="24"/>
        </w:rPr>
      </w:pPr>
    </w:p>
    <w:p w:rsidR="002A583A" w:rsidRDefault="002A583A" w:rsidP="00E31298">
      <w:pPr>
        <w:ind w:firstLine="851"/>
        <w:jc w:val="both"/>
        <w:rPr>
          <w:sz w:val="24"/>
          <w:szCs w:val="24"/>
        </w:rPr>
      </w:pPr>
      <w:r>
        <w:rPr>
          <w:b/>
          <w:sz w:val="24"/>
          <w:szCs w:val="24"/>
        </w:rPr>
        <w:t>Reikiami paskaičiavimai, išlaidų sąmatos bei finansavimo šaltiniai, reikalingi sprendimui įgyvendinti</w:t>
      </w:r>
    </w:p>
    <w:p w:rsidR="002A583A" w:rsidRPr="00E31298" w:rsidRDefault="00E31298" w:rsidP="00E31298">
      <w:pPr>
        <w:ind w:firstLine="851"/>
        <w:jc w:val="both"/>
        <w:rPr>
          <w:sz w:val="24"/>
          <w:szCs w:val="24"/>
        </w:rPr>
      </w:pPr>
      <w:r>
        <w:rPr>
          <w:sz w:val="24"/>
          <w:szCs w:val="24"/>
        </w:rPr>
        <w:t>Investicijų planui įgyvendinti UAB „Lenauda“ naudos nuosavas lėšas</w:t>
      </w:r>
      <w:r w:rsidR="002A583A">
        <w:rPr>
          <w:color w:val="000000"/>
          <w:sz w:val="24"/>
          <w:szCs w:val="24"/>
          <w:shd w:val="clear" w:color="auto" w:fill="FFFFFF"/>
        </w:rPr>
        <w:t>.</w:t>
      </w:r>
    </w:p>
    <w:p w:rsidR="00132C82" w:rsidRPr="00710870" w:rsidRDefault="00132C82" w:rsidP="00132C82">
      <w:pPr>
        <w:jc w:val="both"/>
        <w:rPr>
          <w:sz w:val="24"/>
          <w:szCs w:val="24"/>
        </w:rPr>
      </w:pPr>
    </w:p>
    <w:p w:rsidR="00E31298" w:rsidRDefault="00E31298" w:rsidP="00E31298">
      <w:pPr>
        <w:ind w:firstLine="851"/>
        <w:jc w:val="both"/>
        <w:rPr>
          <w:b/>
          <w:bCs/>
          <w:sz w:val="24"/>
          <w:szCs w:val="24"/>
        </w:rPr>
      </w:pPr>
      <w:r>
        <w:rPr>
          <w:b/>
          <w:sz w:val="24"/>
        </w:rPr>
        <w:t>Antikorupcinis vertinimas.</w:t>
      </w:r>
    </w:p>
    <w:p w:rsidR="002A583A" w:rsidRPr="00E31298" w:rsidRDefault="002A583A" w:rsidP="00E31298">
      <w:pPr>
        <w:ind w:firstLine="851"/>
        <w:jc w:val="both"/>
        <w:rPr>
          <w:sz w:val="24"/>
          <w:szCs w:val="24"/>
        </w:rPr>
      </w:pPr>
      <w:r w:rsidRPr="00E31298">
        <w:rPr>
          <w:bCs/>
          <w:sz w:val="24"/>
          <w:szCs w:val="24"/>
        </w:rPr>
        <w:t>Sprendimo projektui nereikalingas antikorupcinis vertinimas.</w:t>
      </w:r>
    </w:p>
    <w:p w:rsidR="002A583A" w:rsidRDefault="002A583A">
      <w:pPr>
        <w:jc w:val="both"/>
        <w:rPr>
          <w:sz w:val="24"/>
          <w:szCs w:val="24"/>
        </w:rPr>
      </w:pPr>
    </w:p>
    <w:p w:rsidR="002A583A" w:rsidRDefault="002A583A">
      <w:pPr>
        <w:jc w:val="both"/>
        <w:rPr>
          <w:sz w:val="24"/>
          <w:szCs w:val="24"/>
        </w:rPr>
      </w:pPr>
    </w:p>
    <w:p w:rsidR="002A583A" w:rsidRDefault="00132C82">
      <w:pPr>
        <w:jc w:val="both"/>
      </w:pPr>
      <w:r>
        <w:rPr>
          <w:sz w:val="24"/>
          <w:szCs w:val="24"/>
        </w:rPr>
        <w:t>Vietinio ūkio</w:t>
      </w:r>
      <w:r w:rsidR="002A583A">
        <w:rPr>
          <w:sz w:val="24"/>
          <w:szCs w:val="24"/>
        </w:rPr>
        <w:t xml:space="preserve"> skyriaus vedėjas</w:t>
      </w:r>
      <w:proofErr w:type="gramStart"/>
      <w:r w:rsidR="002A583A">
        <w:rPr>
          <w:sz w:val="24"/>
          <w:szCs w:val="24"/>
        </w:rPr>
        <w:t xml:space="preserve">                              </w:t>
      </w:r>
      <w:r>
        <w:rPr>
          <w:sz w:val="24"/>
          <w:szCs w:val="24"/>
        </w:rPr>
        <w:t xml:space="preserve">                                                </w:t>
      </w:r>
      <w:r w:rsidR="002A583A">
        <w:rPr>
          <w:sz w:val="24"/>
          <w:szCs w:val="24"/>
        </w:rPr>
        <w:t xml:space="preserve">          </w:t>
      </w:r>
      <w:proofErr w:type="gramEnd"/>
      <w:r>
        <w:rPr>
          <w:sz w:val="24"/>
          <w:szCs w:val="24"/>
        </w:rPr>
        <w:t>Rimas</w:t>
      </w:r>
      <w:r w:rsidR="002A583A">
        <w:rPr>
          <w:sz w:val="24"/>
          <w:szCs w:val="24"/>
        </w:rPr>
        <w:t xml:space="preserve"> </w:t>
      </w:r>
      <w:r>
        <w:rPr>
          <w:sz w:val="24"/>
          <w:szCs w:val="24"/>
        </w:rPr>
        <w:t>Sa</w:t>
      </w:r>
      <w:r w:rsidR="002A583A">
        <w:rPr>
          <w:sz w:val="24"/>
          <w:szCs w:val="24"/>
        </w:rPr>
        <w:t>mkus</w:t>
      </w:r>
    </w:p>
    <w:sectPr w:rsidR="002A583A" w:rsidSect="00364F79">
      <w:headerReference w:type="default" r:id="rId9"/>
      <w:pgSz w:w="11906" w:h="16838"/>
      <w:pgMar w:top="1134" w:right="567" w:bottom="1134" w:left="1701" w:header="567" w:footer="720" w:gutter="0"/>
      <w:cols w:space="1296"/>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87" w:rsidRDefault="00252287" w:rsidP="002A583A">
      <w:r>
        <w:separator/>
      </w:r>
    </w:p>
  </w:endnote>
  <w:endnote w:type="continuationSeparator" w:id="0">
    <w:p w:rsidR="00252287" w:rsidRDefault="00252287" w:rsidP="002A5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87" w:rsidRDefault="00252287" w:rsidP="002A583A">
      <w:r>
        <w:separator/>
      </w:r>
    </w:p>
  </w:footnote>
  <w:footnote w:type="continuationSeparator" w:id="0">
    <w:p w:rsidR="00252287" w:rsidRDefault="00252287" w:rsidP="002A5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3A" w:rsidRDefault="002A583A">
    <w:pPr>
      <w:pStyle w:val="Header"/>
    </w:pPr>
    <w:r>
      <w:pict>
        <v:shapetype id="_x0000_t202" coordsize="21600,21600" o:spt="202" path="m,l,21600r21600,l21600,xe">
          <v:stroke joinstyle="miter"/>
          <v:path gradientshapeok="t" o:connecttype="rect"/>
        </v:shapetype>
        <v:shape id="_x0000_s2049" type="#_x0000_t202" style="position:absolute;margin-left:0;margin-top:.05pt;width:12.85pt;height:13.1pt;z-index:251657728;mso-wrap-distance-left:0;mso-wrap-distance-right:0;mso-position-horizontal:center;mso-position-horizontal-relative:margin" stroked="f">
          <v:fill opacity="0" color2="black"/>
          <v:textbox inset="0,0,0,0">
            <w:txbxContent>
              <w:p w:rsidR="002A583A" w:rsidRDefault="002A583A">
                <w:pPr>
                  <w:pStyle w:val="Header"/>
                </w:pPr>
              </w:p>
            </w:txbxContent>
          </v:textbox>
          <w10:wrap type="square" side="larg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1296"/>
  <w:defaultTableStyle w:val="Normal"/>
  <w:drawingGridHorizontalSpacing w:val="200"/>
  <w:drawingGridVerticalSpacing w:val="0"/>
  <w:displayHorizontalDrawingGridEvery w:val="0"/>
  <w:displayVerticalDrawingGridEvery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87312"/>
    <w:rsid w:val="00040794"/>
    <w:rsid w:val="0006025A"/>
    <w:rsid w:val="00132C82"/>
    <w:rsid w:val="00252287"/>
    <w:rsid w:val="002A583A"/>
    <w:rsid w:val="00364F79"/>
    <w:rsid w:val="00665EDA"/>
    <w:rsid w:val="00686350"/>
    <w:rsid w:val="00710870"/>
    <w:rsid w:val="009614AA"/>
    <w:rsid w:val="00A531BC"/>
    <w:rsid w:val="00C67E38"/>
    <w:rsid w:val="00D5217E"/>
    <w:rsid w:val="00DB4C33"/>
    <w:rsid w:val="00E05229"/>
    <w:rsid w:val="00E31298"/>
    <w:rsid w:val="00F873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z0">
    <w:name w:val="WW8Num2z0"/>
    <w:rPr>
      <w:rFonts w:ascii="Symbol" w:hAnsi="Symbol" w:cs="Symbol"/>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atytasispastraiposriftas1">
    <w:name w:val="Numatytasis pastraipos šriftas1"/>
  </w:style>
  <w:style w:type="character" w:customStyle="1" w:styleId="Numeravimosimboliai">
    <w:name w:val="Numeravimo simboliai"/>
    <w:rPr>
      <w:sz w:val="24"/>
      <w:szCs w:val="24"/>
    </w:rPr>
  </w:style>
  <w:style w:type="character" w:customStyle="1" w:styleId="Pagrindiniotekstotrauka2Diagrama">
    <w:name w:val="Pagrindinio teksto įtrauka 2 Diagrama"/>
    <w:rPr>
      <w:lang w:val="en-US"/>
    </w:rPr>
  </w:style>
  <w:style w:type="character" w:customStyle="1" w:styleId="AntratsDiagrama">
    <w:name w:val="Antraštės Diagrama"/>
  </w:style>
  <w:style w:type="character" w:styleId="Hyperlink">
    <w:name w:val="Hyperlink"/>
    <w:rPr>
      <w:color w:val="0000FF"/>
      <w:u w:val="single"/>
    </w:rPr>
  </w:style>
  <w:style w:type="character" w:styleId="Strong">
    <w:name w:val="Strong"/>
    <w:qFormat/>
    <w:rPr>
      <w:b/>
      <w:bCs/>
    </w:rPr>
  </w:style>
  <w:style w:type="character" w:styleId="PageNumber">
    <w:name w:val="page number"/>
    <w:basedOn w:val="Numatytasispastraiposriftas2"/>
  </w:style>
  <w:style w:type="character" w:styleId="Emphasis">
    <w:name w:val="Emphasis"/>
    <w:qFormat/>
    <w:rPr>
      <w:i/>
      <w:iCs/>
    </w:rPr>
  </w:style>
  <w:style w:type="character" w:customStyle="1" w:styleId="enkleliai">
    <w:name w:val="Ženkleliai"/>
    <w:rPr>
      <w:rFonts w:ascii="OpenSymbol" w:eastAsia="OpenSymbol" w:hAnsi="OpenSymbol" w:cs="OpenSymbo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MS Mincho" w:hAnsi="Arial" w:cs="Tahoma"/>
      <w:sz w:val="28"/>
      <w:szCs w:val="28"/>
    </w:rPr>
  </w:style>
  <w:style w:type="paragraph" w:customStyle="1" w:styleId="Pavadinimas2">
    <w:name w:val="Pavadinimas2"/>
    <w:basedOn w:val="Normal"/>
    <w:pPr>
      <w:suppressLineNumbers/>
      <w:spacing w:before="120" w:after="120"/>
    </w:pPr>
    <w:rPr>
      <w:rFonts w:cs="Tahoma"/>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 w:val="24"/>
      <w:szCs w:val="24"/>
    </w:rPr>
  </w:style>
  <w:style w:type="paragraph" w:styleId="Header">
    <w:name w:val="header"/>
    <w:basedOn w:val="Normal"/>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Pagrindiniotekstotrauka21">
    <w:name w:val="Pagrindinio teksto įtrauka 21"/>
    <w:basedOn w:val="Normal"/>
    <w:pPr>
      <w:suppressAutoHyphens w:val="0"/>
      <w:spacing w:after="120" w:line="480" w:lineRule="auto"/>
      <w:ind w:left="283"/>
    </w:pPr>
    <w:rPr>
      <w:lang w:val="en-US"/>
    </w:rPr>
  </w:style>
  <w:style w:type="paragraph" w:styleId="Footer">
    <w:name w:val="footer"/>
    <w:basedOn w:val="Normal"/>
    <w:pPr>
      <w:suppressLineNumbers/>
      <w:tabs>
        <w:tab w:val="center" w:pos="4818"/>
        <w:tab w:val="right" w:pos="9637"/>
      </w:tabs>
    </w:pPr>
  </w:style>
  <w:style w:type="paragraph" w:customStyle="1" w:styleId="Kadroturinys">
    <w:name w:val="Kadro turinys"/>
    <w:basedOn w:val="BodyText"/>
  </w:style>
  <w:style w:type="paragraph" w:customStyle="1" w:styleId="NormalWeb1">
    <w:name w:val="Normal (Web)1"/>
    <w:basedOn w:val="Normal"/>
    <w:pPr>
      <w:spacing w:before="28" w:after="28" w:line="100" w:lineRule="atLeast"/>
    </w:pPr>
    <w:rPr>
      <w:kern w:val="1"/>
      <w:lang w:eastAsia="hi-IN" w:bidi="hi-IN"/>
    </w:rPr>
  </w:style>
  <w:style w:type="paragraph" w:customStyle="1" w:styleId="Betarp1">
    <w:name w:val="Be tarpų1"/>
    <w:pPr>
      <w:suppressAutoHyphens/>
    </w:pPr>
    <w:rPr>
      <w:lang w:eastAsia="ar-SA"/>
    </w:rPr>
  </w:style>
  <w:style w:type="table" w:styleId="TableGrid">
    <w:name w:val="Table Grid"/>
    <w:basedOn w:val="TableNormal"/>
    <w:uiPriority w:val="59"/>
    <w:rsid w:val="00364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14AA"/>
    <w:rPr>
      <w:rFonts w:ascii="Segoe UI" w:hAnsi="Segoe UI" w:cs="Segoe UI"/>
      <w:sz w:val="18"/>
      <w:szCs w:val="18"/>
    </w:rPr>
  </w:style>
  <w:style w:type="character" w:customStyle="1" w:styleId="BalloonTextChar">
    <w:name w:val="Balloon Text Char"/>
    <w:link w:val="BalloonText"/>
    <w:uiPriority w:val="99"/>
    <w:semiHidden/>
    <w:rsid w:val="009614AA"/>
    <w:rPr>
      <w:rFonts w:ascii="Segoe UI"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2299</Words>
  <Characters>1311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user</cp:lastModifiedBy>
  <cp:revision>2</cp:revision>
  <cp:lastPrinted>2014-03-06T08:43:00Z</cp:lastPrinted>
  <dcterms:created xsi:type="dcterms:W3CDTF">2014-05-27T05:42:00Z</dcterms:created>
  <dcterms:modified xsi:type="dcterms:W3CDTF">2014-05-27T05:42:00Z</dcterms:modified>
</cp:coreProperties>
</file>